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69"/>
        <w:gridCol w:w="1043"/>
        <w:gridCol w:w="1044"/>
        <w:gridCol w:w="1044"/>
        <w:gridCol w:w="1044"/>
        <w:gridCol w:w="1044"/>
      </w:tblGrid>
      <w:tr w:rsidR="000F1831" w:rsidRPr="000F1831" w:rsidTr="001259FB">
        <w:trPr>
          <w:trHeight w:val="390"/>
        </w:trPr>
        <w:tc>
          <w:tcPr>
            <w:tcW w:w="9288" w:type="dxa"/>
            <w:gridSpan w:val="6"/>
            <w:noWrap/>
            <w:hideMark/>
          </w:tcPr>
          <w:p w:rsidR="000F1831" w:rsidRPr="000F1831" w:rsidRDefault="000F1831" w:rsidP="000F1831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0F1831">
              <w:rPr>
                <w:b/>
                <w:bCs/>
                <w:sz w:val="28"/>
                <w:szCs w:val="28"/>
              </w:rPr>
              <w:t>Trh práce Libereckého kraje - měsíční statistika k 31. 3. 2013</w:t>
            </w:r>
          </w:p>
        </w:tc>
      </w:tr>
      <w:tr w:rsidR="001259FB" w:rsidRPr="000F1831" w:rsidTr="001259FB">
        <w:trPr>
          <w:trHeight w:val="34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3" w:type="dxa"/>
            <w:vMerge w:val="restart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Česká Lípa</w:t>
            </w:r>
          </w:p>
        </w:tc>
        <w:tc>
          <w:tcPr>
            <w:tcW w:w="1044" w:type="dxa"/>
            <w:vMerge w:val="restart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Jablonec n/N</w:t>
            </w:r>
          </w:p>
        </w:tc>
        <w:tc>
          <w:tcPr>
            <w:tcW w:w="1044" w:type="dxa"/>
            <w:vMerge w:val="restart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Liberec</w:t>
            </w:r>
          </w:p>
        </w:tc>
        <w:tc>
          <w:tcPr>
            <w:tcW w:w="1044" w:type="dxa"/>
            <w:vMerge w:val="restart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Semily</w:t>
            </w:r>
          </w:p>
        </w:tc>
        <w:tc>
          <w:tcPr>
            <w:tcW w:w="1044" w:type="dxa"/>
            <w:vMerge w:val="restart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Kraj</w:t>
            </w:r>
          </w:p>
        </w:tc>
      </w:tr>
      <w:tr w:rsidR="001259FB" w:rsidRPr="000F1831" w:rsidTr="001259FB">
        <w:trPr>
          <w:trHeight w:val="28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Uchazeči o zaměstnání</w:t>
            </w:r>
          </w:p>
        </w:tc>
        <w:tc>
          <w:tcPr>
            <w:tcW w:w="1043" w:type="dxa"/>
            <w:vMerge/>
            <w:hideMark/>
          </w:tcPr>
          <w:p w:rsidR="000F1831" w:rsidRPr="000F1831" w:rsidRDefault="000F1831">
            <w:pPr>
              <w:rPr>
                <w:b/>
                <w:bCs/>
              </w:rPr>
            </w:pPr>
          </w:p>
        </w:tc>
        <w:tc>
          <w:tcPr>
            <w:tcW w:w="1044" w:type="dxa"/>
            <w:vMerge/>
            <w:hideMark/>
          </w:tcPr>
          <w:p w:rsidR="000F1831" w:rsidRPr="000F1831" w:rsidRDefault="000F1831">
            <w:pPr>
              <w:rPr>
                <w:b/>
                <w:bCs/>
              </w:rPr>
            </w:pPr>
          </w:p>
        </w:tc>
        <w:tc>
          <w:tcPr>
            <w:tcW w:w="1044" w:type="dxa"/>
            <w:vMerge/>
            <w:hideMark/>
          </w:tcPr>
          <w:p w:rsidR="000F1831" w:rsidRPr="000F1831" w:rsidRDefault="000F1831">
            <w:pPr>
              <w:rPr>
                <w:b/>
                <w:bCs/>
              </w:rPr>
            </w:pPr>
          </w:p>
        </w:tc>
        <w:tc>
          <w:tcPr>
            <w:tcW w:w="1044" w:type="dxa"/>
            <w:vMerge/>
            <w:hideMark/>
          </w:tcPr>
          <w:p w:rsidR="000F1831" w:rsidRPr="000F1831" w:rsidRDefault="000F1831">
            <w:pPr>
              <w:rPr>
                <w:b/>
                <w:bCs/>
              </w:rPr>
            </w:pPr>
          </w:p>
        </w:tc>
        <w:tc>
          <w:tcPr>
            <w:tcW w:w="1044" w:type="dxa"/>
            <w:vMerge/>
            <w:hideMark/>
          </w:tcPr>
          <w:p w:rsidR="000F1831" w:rsidRPr="000F1831" w:rsidRDefault="000F1831">
            <w:pPr>
              <w:rPr>
                <w:b/>
                <w:bCs/>
              </w:rPr>
            </w:pP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Uchazeči na konci předchozího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7 115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4 781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9 710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4 422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26 028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Nově hlášení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533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465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980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353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2 331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Vyřazení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531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476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882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383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2 272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Z toho umístění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249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226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565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196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1 236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Uchazeči na konci sledovaného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7 117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4 770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9 808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4 392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26 087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 xml:space="preserve">Dosažitelní uchazeči na konci sled. </w:t>
            </w:r>
            <w:proofErr w:type="gramStart"/>
            <w:r w:rsidRPr="000F1831">
              <w:rPr>
                <w:b/>
                <w:bCs/>
              </w:rPr>
              <w:t>měsíce</w:t>
            </w:r>
            <w:proofErr w:type="gramEnd"/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6 869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4 437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9 629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4 318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25 253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Placení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1 447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963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2 094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1 121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5 625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20,3%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20,2%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21,3%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25,5%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21,6%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Ženy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3 681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2 337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4 768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2 081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12 867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51,7%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49,0%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48,6%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47,4%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49,3%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Muži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3 436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2 433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5 040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2 311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13 220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48,3%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51,0%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51,4%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52,6%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50,7%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Uchazeči se zdravotním postižením (ZP)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848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570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1 002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513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2 933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11,9%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11,9%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10,2%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11,7%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11,2%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Absolventi a mladiství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473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340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477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342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1 632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6,6%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7,1%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4,9%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7,8%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6,3%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Absolventi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397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283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356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322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1 358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5,6%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5,9%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5,2%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Mladiství do 18 let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77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121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275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  <w:i/>
                <w:iCs/>
              </w:rPr>
            </w:pPr>
            <w:r w:rsidRPr="000F1831">
              <w:rPr>
                <w:b/>
                <w:bCs/>
                <w:i/>
                <w:iCs/>
              </w:rPr>
              <w:t>Procent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1,1%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1,2%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1,2%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0,5%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1,1%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i/>
                <w:iCs/>
              </w:rPr>
            </w:pPr>
            <w:r w:rsidRPr="000F1831">
              <w:rPr>
                <w:i/>
                <w:iCs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Dosažitelní uchazeči ve věku 15-64 let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6 863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4 434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9 617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4 316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25 230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Obyvatelstvo ve věku 15-64 let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71 979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60 919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116 070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50 072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299 040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Podíl nezaměstnaných osob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9,5%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7,3%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8,3%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8,6%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8,4%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 xml:space="preserve"> </w:t>
            </w:r>
          </w:p>
        </w:tc>
      </w:tr>
      <w:tr w:rsidR="001259FB" w:rsidRPr="000F1831" w:rsidTr="001259FB">
        <w:trPr>
          <w:trHeight w:val="28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Volná pracovní místa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VPM na konci předchozího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400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454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1 157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210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2 221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VPM na konci sledovaného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460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442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1 283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234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2 419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 w:rsidP="001259FB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Počet uchazečů na jedno volné pracovní místo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15,5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10,8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7,6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18,8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10,8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8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Aktivní politika zaměstnanosti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Počet toho času umístěných uchazečů: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Veřejně prospěšné práce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85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168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296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 xml:space="preserve">Společenský účelná </w:t>
            </w:r>
            <w:proofErr w:type="spellStart"/>
            <w:r w:rsidRPr="000F1831">
              <w:t>prac</w:t>
            </w:r>
            <w:proofErr w:type="spellEnd"/>
            <w:r w:rsidRPr="000F1831">
              <w:t xml:space="preserve">. </w:t>
            </w:r>
            <w:proofErr w:type="gramStart"/>
            <w:r w:rsidRPr="000F1831">
              <w:t>místa</w:t>
            </w:r>
            <w:proofErr w:type="gramEnd"/>
            <w:r w:rsidRPr="000F1831">
              <w:t xml:space="preserve"> u zaměstnavatele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 xml:space="preserve">Společenský účelná </w:t>
            </w:r>
            <w:proofErr w:type="spellStart"/>
            <w:r w:rsidRPr="000F1831">
              <w:t>prac</w:t>
            </w:r>
            <w:proofErr w:type="spellEnd"/>
            <w:r w:rsidRPr="000F1831">
              <w:t xml:space="preserve">. </w:t>
            </w:r>
            <w:proofErr w:type="gramStart"/>
            <w:r w:rsidRPr="000F1831">
              <w:t>místa</w:t>
            </w:r>
            <w:proofErr w:type="gramEnd"/>
            <w:r w:rsidRPr="000F1831">
              <w:t xml:space="preserve"> - vyhrazená místa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26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Samostatně výdělečná činnost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146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Chráněné pracovní dílny - vytvoření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10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13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Chráněná pracovní místa - zřízení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Chráněná pracovní místa - SVČ osob se ZP - zřízení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 xml:space="preserve">Příspěvek na provoz </w:t>
            </w:r>
            <w:proofErr w:type="spellStart"/>
            <w:r w:rsidRPr="000F1831">
              <w:t>ChPD,ChPM</w:t>
            </w:r>
            <w:proofErr w:type="spellEnd"/>
            <w:r w:rsidRPr="000F1831">
              <w:t xml:space="preserve">, </w:t>
            </w:r>
            <w:proofErr w:type="spellStart"/>
            <w:r w:rsidRPr="000F1831">
              <w:t>ChPM</w:t>
            </w:r>
            <w:proofErr w:type="spellEnd"/>
            <w:r w:rsidRPr="000F1831">
              <w:t>-SVČ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 xml:space="preserve">Příspěvek při přechodu na nový </w:t>
            </w:r>
            <w:r w:rsidRPr="000F1831">
              <w:lastRenderedPageBreak/>
              <w:t xml:space="preserve">podnikatelský </w:t>
            </w:r>
            <w:proofErr w:type="spellStart"/>
            <w:r w:rsidRPr="000F1831">
              <w:t>progr</w:t>
            </w:r>
            <w:proofErr w:type="spellEnd"/>
            <w:r w:rsidRPr="000F1831">
              <w:t>.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lastRenderedPageBreak/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lastRenderedPageBreak/>
              <w:t>Překlenovací příspěvek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Příspěvek na zapracování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ESF - OP LZZ Veřejně prospěšné práce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21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156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297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ESF - OP LZZ Společensky účelná pracovní místa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205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ESF - OP LZZ Cílené programy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21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Chráněné pracovní místa - vymezená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877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514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1373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303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3067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Sdílené zprostředkování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0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Zvolená rekvalifikace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4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11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98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85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Rekvalifikace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>
            <w:r w:rsidRPr="000F1831">
              <w:t> 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V rekvalifikaci ke konci předchozího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29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35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76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Nově zařazení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33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19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63</w:t>
            </w:r>
          </w:p>
        </w:tc>
      </w:tr>
      <w:tr w:rsidR="001259FB" w:rsidRPr="000F1831" w:rsidTr="001259FB">
        <w:trPr>
          <w:trHeight w:val="255"/>
        </w:trPr>
        <w:tc>
          <w:tcPr>
            <w:tcW w:w="4069" w:type="dxa"/>
            <w:noWrap/>
            <w:hideMark/>
          </w:tcPr>
          <w:p w:rsidR="000F1831" w:rsidRPr="000F1831" w:rsidRDefault="000F1831">
            <w:r w:rsidRPr="000F1831">
              <w:t>Vyřazení (ukončili rekvalifikaci)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r w:rsidRPr="000F1831">
              <w:t>32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2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r w:rsidRPr="000F1831">
              <w:t>70</w:t>
            </w:r>
          </w:p>
        </w:tc>
      </w:tr>
      <w:tr w:rsidR="001259FB" w:rsidRPr="000F1831" w:rsidTr="001259FB">
        <w:trPr>
          <w:trHeight w:val="270"/>
        </w:trPr>
        <w:tc>
          <w:tcPr>
            <w:tcW w:w="4069" w:type="dxa"/>
            <w:noWrap/>
            <w:hideMark/>
          </w:tcPr>
          <w:p w:rsidR="000F1831" w:rsidRPr="000F1831" w:rsidRDefault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V rekvalifikaci ke konci sledovaného měsíce</w:t>
            </w:r>
          </w:p>
        </w:tc>
        <w:tc>
          <w:tcPr>
            <w:tcW w:w="1043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30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8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26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5</w:t>
            </w:r>
          </w:p>
        </w:tc>
        <w:tc>
          <w:tcPr>
            <w:tcW w:w="1044" w:type="dxa"/>
            <w:noWrap/>
            <w:hideMark/>
          </w:tcPr>
          <w:p w:rsidR="000F1831" w:rsidRPr="000F1831" w:rsidRDefault="000F1831" w:rsidP="000F1831">
            <w:pPr>
              <w:rPr>
                <w:b/>
                <w:bCs/>
              </w:rPr>
            </w:pPr>
            <w:r w:rsidRPr="000F1831">
              <w:rPr>
                <w:b/>
                <w:bCs/>
              </w:rPr>
              <w:t>69</w:t>
            </w:r>
          </w:p>
        </w:tc>
      </w:tr>
    </w:tbl>
    <w:p w:rsidR="009D4675" w:rsidRDefault="009D4675"/>
    <w:sectPr w:rsidR="009D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DD"/>
    <w:rsid w:val="0003523E"/>
    <w:rsid w:val="000872CD"/>
    <w:rsid w:val="000B0A17"/>
    <w:rsid w:val="000C108F"/>
    <w:rsid w:val="000F1831"/>
    <w:rsid w:val="001259FB"/>
    <w:rsid w:val="00352682"/>
    <w:rsid w:val="00453011"/>
    <w:rsid w:val="004B15DD"/>
    <w:rsid w:val="00507D82"/>
    <w:rsid w:val="005C4373"/>
    <w:rsid w:val="0063488B"/>
    <w:rsid w:val="006B7FA2"/>
    <w:rsid w:val="00727FDA"/>
    <w:rsid w:val="009D4675"/>
    <w:rsid w:val="00A61F7E"/>
    <w:rsid w:val="00B956DD"/>
    <w:rsid w:val="00C67109"/>
    <w:rsid w:val="00D0137E"/>
    <w:rsid w:val="00D7042C"/>
    <w:rsid w:val="00E44D27"/>
    <w:rsid w:val="00E901FD"/>
    <w:rsid w:val="00F810AD"/>
    <w:rsid w:val="00F94CEC"/>
    <w:rsid w:val="00F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23E"/>
  </w:style>
  <w:style w:type="paragraph" w:styleId="Nadpis1">
    <w:name w:val="heading 1"/>
    <w:basedOn w:val="Normln"/>
    <w:next w:val="Normln"/>
    <w:link w:val="Nadpis1Char"/>
    <w:uiPriority w:val="9"/>
    <w:qFormat/>
    <w:rsid w:val="0003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5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5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5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52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352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3523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3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35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352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352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352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Mkatabulky">
    <w:name w:val="Table Grid"/>
    <w:basedOn w:val="Normlntabulka"/>
    <w:uiPriority w:val="59"/>
    <w:rsid w:val="0050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23E"/>
  </w:style>
  <w:style w:type="paragraph" w:styleId="Nadpis1">
    <w:name w:val="heading 1"/>
    <w:basedOn w:val="Normln"/>
    <w:next w:val="Normln"/>
    <w:link w:val="Nadpis1Char"/>
    <w:uiPriority w:val="9"/>
    <w:qFormat/>
    <w:rsid w:val="0003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5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5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5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52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352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3523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3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35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352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352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352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Mkatabulky">
    <w:name w:val="Table Grid"/>
    <w:basedOn w:val="Normlntabulka"/>
    <w:uiPriority w:val="59"/>
    <w:rsid w:val="0050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2273-4064-408C-8183-4CCDCFA6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Koskova Silvie</dc:creator>
  <cp:keywords/>
  <dc:description/>
  <cp:lastModifiedBy>Gorosova Danuse</cp:lastModifiedBy>
  <cp:revision>2</cp:revision>
  <cp:lastPrinted>2012-12-17T13:56:00Z</cp:lastPrinted>
  <dcterms:created xsi:type="dcterms:W3CDTF">2013-05-14T06:49:00Z</dcterms:created>
  <dcterms:modified xsi:type="dcterms:W3CDTF">2013-05-14T06:49:00Z</dcterms:modified>
</cp:coreProperties>
</file>