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82" w:rsidRPr="00F37318" w:rsidRDefault="00F37318" w:rsidP="00F3731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37318">
        <w:rPr>
          <w:b/>
          <w:sz w:val="28"/>
          <w:szCs w:val="28"/>
        </w:rPr>
        <w:t xml:space="preserve">Graf vývoje nezaměstnanosti </w:t>
      </w:r>
      <w:r w:rsidR="00864122">
        <w:rPr>
          <w:b/>
          <w:sz w:val="28"/>
          <w:szCs w:val="28"/>
        </w:rPr>
        <w:t>0</w:t>
      </w:r>
      <w:r w:rsidR="002A5619">
        <w:rPr>
          <w:b/>
          <w:sz w:val="28"/>
          <w:szCs w:val="28"/>
        </w:rPr>
        <w:t>3</w:t>
      </w:r>
      <w:r w:rsidRPr="00F37318">
        <w:rPr>
          <w:b/>
          <w:sz w:val="28"/>
          <w:szCs w:val="28"/>
        </w:rPr>
        <w:t>/201</w:t>
      </w:r>
      <w:r w:rsidR="00864122">
        <w:rPr>
          <w:b/>
          <w:sz w:val="28"/>
          <w:szCs w:val="28"/>
        </w:rPr>
        <w:t>2</w:t>
      </w:r>
      <w:r w:rsidRPr="00F37318">
        <w:rPr>
          <w:b/>
          <w:sz w:val="28"/>
          <w:szCs w:val="28"/>
        </w:rPr>
        <w:t xml:space="preserve"> až </w:t>
      </w:r>
      <w:r w:rsidR="00864122">
        <w:rPr>
          <w:b/>
          <w:sz w:val="28"/>
          <w:szCs w:val="28"/>
        </w:rPr>
        <w:t>0</w:t>
      </w:r>
      <w:r w:rsidR="002A5619">
        <w:rPr>
          <w:b/>
          <w:sz w:val="28"/>
          <w:szCs w:val="28"/>
        </w:rPr>
        <w:t>3</w:t>
      </w:r>
      <w:r w:rsidRPr="00F37318">
        <w:rPr>
          <w:b/>
          <w:sz w:val="28"/>
          <w:szCs w:val="28"/>
        </w:rPr>
        <w:t>/201</w:t>
      </w:r>
      <w:r w:rsidR="00864122">
        <w:rPr>
          <w:b/>
          <w:sz w:val="28"/>
          <w:szCs w:val="28"/>
        </w:rPr>
        <w:t>3</w:t>
      </w:r>
    </w:p>
    <w:p w:rsidR="0012157A" w:rsidRDefault="002A5619">
      <w:r>
        <w:rPr>
          <w:noProof/>
          <w:lang w:eastAsia="cs-CZ"/>
        </w:rPr>
        <w:drawing>
          <wp:inline distT="0" distB="0" distL="0" distR="0" wp14:anchorId="0FB46515" wp14:editId="5AA34823">
            <wp:extent cx="8553450" cy="4752975"/>
            <wp:effectExtent l="0" t="0" r="19050" b="952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12157A" w:rsidSect="00A65D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3B"/>
    <w:rsid w:val="00010DE7"/>
    <w:rsid w:val="0012157A"/>
    <w:rsid w:val="002A5619"/>
    <w:rsid w:val="003A6F95"/>
    <w:rsid w:val="0045780C"/>
    <w:rsid w:val="007D0B3B"/>
    <w:rsid w:val="00864122"/>
    <w:rsid w:val="0097193F"/>
    <w:rsid w:val="00A65D54"/>
    <w:rsid w:val="00C278E8"/>
    <w:rsid w:val="00C65832"/>
    <w:rsid w:val="00F3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D5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641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41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41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41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41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D5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641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41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41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41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4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fsusers\users\hlousekp\Dokumenty\Zam&#283;stnanost\Bod%20do%20rady%20a%20zastupitelstva\03-2013\nezamestnanost%20grafy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v>Česká republika</c:v>
          </c:tx>
          <c:cat>
            <c:strRef>
              <c:f>List1!$C$383:$O$383</c:f>
              <c:strCache>
                <c:ptCount val="13"/>
                <c:pt idx="0">
                  <c:v>III/2012</c:v>
                </c:pt>
                <c:pt idx="1">
                  <c:v>IV/2012</c:v>
                </c:pt>
                <c:pt idx="2">
                  <c:v>V/2012</c:v>
                </c:pt>
                <c:pt idx="3">
                  <c:v>VI/2012</c:v>
                </c:pt>
                <c:pt idx="4">
                  <c:v>VII/2012</c:v>
                </c:pt>
                <c:pt idx="5">
                  <c:v>VIII/2012</c:v>
                </c:pt>
                <c:pt idx="6">
                  <c:v>IX/2012</c:v>
                </c:pt>
                <c:pt idx="7">
                  <c:v>X/2012</c:v>
                </c:pt>
                <c:pt idx="8">
                  <c:v>XI/2012</c:v>
                </c:pt>
                <c:pt idx="9">
                  <c:v>XII/2012</c:v>
                </c:pt>
                <c:pt idx="10">
                  <c:v>I/2013</c:v>
                </c:pt>
                <c:pt idx="11">
                  <c:v>II/2013</c:v>
                </c:pt>
                <c:pt idx="12">
                  <c:v>III/2013</c:v>
                </c:pt>
              </c:strCache>
            </c:strRef>
          </c:cat>
          <c:val>
            <c:numRef>
              <c:f>List1!$C$384:$O$384</c:f>
              <c:numCache>
                <c:formatCode>0.00%</c:formatCode>
                <c:ptCount val="13"/>
                <c:pt idx="0">
                  <c:v>8.900000000000001E-2</c:v>
                </c:pt>
                <c:pt idx="1">
                  <c:v>8.4000000000000005E-2</c:v>
                </c:pt>
                <c:pt idx="2">
                  <c:v>8.2000000000000003E-2</c:v>
                </c:pt>
                <c:pt idx="3">
                  <c:v>8.1000000000000003E-2</c:v>
                </c:pt>
                <c:pt idx="4">
                  <c:v>8.3000000000000004E-2</c:v>
                </c:pt>
                <c:pt idx="5">
                  <c:v>8.3000000000000004E-2</c:v>
                </c:pt>
                <c:pt idx="6">
                  <c:v>8.4000000000000005E-2</c:v>
                </c:pt>
                <c:pt idx="7">
                  <c:v>8.5000000000000006E-2</c:v>
                </c:pt>
                <c:pt idx="8">
                  <c:v>8.6999999999999994E-2</c:v>
                </c:pt>
                <c:pt idx="9">
                  <c:v>9.4E-2</c:v>
                </c:pt>
                <c:pt idx="10">
                  <c:v>0.08</c:v>
                </c:pt>
                <c:pt idx="11">
                  <c:v>8.1000000000000003E-2</c:v>
                </c:pt>
                <c:pt idx="12">
                  <c:v>0.08</c:v>
                </c:pt>
              </c:numCache>
            </c:numRef>
          </c:val>
          <c:smooth val="0"/>
        </c:ser>
        <c:ser>
          <c:idx val="1"/>
          <c:order val="1"/>
          <c:tx>
            <c:v>Liberecký kraj</c:v>
          </c:tx>
          <c:cat>
            <c:strRef>
              <c:f>List1!$C$383:$O$383</c:f>
              <c:strCache>
                <c:ptCount val="13"/>
                <c:pt idx="0">
                  <c:v>III/2012</c:v>
                </c:pt>
                <c:pt idx="1">
                  <c:v>IV/2012</c:v>
                </c:pt>
                <c:pt idx="2">
                  <c:v>V/2012</c:v>
                </c:pt>
                <c:pt idx="3">
                  <c:v>VI/2012</c:v>
                </c:pt>
                <c:pt idx="4">
                  <c:v>VII/2012</c:v>
                </c:pt>
                <c:pt idx="5">
                  <c:v>VIII/2012</c:v>
                </c:pt>
                <c:pt idx="6">
                  <c:v>IX/2012</c:v>
                </c:pt>
                <c:pt idx="7">
                  <c:v>X/2012</c:v>
                </c:pt>
                <c:pt idx="8">
                  <c:v>XI/2012</c:v>
                </c:pt>
                <c:pt idx="9">
                  <c:v>XII/2012</c:v>
                </c:pt>
                <c:pt idx="10">
                  <c:v>I/2013</c:v>
                </c:pt>
                <c:pt idx="11">
                  <c:v>II/2013</c:v>
                </c:pt>
                <c:pt idx="12">
                  <c:v>III/2013</c:v>
                </c:pt>
              </c:strCache>
            </c:strRef>
          </c:cat>
          <c:val>
            <c:numRef>
              <c:f>List1!$C$385:$O$385</c:f>
              <c:numCache>
                <c:formatCode>0.00%</c:formatCode>
                <c:ptCount val="13"/>
                <c:pt idx="0" formatCode="0.0%">
                  <c:v>9.8000000000000004E-2</c:v>
                </c:pt>
                <c:pt idx="1">
                  <c:v>9.5000000000000001E-2</c:v>
                </c:pt>
                <c:pt idx="2">
                  <c:v>9.4E-2</c:v>
                </c:pt>
                <c:pt idx="3">
                  <c:v>9.3000000000000013E-2</c:v>
                </c:pt>
                <c:pt idx="4">
                  <c:v>9.6000000000000002E-2</c:v>
                </c:pt>
                <c:pt idx="5">
                  <c:v>9.6000000000000002E-2</c:v>
                </c:pt>
                <c:pt idx="6">
                  <c:v>9.6000000000000002E-2</c:v>
                </c:pt>
                <c:pt idx="7">
                  <c:v>9.6999999999999989E-2</c:v>
                </c:pt>
                <c:pt idx="8">
                  <c:v>9.8000000000000004E-2</c:v>
                </c:pt>
                <c:pt idx="9">
                  <c:v>0.10299999999999999</c:v>
                </c:pt>
                <c:pt idx="10">
                  <c:v>8.3000000000000004E-2</c:v>
                </c:pt>
                <c:pt idx="11">
                  <c:v>8.4000000000000005E-2</c:v>
                </c:pt>
                <c:pt idx="12">
                  <c:v>8.4000000000000005E-2</c:v>
                </c:pt>
              </c:numCache>
            </c:numRef>
          </c:val>
          <c:smooth val="0"/>
        </c:ser>
        <c:ser>
          <c:idx val="2"/>
          <c:order val="2"/>
          <c:tx>
            <c:v>okres Česká Lípa</c:v>
          </c:tx>
          <c:cat>
            <c:strRef>
              <c:f>List1!$C$383:$O$383</c:f>
              <c:strCache>
                <c:ptCount val="13"/>
                <c:pt idx="0">
                  <c:v>III/2012</c:v>
                </c:pt>
                <c:pt idx="1">
                  <c:v>IV/2012</c:v>
                </c:pt>
                <c:pt idx="2">
                  <c:v>V/2012</c:v>
                </c:pt>
                <c:pt idx="3">
                  <c:v>VI/2012</c:v>
                </c:pt>
                <c:pt idx="4">
                  <c:v>VII/2012</c:v>
                </c:pt>
                <c:pt idx="5">
                  <c:v>VIII/2012</c:v>
                </c:pt>
                <c:pt idx="6">
                  <c:v>IX/2012</c:v>
                </c:pt>
                <c:pt idx="7">
                  <c:v>X/2012</c:v>
                </c:pt>
                <c:pt idx="8">
                  <c:v>XI/2012</c:v>
                </c:pt>
                <c:pt idx="9">
                  <c:v>XII/2012</c:v>
                </c:pt>
                <c:pt idx="10">
                  <c:v>I/2013</c:v>
                </c:pt>
                <c:pt idx="11">
                  <c:v>II/2013</c:v>
                </c:pt>
                <c:pt idx="12">
                  <c:v>III/2013</c:v>
                </c:pt>
              </c:strCache>
            </c:strRef>
          </c:cat>
          <c:val>
            <c:numRef>
              <c:f>List1!$C$386:$O$386</c:f>
              <c:numCache>
                <c:formatCode>0.00%</c:formatCode>
                <c:ptCount val="13"/>
                <c:pt idx="0" formatCode="0.0%">
                  <c:v>0.11700000000000001</c:v>
                </c:pt>
                <c:pt idx="1">
                  <c:v>0.11199999999999999</c:v>
                </c:pt>
                <c:pt idx="2" formatCode="0%">
                  <c:v>0.11</c:v>
                </c:pt>
                <c:pt idx="3">
                  <c:v>0.10800000000000001</c:v>
                </c:pt>
                <c:pt idx="4">
                  <c:v>0.111</c:v>
                </c:pt>
                <c:pt idx="5">
                  <c:v>0.112</c:v>
                </c:pt>
                <c:pt idx="6">
                  <c:v>0.112</c:v>
                </c:pt>
                <c:pt idx="7">
                  <c:v>0.11199999999999999</c:v>
                </c:pt>
                <c:pt idx="8">
                  <c:v>0.113</c:v>
                </c:pt>
                <c:pt idx="9">
                  <c:v>0.11899999999999999</c:v>
                </c:pt>
                <c:pt idx="10">
                  <c:v>9.4E-2</c:v>
                </c:pt>
                <c:pt idx="11">
                  <c:v>9.5000000000000001E-2</c:v>
                </c:pt>
                <c:pt idx="12">
                  <c:v>9.5000000000000001E-2</c:v>
                </c:pt>
              </c:numCache>
            </c:numRef>
          </c:val>
          <c:smooth val="0"/>
        </c:ser>
        <c:ser>
          <c:idx val="3"/>
          <c:order val="3"/>
          <c:tx>
            <c:v>okres Jablonec nad Nisou</c:v>
          </c:tx>
          <c:cat>
            <c:strRef>
              <c:f>List1!$C$383:$O$383</c:f>
              <c:strCache>
                <c:ptCount val="13"/>
                <c:pt idx="0">
                  <c:v>III/2012</c:v>
                </c:pt>
                <c:pt idx="1">
                  <c:v>IV/2012</c:v>
                </c:pt>
                <c:pt idx="2">
                  <c:v>V/2012</c:v>
                </c:pt>
                <c:pt idx="3">
                  <c:v>VI/2012</c:v>
                </c:pt>
                <c:pt idx="4">
                  <c:v>VII/2012</c:v>
                </c:pt>
                <c:pt idx="5">
                  <c:v>VIII/2012</c:v>
                </c:pt>
                <c:pt idx="6">
                  <c:v>IX/2012</c:v>
                </c:pt>
                <c:pt idx="7">
                  <c:v>X/2012</c:v>
                </c:pt>
                <c:pt idx="8">
                  <c:v>XI/2012</c:v>
                </c:pt>
                <c:pt idx="9">
                  <c:v>XII/2012</c:v>
                </c:pt>
                <c:pt idx="10">
                  <c:v>I/2013</c:v>
                </c:pt>
                <c:pt idx="11">
                  <c:v>II/2013</c:v>
                </c:pt>
                <c:pt idx="12">
                  <c:v>III/2013</c:v>
                </c:pt>
              </c:strCache>
            </c:strRef>
          </c:cat>
          <c:val>
            <c:numRef>
              <c:f>List1!$C$387:$O$387</c:f>
              <c:numCache>
                <c:formatCode>0.00%</c:formatCode>
                <c:ptCount val="13"/>
                <c:pt idx="0" formatCode="0.0%">
                  <c:v>8.5999999999999993E-2</c:v>
                </c:pt>
                <c:pt idx="1">
                  <c:v>8.3000000000000004E-2</c:v>
                </c:pt>
                <c:pt idx="2">
                  <c:v>8.3000000000000004E-2</c:v>
                </c:pt>
                <c:pt idx="3">
                  <c:v>8.199999999999999E-2</c:v>
                </c:pt>
                <c:pt idx="4">
                  <c:v>8.5000000000000006E-2</c:v>
                </c:pt>
                <c:pt idx="5">
                  <c:v>8.5000000000000006E-2</c:v>
                </c:pt>
                <c:pt idx="6">
                  <c:v>8.6999999999999994E-2</c:v>
                </c:pt>
                <c:pt idx="7">
                  <c:v>8.900000000000001E-2</c:v>
                </c:pt>
                <c:pt idx="8">
                  <c:v>0.09</c:v>
                </c:pt>
                <c:pt idx="9">
                  <c:v>9.2999999999999999E-2</c:v>
                </c:pt>
                <c:pt idx="10">
                  <c:v>7.1999999999999995E-2</c:v>
                </c:pt>
                <c:pt idx="11">
                  <c:v>7.2999999999999995E-2</c:v>
                </c:pt>
                <c:pt idx="12">
                  <c:v>7.2999999999999995E-2</c:v>
                </c:pt>
              </c:numCache>
            </c:numRef>
          </c:val>
          <c:smooth val="0"/>
        </c:ser>
        <c:ser>
          <c:idx val="4"/>
          <c:order val="4"/>
          <c:tx>
            <c:v>okres Liberec</c:v>
          </c:tx>
          <c:cat>
            <c:strRef>
              <c:f>List1!$C$383:$O$383</c:f>
              <c:strCache>
                <c:ptCount val="13"/>
                <c:pt idx="0">
                  <c:v>III/2012</c:v>
                </c:pt>
                <c:pt idx="1">
                  <c:v>IV/2012</c:v>
                </c:pt>
                <c:pt idx="2">
                  <c:v>V/2012</c:v>
                </c:pt>
                <c:pt idx="3">
                  <c:v>VI/2012</c:v>
                </c:pt>
                <c:pt idx="4">
                  <c:v>VII/2012</c:v>
                </c:pt>
                <c:pt idx="5">
                  <c:v>VIII/2012</c:v>
                </c:pt>
                <c:pt idx="6">
                  <c:v>IX/2012</c:v>
                </c:pt>
                <c:pt idx="7">
                  <c:v>X/2012</c:v>
                </c:pt>
                <c:pt idx="8">
                  <c:v>XI/2012</c:v>
                </c:pt>
                <c:pt idx="9">
                  <c:v>XII/2012</c:v>
                </c:pt>
                <c:pt idx="10">
                  <c:v>I/2013</c:v>
                </c:pt>
                <c:pt idx="11">
                  <c:v>II/2013</c:v>
                </c:pt>
                <c:pt idx="12">
                  <c:v>III/2013</c:v>
                </c:pt>
              </c:strCache>
            </c:strRef>
          </c:cat>
          <c:val>
            <c:numRef>
              <c:f>List1!$C$388:$O$388</c:f>
              <c:numCache>
                <c:formatCode>0.00%</c:formatCode>
                <c:ptCount val="13"/>
                <c:pt idx="0" formatCode="0.0%">
                  <c:v>9.5000000000000001E-2</c:v>
                </c:pt>
                <c:pt idx="1">
                  <c:v>9.3000000000000013E-2</c:v>
                </c:pt>
                <c:pt idx="2">
                  <c:v>9.0999999999999998E-2</c:v>
                </c:pt>
                <c:pt idx="3">
                  <c:v>9.0999999999999998E-2</c:v>
                </c:pt>
                <c:pt idx="4">
                  <c:v>9.4E-2</c:v>
                </c:pt>
                <c:pt idx="5">
                  <c:v>9.2999999999999999E-2</c:v>
                </c:pt>
                <c:pt idx="6">
                  <c:v>9.3000000000000013E-2</c:v>
                </c:pt>
                <c:pt idx="7">
                  <c:v>9.3000000000000013E-2</c:v>
                </c:pt>
                <c:pt idx="8">
                  <c:v>9.4E-2</c:v>
                </c:pt>
                <c:pt idx="9">
                  <c:v>9.9000000000000005E-2</c:v>
                </c:pt>
                <c:pt idx="10">
                  <c:v>8.1000000000000003E-2</c:v>
                </c:pt>
                <c:pt idx="11">
                  <c:v>8.2000000000000003E-2</c:v>
                </c:pt>
                <c:pt idx="12">
                  <c:v>8.3000000000000004E-2</c:v>
                </c:pt>
              </c:numCache>
            </c:numRef>
          </c:val>
          <c:smooth val="0"/>
        </c:ser>
        <c:ser>
          <c:idx val="5"/>
          <c:order val="5"/>
          <c:tx>
            <c:v>okres Semily</c:v>
          </c:tx>
          <c:cat>
            <c:strRef>
              <c:f>List1!$C$383:$O$383</c:f>
              <c:strCache>
                <c:ptCount val="13"/>
                <c:pt idx="0">
                  <c:v>III/2012</c:v>
                </c:pt>
                <c:pt idx="1">
                  <c:v>IV/2012</c:v>
                </c:pt>
                <c:pt idx="2">
                  <c:v>V/2012</c:v>
                </c:pt>
                <c:pt idx="3">
                  <c:v>VI/2012</c:v>
                </c:pt>
                <c:pt idx="4">
                  <c:v>VII/2012</c:v>
                </c:pt>
                <c:pt idx="5">
                  <c:v>VIII/2012</c:v>
                </c:pt>
                <c:pt idx="6">
                  <c:v>IX/2012</c:v>
                </c:pt>
                <c:pt idx="7">
                  <c:v>X/2012</c:v>
                </c:pt>
                <c:pt idx="8">
                  <c:v>XI/2012</c:v>
                </c:pt>
                <c:pt idx="9">
                  <c:v>XII/2012</c:v>
                </c:pt>
                <c:pt idx="10">
                  <c:v>I/2013</c:v>
                </c:pt>
                <c:pt idx="11">
                  <c:v>II/2013</c:v>
                </c:pt>
                <c:pt idx="12">
                  <c:v>III/2013</c:v>
                </c:pt>
              </c:strCache>
            </c:strRef>
          </c:cat>
          <c:val>
            <c:numRef>
              <c:f>List1!$C$389:$O$389</c:f>
              <c:numCache>
                <c:formatCode>0.00%</c:formatCode>
                <c:ptCount val="13"/>
                <c:pt idx="0" formatCode="0.0%">
                  <c:v>9.6000000000000002E-2</c:v>
                </c:pt>
                <c:pt idx="1">
                  <c:v>8.900000000000001E-2</c:v>
                </c:pt>
                <c:pt idx="2">
                  <c:v>8.6999999999999994E-2</c:v>
                </c:pt>
                <c:pt idx="3">
                  <c:v>8.6999999999999994E-2</c:v>
                </c:pt>
                <c:pt idx="4">
                  <c:v>0.09</c:v>
                </c:pt>
                <c:pt idx="5">
                  <c:v>9.0999999999999998E-2</c:v>
                </c:pt>
                <c:pt idx="6">
                  <c:v>9.2999999999999999E-2</c:v>
                </c:pt>
                <c:pt idx="7">
                  <c:v>9.3000000000000013E-2</c:v>
                </c:pt>
                <c:pt idx="8">
                  <c:v>9.6000000000000002E-2</c:v>
                </c:pt>
                <c:pt idx="9">
                  <c:v>0.1</c:v>
                </c:pt>
                <c:pt idx="10">
                  <c:v>8.5999999999999993E-2</c:v>
                </c:pt>
                <c:pt idx="11">
                  <c:v>8.6999999999999994E-2</c:v>
                </c:pt>
                <c:pt idx="12">
                  <c:v>8.5999999999999993E-2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579136"/>
        <c:axId val="93580672"/>
      </c:lineChart>
      <c:catAx>
        <c:axId val="93579136"/>
        <c:scaling>
          <c:orientation val="minMax"/>
        </c:scaling>
        <c:delete val="0"/>
        <c:axPos val="b"/>
        <c:majorTickMark val="out"/>
        <c:minorTickMark val="none"/>
        <c:tickLblPos val="nextTo"/>
        <c:crossAx val="93580672"/>
        <c:crosses val="autoZero"/>
        <c:auto val="1"/>
        <c:lblAlgn val="ctr"/>
        <c:lblOffset val="100"/>
        <c:noMultiLvlLbl val="0"/>
      </c:catAx>
      <c:valAx>
        <c:axId val="9358067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93579136"/>
        <c:crosses val="autoZero"/>
        <c:crossBetween val="between"/>
      </c:valAx>
      <c:spPr>
        <a:solidFill>
          <a:schemeClr val="bg1">
            <a:lumMod val="75000"/>
          </a:schemeClr>
        </a:solidFill>
      </c:spPr>
    </c:plotArea>
    <c:legend>
      <c:legendPos val="b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Hlousek Petr</dc:creator>
  <cp:keywords/>
  <dc:description/>
  <cp:lastModifiedBy>Gorosova Danuse</cp:lastModifiedBy>
  <cp:revision>2</cp:revision>
  <cp:lastPrinted>2013-05-14T06:50:00Z</cp:lastPrinted>
  <dcterms:created xsi:type="dcterms:W3CDTF">2013-05-14T06:50:00Z</dcterms:created>
  <dcterms:modified xsi:type="dcterms:W3CDTF">2013-05-14T06:50:00Z</dcterms:modified>
</cp:coreProperties>
</file>