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7EA" w:rsidRDefault="009A57EA" w:rsidP="009A57EA">
      <w:pPr>
        <w:pStyle w:val="Default"/>
        <w:spacing w:before="120" w:after="120"/>
        <w:rPr>
          <w:rFonts w:ascii="Times New Roman" w:hAnsi="Times New Roman" w:cs="Times New Roman"/>
          <w:b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PÍSEMNÁ INFORMACE pro 7</w:t>
      </w:r>
      <w:r w:rsidRPr="0047156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zasedání</w:t>
      </w:r>
    </w:p>
    <w:p w:rsidR="009A57EA" w:rsidRPr="0047156F" w:rsidRDefault="009A57EA" w:rsidP="009A5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47156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Zastupi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telstva Libereckého kraje dne 27. 8</w:t>
      </w:r>
      <w:r w:rsidRPr="0047156F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. 2013</w:t>
      </w: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2"/>
          <w:szCs w:val="32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</w:p>
    <w:p w:rsidR="009A57EA" w:rsidRPr="0047156F" w:rsidRDefault="009A57EA" w:rsidP="009A57EA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47156F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Informace o finančních korekcích v rámci Regionálního operačního programu regionu soudružnosti Severovýchod za roky 2011 a 2012</w:t>
      </w: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36"/>
          <w:szCs w:val="36"/>
          <w:lang w:eastAsia="cs-CZ"/>
        </w:rPr>
      </w:pPr>
      <w:r>
        <w:rPr>
          <w:rFonts w:ascii="Garamond" w:eastAsia="Times New Roman" w:hAnsi="Garamond" w:cs="Times New Roman"/>
          <w:b/>
          <w:sz w:val="36"/>
          <w:szCs w:val="36"/>
          <w:lang w:eastAsia="cs-CZ"/>
        </w:rPr>
        <w:t>6</w:t>
      </w:r>
      <w:r>
        <w:rPr>
          <w:rFonts w:ascii="Garamond" w:eastAsia="Times New Roman" w:hAnsi="Garamond" w:cs="Times New Roman"/>
          <w:b/>
          <w:sz w:val="36"/>
          <w:szCs w:val="36"/>
          <w:lang w:eastAsia="cs-CZ"/>
        </w:rPr>
        <w:t>0</w:t>
      </w:r>
      <w:r w:rsidRPr="0047156F">
        <w:rPr>
          <w:rFonts w:ascii="Garamond" w:eastAsia="Times New Roman" w:hAnsi="Garamond" w:cs="Times New Roman"/>
          <w:b/>
          <w:sz w:val="36"/>
          <w:szCs w:val="36"/>
          <w:lang w:eastAsia="cs-CZ"/>
        </w:rPr>
        <w:t xml:space="preserve"> </w:t>
      </w:r>
      <w:r>
        <w:rPr>
          <w:rFonts w:ascii="Garamond" w:eastAsia="Times New Roman" w:hAnsi="Garamond" w:cs="Times New Roman"/>
          <w:b/>
          <w:sz w:val="36"/>
          <w:szCs w:val="36"/>
          <w:lang w:eastAsia="cs-CZ"/>
        </w:rPr>
        <w:t>v</w:t>
      </w:r>
      <w:r w:rsidRPr="0047156F">
        <w:rPr>
          <w:rFonts w:ascii="Garamond" w:eastAsia="Times New Roman" w:hAnsi="Garamond" w:cs="Times New Roman"/>
          <w:b/>
          <w:sz w:val="36"/>
          <w:szCs w:val="36"/>
          <w:lang w:eastAsia="cs-CZ"/>
        </w:rPr>
        <w:t>)</w:t>
      </w: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p w:rsidR="009A57EA" w:rsidRPr="0047156F" w:rsidRDefault="009A57EA" w:rsidP="009A57EA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4"/>
          <w:u w:val="single"/>
          <w:lang w:eastAsia="cs-CZ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9A57EA" w:rsidRPr="0047156F" w:rsidTr="00C83861">
        <w:tc>
          <w:tcPr>
            <w:tcW w:w="205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cs-CZ"/>
              </w:rPr>
            </w:pPr>
          </w:p>
        </w:tc>
      </w:tr>
      <w:tr w:rsidR="009A57EA" w:rsidRPr="0047156F" w:rsidTr="00C83861">
        <w:tc>
          <w:tcPr>
            <w:tcW w:w="205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Zpracoval</w:t>
            </w: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716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Michael Otta</w:t>
            </w: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9A57EA" w:rsidRPr="0047156F" w:rsidTr="00C83861">
        <w:tc>
          <w:tcPr>
            <w:tcW w:w="205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odbor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regionálního rozvoje a evropských projektů</w:t>
            </w:r>
          </w:p>
        </w:tc>
      </w:tr>
      <w:tr w:rsidR="009A57EA" w:rsidRPr="0047156F" w:rsidTr="00C83861">
        <w:tc>
          <w:tcPr>
            <w:tcW w:w="205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A57EA" w:rsidRPr="0047156F" w:rsidTr="00C83861">
        <w:tc>
          <w:tcPr>
            <w:tcW w:w="205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Předkládá:</w:t>
            </w:r>
          </w:p>
        </w:tc>
        <w:tc>
          <w:tcPr>
            <w:tcW w:w="716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Martin Půta </w:t>
            </w:r>
          </w:p>
        </w:tc>
      </w:tr>
      <w:tr w:rsidR="009A57EA" w:rsidRPr="0047156F" w:rsidTr="00C83861">
        <w:tc>
          <w:tcPr>
            <w:tcW w:w="205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7160" w:type="dxa"/>
          </w:tcPr>
          <w:p w:rsidR="009A57EA" w:rsidRPr="0047156F" w:rsidRDefault="009A57EA" w:rsidP="00C838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7156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hejtman Libereckého kraje</w:t>
            </w:r>
          </w:p>
        </w:tc>
      </w:tr>
    </w:tbl>
    <w:p w:rsidR="009A57EA" w:rsidRDefault="009A57EA" w:rsidP="009A57EA">
      <w:pPr>
        <w:pStyle w:val="Default"/>
        <w:spacing w:before="120" w:after="120"/>
        <w:rPr>
          <w:rFonts w:ascii="Times New Roman" w:hAnsi="Times New Roman" w:cs="Times New Roman"/>
          <w:b/>
        </w:rPr>
      </w:pPr>
    </w:p>
    <w:p w:rsidR="009A57EA" w:rsidRDefault="009A57EA" w:rsidP="009A57EA">
      <w:pPr>
        <w:pStyle w:val="Default"/>
        <w:spacing w:before="120" w:after="120"/>
        <w:rPr>
          <w:rFonts w:ascii="Times New Roman" w:hAnsi="Times New Roman" w:cs="Times New Roman"/>
          <w:b/>
        </w:rPr>
      </w:pPr>
    </w:p>
    <w:p w:rsidR="00FF6F0F" w:rsidRPr="00FF6F0F" w:rsidRDefault="00FF6F0F" w:rsidP="00FF6F0F">
      <w:pPr>
        <w:pStyle w:val="Default"/>
        <w:spacing w:before="120" w:after="120"/>
        <w:jc w:val="center"/>
        <w:rPr>
          <w:rFonts w:ascii="Times New Roman" w:hAnsi="Times New Roman" w:cs="Times New Roman"/>
          <w:b/>
        </w:rPr>
      </w:pPr>
      <w:r w:rsidRPr="00FF6F0F">
        <w:rPr>
          <w:rFonts w:ascii="Times New Roman" w:hAnsi="Times New Roman" w:cs="Times New Roman"/>
          <w:b/>
        </w:rPr>
        <w:t>Důvodová zpráva</w:t>
      </w:r>
    </w:p>
    <w:p w:rsidR="00FF6F0F" w:rsidRDefault="00FF6F0F" w:rsidP="00165722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</w:p>
    <w:p w:rsidR="00FF6F0F" w:rsidRDefault="00FF6F0F" w:rsidP="00165722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Dne 28. 5. 2013 a 25. 6. 2013 předložil Martin Půta, hejtman Libereckého kraje, členům zastupitelstva kraje jako písemné informace materiály, týkající se aktuální situace ohledně případného placení, způsobu hrazení a samotné výše finanční korekce, kterou by měla hradit Regionální rada regionu soudržnosti Severovýchod Ministerstvu financí </w:t>
      </w:r>
      <w:r w:rsidR="00757D08">
        <w:rPr>
          <w:rFonts w:ascii="Times New Roman" w:hAnsi="Times New Roman" w:cs="Times New Roman"/>
        </w:rPr>
        <w:t xml:space="preserve">ČR </w:t>
      </w:r>
      <w:r>
        <w:rPr>
          <w:rFonts w:ascii="Times New Roman" w:hAnsi="Times New Roman" w:cs="Times New Roman"/>
        </w:rPr>
        <w:t>v souvislosti s chybovostí stanovenou v rámci Výročních kontrolních zpráv za roky 2011 a 2012.</w:t>
      </w:r>
    </w:p>
    <w:p w:rsidR="00FF6F0F" w:rsidRDefault="00FF6F0F" w:rsidP="00165722">
      <w:pPr>
        <w:pStyle w:val="Default"/>
        <w:spacing w:before="12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Předkládaný materiál obsahuje nejdůležitější informace ohledně dalšího vývoje, včetně způsobu </w:t>
      </w:r>
      <w:r w:rsidR="00757D08">
        <w:rPr>
          <w:rFonts w:ascii="Times New Roman" w:hAnsi="Times New Roman" w:cs="Times New Roman"/>
        </w:rPr>
        <w:t>vy</w:t>
      </w:r>
      <w:r>
        <w:rPr>
          <w:rFonts w:ascii="Times New Roman" w:hAnsi="Times New Roman" w:cs="Times New Roman"/>
        </w:rPr>
        <w:t>řešení</w:t>
      </w:r>
      <w:r w:rsidR="00757D08">
        <w:rPr>
          <w:rFonts w:ascii="Times New Roman" w:hAnsi="Times New Roman" w:cs="Times New Roman"/>
        </w:rPr>
        <w:t xml:space="preserve"> této věci</w:t>
      </w:r>
      <w:r>
        <w:rPr>
          <w:rFonts w:ascii="Times New Roman" w:hAnsi="Times New Roman" w:cs="Times New Roman"/>
        </w:rPr>
        <w:t>.</w:t>
      </w:r>
    </w:p>
    <w:p w:rsidR="00353250" w:rsidRPr="00353250" w:rsidRDefault="00353250" w:rsidP="00757D08">
      <w:pPr>
        <w:pStyle w:val="Defaul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53250">
        <w:rPr>
          <w:rFonts w:ascii="Times New Roman" w:hAnsi="Times New Roman" w:cs="Times New Roman"/>
          <w:color w:val="auto"/>
        </w:rPr>
        <w:t>Dne 12. 6. 2013 obdržela ČR informaci od Evropské komise</w:t>
      </w:r>
      <w:r w:rsidR="00FF6F0F">
        <w:rPr>
          <w:rFonts w:ascii="Times New Roman" w:hAnsi="Times New Roman" w:cs="Times New Roman"/>
          <w:color w:val="auto"/>
        </w:rPr>
        <w:t xml:space="preserve"> (EK)</w:t>
      </w:r>
      <w:r w:rsidRPr="00353250">
        <w:rPr>
          <w:rFonts w:ascii="Times New Roman" w:hAnsi="Times New Roman" w:cs="Times New Roman"/>
          <w:color w:val="auto"/>
        </w:rPr>
        <w:t xml:space="preserve"> ohledně přepočítání výše chybovosti. Při tomto přepočítání vzala EK v úvahu nejen chybovost vyplývající z Výroční kontrolní zprávy 2011 a 2012, ale také Výroční kontrolní zprávu 2010, kde byla chybovost nižší jak 2 %, dále také vzala v úvahu, kolik bylo dosud certifikováno v rámci </w:t>
      </w:r>
      <w:r w:rsidR="00FF6F0F">
        <w:rPr>
          <w:rFonts w:ascii="Times New Roman" w:hAnsi="Times New Roman" w:cs="Times New Roman"/>
          <w:color w:val="auto"/>
        </w:rPr>
        <w:t>Regionálního operačního programu regionu soudržnosti Severovýchod (ROP SV)</w:t>
      </w:r>
      <w:r w:rsidRPr="00353250">
        <w:rPr>
          <w:rFonts w:ascii="Times New Roman" w:hAnsi="Times New Roman" w:cs="Times New Roman"/>
          <w:color w:val="auto"/>
        </w:rPr>
        <w:t xml:space="preserve">, jaká byla výše vratek zaslaná </w:t>
      </w:r>
      <w:r w:rsidR="00FF6F0F">
        <w:rPr>
          <w:rFonts w:ascii="Times New Roman" w:hAnsi="Times New Roman" w:cs="Times New Roman"/>
          <w:color w:val="auto"/>
        </w:rPr>
        <w:t>Platebnímu a certifikačnímu orgánu</w:t>
      </w:r>
      <w:r w:rsidR="00507FF4">
        <w:rPr>
          <w:rFonts w:ascii="Times New Roman" w:hAnsi="Times New Roman" w:cs="Times New Roman"/>
          <w:color w:val="auto"/>
        </w:rPr>
        <w:t xml:space="preserve"> (PCO)</w:t>
      </w:r>
      <w:r w:rsidRPr="00353250">
        <w:rPr>
          <w:rFonts w:ascii="Times New Roman" w:hAnsi="Times New Roman" w:cs="Times New Roman"/>
          <w:color w:val="auto"/>
        </w:rPr>
        <w:t xml:space="preserve"> a další aspekty. Z této změny vyplývá i </w:t>
      </w:r>
      <w:r w:rsidRPr="00757D08">
        <w:rPr>
          <w:rFonts w:ascii="Times New Roman" w:hAnsi="Times New Roman" w:cs="Times New Roman"/>
          <w:b/>
          <w:color w:val="auto"/>
        </w:rPr>
        <w:t xml:space="preserve">snížení finanční opravy ROP SV </w:t>
      </w:r>
      <w:r w:rsidR="00757D08">
        <w:rPr>
          <w:rFonts w:ascii="Times New Roman" w:hAnsi="Times New Roman" w:cs="Times New Roman"/>
          <w:b/>
          <w:color w:val="auto"/>
        </w:rPr>
        <w:t xml:space="preserve">z původní částky 378 mil. Kč na </w:t>
      </w:r>
      <w:r w:rsidR="00FF6F0F" w:rsidRPr="00757D08">
        <w:rPr>
          <w:rFonts w:ascii="Times New Roman" w:hAnsi="Times New Roman" w:cs="Times New Roman"/>
          <w:b/>
          <w:color w:val="auto"/>
        </w:rPr>
        <w:t>2</w:t>
      </w:r>
      <w:r w:rsidR="00757D08">
        <w:rPr>
          <w:rFonts w:ascii="Times New Roman" w:hAnsi="Times New Roman" w:cs="Times New Roman"/>
          <w:b/>
          <w:color w:val="auto"/>
        </w:rPr>
        <w:t>26</w:t>
      </w:r>
      <w:r w:rsidR="00FF6F0F" w:rsidRPr="00757D08">
        <w:rPr>
          <w:rFonts w:ascii="Times New Roman" w:hAnsi="Times New Roman" w:cs="Times New Roman"/>
          <w:b/>
          <w:color w:val="auto"/>
        </w:rPr>
        <w:t xml:space="preserve"> mil. Kč</w:t>
      </w:r>
      <w:r w:rsidR="00757D08">
        <w:rPr>
          <w:rFonts w:ascii="Times New Roman" w:hAnsi="Times New Roman" w:cs="Times New Roman"/>
          <w:color w:val="auto"/>
        </w:rPr>
        <w:t>.</w:t>
      </w:r>
    </w:p>
    <w:p w:rsidR="00353250" w:rsidRPr="00353250" w:rsidRDefault="00353250" w:rsidP="00757D08">
      <w:pPr>
        <w:pStyle w:val="Defaul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53250">
        <w:rPr>
          <w:rFonts w:ascii="Times New Roman" w:hAnsi="Times New Roman" w:cs="Times New Roman"/>
          <w:color w:val="auto"/>
        </w:rPr>
        <w:t xml:space="preserve">Zástupci </w:t>
      </w:r>
      <w:r w:rsidR="005D2666">
        <w:rPr>
          <w:rFonts w:ascii="Times New Roman" w:hAnsi="Times New Roman" w:cs="Times New Roman"/>
          <w:color w:val="auto"/>
        </w:rPr>
        <w:t xml:space="preserve">všech </w:t>
      </w:r>
      <w:r w:rsidRPr="00353250">
        <w:rPr>
          <w:rFonts w:ascii="Times New Roman" w:hAnsi="Times New Roman" w:cs="Times New Roman"/>
          <w:color w:val="auto"/>
        </w:rPr>
        <w:t xml:space="preserve">Úřadů Regionálních rad </w:t>
      </w:r>
      <w:r w:rsidR="005D2666">
        <w:rPr>
          <w:rFonts w:ascii="Times New Roman" w:hAnsi="Times New Roman" w:cs="Times New Roman"/>
          <w:color w:val="auto"/>
        </w:rPr>
        <w:t xml:space="preserve">(ÚRR) </w:t>
      </w:r>
      <w:r w:rsidRPr="00353250">
        <w:rPr>
          <w:rFonts w:ascii="Times New Roman" w:hAnsi="Times New Roman" w:cs="Times New Roman"/>
          <w:color w:val="auto"/>
        </w:rPr>
        <w:t xml:space="preserve">vedli </w:t>
      </w:r>
      <w:r w:rsidR="005D2666">
        <w:rPr>
          <w:rFonts w:ascii="Times New Roman" w:hAnsi="Times New Roman" w:cs="Times New Roman"/>
          <w:color w:val="auto"/>
        </w:rPr>
        <w:t xml:space="preserve">v průběhu června a července řadu </w:t>
      </w:r>
      <w:r w:rsidRPr="00353250">
        <w:rPr>
          <w:rFonts w:ascii="Times New Roman" w:hAnsi="Times New Roman" w:cs="Times New Roman"/>
          <w:color w:val="auto"/>
        </w:rPr>
        <w:t xml:space="preserve">jednání se zástupci Ministerstva financí </w:t>
      </w:r>
      <w:r w:rsidR="00507FF4">
        <w:rPr>
          <w:rFonts w:ascii="Times New Roman" w:hAnsi="Times New Roman" w:cs="Times New Roman"/>
          <w:color w:val="auto"/>
        </w:rPr>
        <w:t xml:space="preserve">ČR (MF) </w:t>
      </w:r>
      <w:r w:rsidRPr="00353250">
        <w:rPr>
          <w:rFonts w:ascii="Times New Roman" w:hAnsi="Times New Roman" w:cs="Times New Roman"/>
          <w:color w:val="auto"/>
        </w:rPr>
        <w:t>ohledně platby korekcí. V této souvislost</w:t>
      </w:r>
      <w:r w:rsidR="005D2666">
        <w:rPr>
          <w:rFonts w:ascii="Times New Roman" w:hAnsi="Times New Roman" w:cs="Times New Roman"/>
          <w:color w:val="auto"/>
        </w:rPr>
        <w:t>i byl předložen ze strany ÚRR</w:t>
      </w:r>
      <w:r w:rsidRPr="00353250">
        <w:rPr>
          <w:rFonts w:ascii="Times New Roman" w:hAnsi="Times New Roman" w:cs="Times New Roman"/>
          <w:color w:val="auto"/>
        </w:rPr>
        <w:t xml:space="preserve"> návrh na započtení korekce vůči přebytku národních veřejných zdrojů ve výkazu výdajů.</w:t>
      </w:r>
      <w:r w:rsidR="005D2666">
        <w:rPr>
          <w:rFonts w:ascii="Times New Roman" w:hAnsi="Times New Roman" w:cs="Times New Roman"/>
          <w:color w:val="auto"/>
        </w:rPr>
        <w:t xml:space="preserve"> Z důvodu reálné struktury jednotlivých příjemců dotací totiž jednotlivé </w:t>
      </w:r>
      <w:proofErr w:type="spellStart"/>
      <w:r w:rsidR="005D2666">
        <w:rPr>
          <w:rFonts w:ascii="Times New Roman" w:hAnsi="Times New Roman" w:cs="Times New Roman"/>
          <w:color w:val="auto"/>
        </w:rPr>
        <w:t>ROPy</w:t>
      </w:r>
      <w:proofErr w:type="spellEnd"/>
      <w:r w:rsidR="005D2666">
        <w:rPr>
          <w:rFonts w:ascii="Times New Roman" w:hAnsi="Times New Roman" w:cs="Times New Roman"/>
          <w:color w:val="auto"/>
        </w:rPr>
        <w:t xml:space="preserve"> uplatňují vyšší podíl národních veřejných</w:t>
      </w:r>
      <w:r w:rsidRPr="00353250">
        <w:rPr>
          <w:rFonts w:ascii="Times New Roman" w:hAnsi="Times New Roman" w:cs="Times New Roman"/>
          <w:color w:val="auto"/>
        </w:rPr>
        <w:t xml:space="preserve"> </w:t>
      </w:r>
      <w:r w:rsidR="005D2666">
        <w:rPr>
          <w:rFonts w:ascii="Times New Roman" w:hAnsi="Times New Roman" w:cs="Times New Roman"/>
          <w:color w:val="auto"/>
        </w:rPr>
        <w:t xml:space="preserve">zdrojů, než je povinných 15%. </w:t>
      </w:r>
      <w:r w:rsidR="000E173D" w:rsidRPr="00507FF4">
        <w:rPr>
          <w:rFonts w:ascii="Times New Roman" w:hAnsi="Times New Roman" w:cs="Times New Roman"/>
          <w:i/>
          <w:color w:val="auto"/>
        </w:rPr>
        <w:t>(pozn. Jedná se o tzv. „</w:t>
      </w:r>
      <w:proofErr w:type="spellStart"/>
      <w:r w:rsidR="000E173D" w:rsidRPr="00507FF4">
        <w:rPr>
          <w:rFonts w:ascii="Times New Roman" w:hAnsi="Times New Roman" w:cs="Times New Roman"/>
          <w:i/>
          <w:color w:val="auto"/>
        </w:rPr>
        <w:t>buffer</w:t>
      </w:r>
      <w:proofErr w:type="spellEnd"/>
      <w:r w:rsidR="000E173D" w:rsidRPr="00507FF4">
        <w:rPr>
          <w:rFonts w:ascii="Times New Roman" w:hAnsi="Times New Roman" w:cs="Times New Roman"/>
          <w:i/>
          <w:color w:val="auto"/>
        </w:rPr>
        <w:t>“. „</w:t>
      </w:r>
      <w:proofErr w:type="spellStart"/>
      <w:r w:rsidR="000E173D" w:rsidRPr="000E173D">
        <w:rPr>
          <w:rFonts w:ascii="Times New Roman" w:hAnsi="Times New Roman" w:cs="Times New Roman"/>
          <w:b/>
          <w:i/>
          <w:color w:val="auto"/>
        </w:rPr>
        <w:t>Buffer</w:t>
      </w:r>
      <w:proofErr w:type="spellEnd"/>
      <w:r w:rsidR="000E173D" w:rsidRPr="00507FF4">
        <w:rPr>
          <w:rFonts w:ascii="Times New Roman" w:hAnsi="Times New Roman" w:cs="Times New Roman"/>
          <w:i/>
          <w:color w:val="auto"/>
        </w:rPr>
        <w:t>“ je rozdíl, ve kterém národní veřejné výdaje vynaložené v rámci příslušného regionu/regionů přesahují rámec povinné míry národního veřejného spolufinancování ve výši 15 %).</w:t>
      </w:r>
      <w:r w:rsidR="000E173D" w:rsidRPr="00353250">
        <w:rPr>
          <w:rFonts w:ascii="Times New Roman" w:hAnsi="Times New Roman" w:cs="Times New Roman"/>
          <w:color w:val="auto"/>
        </w:rPr>
        <w:t xml:space="preserve"> </w:t>
      </w:r>
      <w:r w:rsidR="00507FF4" w:rsidRPr="000E173D">
        <w:rPr>
          <w:rFonts w:ascii="Times New Roman" w:hAnsi="Times New Roman" w:cs="Times New Roman"/>
          <w:b/>
          <w:color w:val="auto"/>
        </w:rPr>
        <w:t>MF</w:t>
      </w:r>
      <w:r w:rsidRPr="000E173D">
        <w:rPr>
          <w:rFonts w:ascii="Times New Roman" w:hAnsi="Times New Roman" w:cs="Times New Roman"/>
          <w:b/>
          <w:color w:val="auto"/>
        </w:rPr>
        <w:t xml:space="preserve"> tento návrh akceptovalo</w:t>
      </w:r>
      <w:r w:rsidR="005D2666" w:rsidRPr="000E173D">
        <w:rPr>
          <w:rFonts w:ascii="Times New Roman" w:hAnsi="Times New Roman" w:cs="Times New Roman"/>
          <w:b/>
          <w:color w:val="auto"/>
        </w:rPr>
        <w:t xml:space="preserve"> a souhlasilo se započtením tohoto národního přebytku vůči korekcím.</w:t>
      </w:r>
      <w:r w:rsidRPr="000E173D">
        <w:rPr>
          <w:rFonts w:ascii="Times New Roman" w:hAnsi="Times New Roman" w:cs="Times New Roman"/>
          <w:b/>
          <w:color w:val="auto"/>
        </w:rPr>
        <w:t xml:space="preserve"> Dle předběžných výpočtů tato </w:t>
      </w:r>
      <w:r w:rsidR="00617C64">
        <w:rPr>
          <w:rFonts w:ascii="Times New Roman" w:hAnsi="Times New Roman" w:cs="Times New Roman"/>
          <w:b/>
          <w:color w:val="auto"/>
        </w:rPr>
        <w:t>„</w:t>
      </w:r>
      <w:r w:rsidRPr="000E173D">
        <w:rPr>
          <w:rFonts w:ascii="Times New Roman" w:hAnsi="Times New Roman" w:cs="Times New Roman"/>
          <w:b/>
          <w:color w:val="auto"/>
        </w:rPr>
        <w:t>rezerva</w:t>
      </w:r>
      <w:r w:rsidR="00617C64">
        <w:rPr>
          <w:rFonts w:ascii="Times New Roman" w:hAnsi="Times New Roman" w:cs="Times New Roman"/>
          <w:b/>
          <w:color w:val="auto"/>
        </w:rPr>
        <w:t>“</w:t>
      </w:r>
      <w:r w:rsidRPr="000E173D">
        <w:rPr>
          <w:rFonts w:ascii="Times New Roman" w:hAnsi="Times New Roman" w:cs="Times New Roman"/>
          <w:b/>
          <w:color w:val="auto"/>
        </w:rPr>
        <w:t xml:space="preserve"> činí </w:t>
      </w:r>
      <w:r w:rsidR="005D2666" w:rsidRPr="000E173D">
        <w:rPr>
          <w:rFonts w:ascii="Times New Roman" w:hAnsi="Times New Roman" w:cs="Times New Roman"/>
          <w:b/>
          <w:color w:val="auto"/>
        </w:rPr>
        <w:t xml:space="preserve">v případě </w:t>
      </w:r>
      <w:r w:rsidRPr="000E173D">
        <w:rPr>
          <w:rFonts w:ascii="Times New Roman" w:hAnsi="Times New Roman" w:cs="Times New Roman"/>
          <w:b/>
          <w:color w:val="auto"/>
        </w:rPr>
        <w:t xml:space="preserve">ROP </w:t>
      </w:r>
      <w:r w:rsidR="005D2666" w:rsidRPr="000E173D">
        <w:rPr>
          <w:rFonts w:ascii="Times New Roman" w:hAnsi="Times New Roman" w:cs="Times New Roman"/>
          <w:b/>
          <w:color w:val="auto"/>
        </w:rPr>
        <w:t xml:space="preserve">SV </w:t>
      </w:r>
      <w:r w:rsidRPr="000E173D">
        <w:rPr>
          <w:rFonts w:ascii="Times New Roman" w:hAnsi="Times New Roman" w:cs="Times New Roman"/>
          <w:b/>
          <w:color w:val="auto"/>
        </w:rPr>
        <w:t>cca 620 mil. Kč</w:t>
      </w:r>
      <w:r w:rsidR="005D2666" w:rsidRPr="000E173D">
        <w:rPr>
          <w:rFonts w:ascii="Times New Roman" w:hAnsi="Times New Roman" w:cs="Times New Roman"/>
          <w:b/>
          <w:color w:val="auto"/>
        </w:rPr>
        <w:t>.</w:t>
      </w:r>
    </w:p>
    <w:p w:rsidR="00353250" w:rsidRPr="00353250" w:rsidRDefault="00353250" w:rsidP="00757D08">
      <w:pPr>
        <w:pStyle w:val="Defaul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53250">
        <w:rPr>
          <w:rFonts w:ascii="Times New Roman" w:hAnsi="Times New Roman" w:cs="Times New Roman"/>
          <w:color w:val="auto"/>
        </w:rPr>
        <w:t xml:space="preserve">V návaznosti na </w:t>
      </w:r>
      <w:r w:rsidR="005D2666">
        <w:rPr>
          <w:rFonts w:ascii="Times New Roman" w:hAnsi="Times New Roman" w:cs="Times New Roman"/>
          <w:color w:val="auto"/>
        </w:rPr>
        <w:t>dohodu ÚRR s </w:t>
      </w:r>
      <w:r w:rsidR="00507FF4">
        <w:rPr>
          <w:rFonts w:ascii="Times New Roman" w:hAnsi="Times New Roman" w:cs="Times New Roman"/>
          <w:color w:val="auto"/>
        </w:rPr>
        <w:t>MF</w:t>
      </w:r>
      <w:r w:rsidRPr="00353250">
        <w:rPr>
          <w:rFonts w:ascii="Times New Roman" w:hAnsi="Times New Roman" w:cs="Times New Roman"/>
          <w:color w:val="auto"/>
        </w:rPr>
        <w:t xml:space="preserve"> proběhlo dne 18. 7. 2013 jednání se zástupci </w:t>
      </w:r>
      <w:r w:rsidR="00507FF4">
        <w:rPr>
          <w:rFonts w:ascii="Times New Roman" w:hAnsi="Times New Roman" w:cs="Times New Roman"/>
          <w:color w:val="auto"/>
        </w:rPr>
        <w:t>PCO</w:t>
      </w:r>
      <w:r w:rsidR="005D2666">
        <w:rPr>
          <w:rFonts w:ascii="Times New Roman" w:hAnsi="Times New Roman" w:cs="Times New Roman"/>
          <w:color w:val="auto"/>
        </w:rPr>
        <w:t xml:space="preserve">, </w:t>
      </w:r>
      <w:r w:rsidR="00507FF4">
        <w:rPr>
          <w:rFonts w:ascii="Times New Roman" w:hAnsi="Times New Roman" w:cs="Times New Roman"/>
          <w:color w:val="auto"/>
        </w:rPr>
        <w:t>MMR</w:t>
      </w:r>
      <w:r w:rsidRPr="00353250">
        <w:rPr>
          <w:rFonts w:ascii="Times New Roman" w:hAnsi="Times New Roman" w:cs="Times New Roman"/>
          <w:color w:val="auto"/>
        </w:rPr>
        <w:t xml:space="preserve"> a </w:t>
      </w:r>
      <w:r w:rsidR="00617C64">
        <w:rPr>
          <w:rFonts w:ascii="Times New Roman" w:hAnsi="Times New Roman" w:cs="Times New Roman"/>
          <w:color w:val="auto"/>
        </w:rPr>
        <w:t xml:space="preserve">zástupci </w:t>
      </w:r>
      <w:r w:rsidR="00507FF4">
        <w:rPr>
          <w:rFonts w:ascii="Times New Roman" w:hAnsi="Times New Roman" w:cs="Times New Roman"/>
          <w:color w:val="auto"/>
        </w:rPr>
        <w:t>ROP SV</w:t>
      </w:r>
      <w:r w:rsidRPr="00353250">
        <w:rPr>
          <w:rFonts w:ascii="Times New Roman" w:hAnsi="Times New Roman" w:cs="Times New Roman"/>
          <w:color w:val="auto"/>
        </w:rPr>
        <w:t xml:space="preserve">. Předmětem jednání bylo představení a projednání návrhu na částečné nebo úplné vypořádání korekce </w:t>
      </w:r>
      <w:r w:rsidR="00507FF4">
        <w:rPr>
          <w:rFonts w:ascii="Times New Roman" w:hAnsi="Times New Roman" w:cs="Times New Roman"/>
          <w:color w:val="auto"/>
        </w:rPr>
        <w:t>v souladu s dohodou mezi ÚRR a MF.</w:t>
      </w:r>
    </w:p>
    <w:p w:rsidR="00E4026E" w:rsidRDefault="00353250" w:rsidP="00757D08">
      <w:pPr>
        <w:pStyle w:val="Defaul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353250">
        <w:rPr>
          <w:rFonts w:ascii="Times New Roman" w:hAnsi="Times New Roman" w:cs="Times New Roman"/>
          <w:color w:val="auto"/>
        </w:rPr>
        <w:t>Konkrétní možnosti využití „</w:t>
      </w:r>
      <w:proofErr w:type="spellStart"/>
      <w:r w:rsidRPr="00353250">
        <w:rPr>
          <w:rFonts w:ascii="Times New Roman" w:hAnsi="Times New Roman" w:cs="Times New Roman"/>
          <w:color w:val="auto"/>
        </w:rPr>
        <w:t>bufferu</w:t>
      </w:r>
      <w:proofErr w:type="spellEnd"/>
      <w:r w:rsidRPr="00353250">
        <w:rPr>
          <w:rFonts w:ascii="Times New Roman" w:hAnsi="Times New Roman" w:cs="Times New Roman"/>
          <w:color w:val="auto"/>
        </w:rPr>
        <w:t>“ byly následně projednány na jednání na MMR dne 1. 8. 2013. Během schůzky byly upřesněny podmínky, za kterých bude možné tento „</w:t>
      </w:r>
      <w:proofErr w:type="spellStart"/>
      <w:r w:rsidRPr="00353250">
        <w:rPr>
          <w:rFonts w:ascii="Times New Roman" w:hAnsi="Times New Roman" w:cs="Times New Roman"/>
          <w:color w:val="auto"/>
        </w:rPr>
        <w:t>buffer</w:t>
      </w:r>
      <w:proofErr w:type="spellEnd"/>
      <w:r w:rsidRPr="00353250">
        <w:rPr>
          <w:rFonts w:ascii="Times New Roman" w:hAnsi="Times New Roman" w:cs="Times New Roman"/>
          <w:color w:val="auto"/>
        </w:rPr>
        <w:t xml:space="preserve">“ využít na úhradu korekce. Na schůzce bylo dále dohodnuto, že postup vlastní aplikace korekce a další upřesňující podmínky související s vypořádáním korekce budou předmětem </w:t>
      </w:r>
      <w:r w:rsidR="00E4026E">
        <w:rPr>
          <w:rFonts w:ascii="Times New Roman" w:hAnsi="Times New Roman" w:cs="Times New Roman"/>
          <w:color w:val="auto"/>
        </w:rPr>
        <w:t>návrhu ze strany MF</w:t>
      </w:r>
      <w:r w:rsidRPr="00353250">
        <w:rPr>
          <w:rFonts w:ascii="Times New Roman" w:hAnsi="Times New Roman" w:cs="Times New Roman"/>
          <w:color w:val="auto"/>
        </w:rPr>
        <w:t>.</w:t>
      </w:r>
      <w:r w:rsidR="000E173D">
        <w:rPr>
          <w:rFonts w:ascii="Times New Roman" w:hAnsi="Times New Roman" w:cs="Times New Roman"/>
          <w:color w:val="auto"/>
        </w:rPr>
        <w:t xml:space="preserve"> Tento návrh byl ze strany MF zaslán 9. 8. 2013 a dne 16. 8. 2013 byl schválen Výborem Regionální rady regionu soudržnosti Severovýchod.</w:t>
      </w:r>
    </w:p>
    <w:p w:rsidR="00353250" w:rsidRDefault="00353250" w:rsidP="00757D08">
      <w:pPr>
        <w:pStyle w:val="Defaul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color w:val="auto"/>
        </w:rPr>
      </w:pPr>
      <w:r w:rsidRPr="000E173D">
        <w:rPr>
          <w:rFonts w:ascii="Times New Roman" w:hAnsi="Times New Roman" w:cs="Times New Roman"/>
          <w:b/>
          <w:color w:val="auto"/>
        </w:rPr>
        <w:t xml:space="preserve">Po schválení Podmínek pro vypořádání korekce u </w:t>
      </w:r>
      <w:r w:rsidR="00F9612C" w:rsidRPr="000E173D">
        <w:rPr>
          <w:rFonts w:ascii="Times New Roman" w:hAnsi="Times New Roman" w:cs="Times New Roman"/>
          <w:b/>
          <w:color w:val="auto"/>
        </w:rPr>
        <w:t>ROP SV</w:t>
      </w:r>
      <w:r w:rsidRPr="000E173D">
        <w:rPr>
          <w:rFonts w:ascii="Times New Roman" w:hAnsi="Times New Roman" w:cs="Times New Roman"/>
          <w:b/>
          <w:color w:val="auto"/>
        </w:rPr>
        <w:t xml:space="preserve"> bude ze strany PCO obnoven proces certifikace.</w:t>
      </w:r>
      <w:r w:rsidRPr="00353250">
        <w:rPr>
          <w:rFonts w:ascii="Times New Roman" w:hAnsi="Times New Roman" w:cs="Times New Roman"/>
          <w:color w:val="auto"/>
        </w:rPr>
        <w:t xml:space="preserve"> Předpokládaným termínem certifikace je druhá polovina srpna 2013, kdy proběhne odpočet korekce od žádosti o platbu do Evropské komise. </w:t>
      </w:r>
    </w:p>
    <w:p w:rsidR="009A57EA" w:rsidRPr="00353250" w:rsidRDefault="009A57EA" w:rsidP="009A57EA">
      <w:pPr>
        <w:pStyle w:val="Default"/>
        <w:spacing w:before="120" w:after="120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956713" w:rsidRPr="00617C64" w:rsidRDefault="00F9612C" w:rsidP="00165722">
      <w:pPr>
        <w:pStyle w:val="Default"/>
        <w:numPr>
          <w:ilvl w:val="0"/>
          <w:numId w:val="5"/>
        </w:numPr>
        <w:spacing w:before="120" w:after="120"/>
        <w:jc w:val="both"/>
        <w:rPr>
          <w:rFonts w:ascii="Times New Roman" w:hAnsi="Times New Roman" w:cs="Times New Roman"/>
          <w:b/>
          <w:color w:val="auto"/>
        </w:rPr>
      </w:pPr>
      <w:r w:rsidRPr="000E173D">
        <w:rPr>
          <w:rFonts w:ascii="Times New Roman" w:hAnsi="Times New Roman" w:cs="Times New Roman"/>
          <w:b/>
          <w:color w:val="auto"/>
        </w:rPr>
        <w:t>Díky možnosti využít „</w:t>
      </w:r>
      <w:proofErr w:type="spellStart"/>
      <w:r w:rsidRPr="000E173D">
        <w:rPr>
          <w:rFonts w:ascii="Times New Roman" w:hAnsi="Times New Roman" w:cs="Times New Roman"/>
          <w:b/>
          <w:color w:val="auto"/>
        </w:rPr>
        <w:t>buffer</w:t>
      </w:r>
      <w:proofErr w:type="spellEnd"/>
      <w:r w:rsidRPr="000E173D">
        <w:rPr>
          <w:rFonts w:ascii="Times New Roman" w:hAnsi="Times New Roman" w:cs="Times New Roman"/>
          <w:b/>
          <w:color w:val="auto"/>
        </w:rPr>
        <w:t xml:space="preserve">“ pro úhradu korekce </w:t>
      </w:r>
      <w:r w:rsidR="00617C64">
        <w:rPr>
          <w:rFonts w:ascii="Times New Roman" w:hAnsi="Times New Roman" w:cs="Times New Roman"/>
          <w:b/>
          <w:color w:val="auto"/>
        </w:rPr>
        <w:t>jako zápočtu</w:t>
      </w:r>
      <w:r w:rsidRPr="000E173D">
        <w:rPr>
          <w:rFonts w:ascii="Times New Roman" w:hAnsi="Times New Roman" w:cs="Times New Roman"/>
          <w:b/>
          <w:color w:val="auto"/>
        </w:rPr>
        <w:t xml:space="preserve"> vůči přebytku národních veřejných zdrojů není třeba reálně platit korekce z rozpočtu </w:t>
      </w:r>
      <w:r w:rsidR="000E173D" w:rsidRPr="000E173D">
        <w:rPr>
          <w:rFonts w:ascii="Times New Roman" w:hAnsi="Times New Roman" w:cs="Times New Roman"/>
          <w:b/>
          <w:color w:val="auto"/>
        </w:rPr>
        <w:t>ROP SV</w:t>
      </w:r>
      <w:r w:rsidRPr="000E173D">
        <w:rPr>
          <w:rFonts w:ascii="Times New Roman" w:hAnsi="Times New Roman" w:cs="Times New Roman"/>
          <w:b/>
          <w:color w:val="auto"/>
        </w:rPr>
        <w:t xml:space="preserve"> a tudíž není třeba, aby se na f</w:t>
      </w:r>
      <w:r w:rsidR="000E173D" w:rsidRPr="000E173D">
        <w:rPr>
          <w:rFonts w:ascii="Times New Roman" w:hAnsi="Times New Roman" w:cs="Times New Roman"/>
          <w:b/>
          <w:color w:val="auto"/>
        </w:rPr>
        <w:t xml:space="preserve">inancování této korekce </w:t>
      </w:r>
      <w:r w:rsidR="00617C64">
        <w:rPr>
          <w:rFonts w:ascii="Times New Roman" w:hAnsi="Times New Roman" w:cs="Times New Roman"/>
          <w:b/>
          <w:color w:val="auto"/>
        </w:rPr>
        <w:t xml:space="preserve">finančně </w:t>
      </w:r>
      <w:r w:rsidR="000E173D" w:rsidRPr="000E173D">
        <w:rPr>
          <w:rFonts w:ascii="Times New Roman" w:hAnsi="Times New Roman" w:cs="Times New Roman"/>
          <w:b/>
          <w:color w:val="auto"/>
        </w:rPr>
        <w:t>podílely</w:t>
      </w:r>
      <w:r w:rsidRPr="000E173D">
        <w:rPr>
          <w:rFonts w:ascii="Times New Roman" w:hAnsi="Times New Roman" w:cs="Times New Roman"/>
          <w:b/>
          <w:color w:val="auto"/>
        </w:rPr>
        <w:t xml:space="preserve"> jednotlivé kraje.</w:t>
      </w:r>
    </w:p>
    <w:sectPr w:rsidR="00956713" w:rsidRPr="00617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14EB9EC"/>
    <w:multiLevelType w:val="hybridMultilevel"/>
    <w:tmpl w:val="7A31DE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CA988B"/>
    <w:multiLevelType w:val="hybridMultilevel"/>
    <w:tmpl w:val="603B9C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CF27F90"/>
    <w:multiLevelType w:val="hybridMultilevel"/>
    <w:tmpl w:val="0356766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789440D"/>
    <w:multiLevelType w:val="hybridMultilevel"/>
    <w:tmpl w:val="56EC172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3857231D"/>
    <w:multiLevelType w:val="hybridMultilevel"/>
    <w:tmpl w:val="838036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50"/>
    <w:rsid w:val="000E173D"/>
    <w:rsid w:val="00165722"/>
    <w:rsid w:val="00353250"/>
    <w:rsid w:val="0039590E"/>
    <w:rsid w:val="00507FF4"/>
    <w:rsid w:val="005D2666"/>
    <w:rsid w:val="00617C64"/>
    <w:rsid w:val="00757D08"/>
    <w:rsid w:val="00922A6D"/>
    <w:rsid w:val="00956713"/>
    <w:rsid w:val="009A57EA"/>
    <w:rsid w:val="00B41041"/>
    <w:rsid w:val="00E4026E"/>
    <w:rsid w:val="00F9612C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7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532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57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532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 Michael</dc:creator>
  <cp:lastModifiedBy>Meszarosova Iveta</cp:lastModifiedBy>
  <cp:revision>3</cp:revision>
  <dcterms:created xsi:type="dcterms:W3CDTF">2013-08-26T08:17:00Z</dcterms:created>
  <dcterms:modified xsi:type="dcterms:W3CDTF">2013-08-26T08:20:00Z</dcterms:modified>
</cp:coreProperties>
</file>