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8F" w:rsidRPr="0017394D" w:rsidRDefault="0094207E">
      <w:pPr>
        <w:rPr>
          <w:b/>
          <w:u w:val="single"/>
        </w:rPr>
      </w:pPr>
      <w:bookmarkStart w:id="0" w:name="_GoBack"/>
      <w:bookmarkEnd w:id="0"/>
      <w:r w:rsidRPr="0017394D">
        <w:rPr>
          <w:b/>
          <w:u w:val="single"/>
        </w:rPr>
        <w:t>Přehled možností přechodného zadání služeb ve veřejné linkové dopravě</w:t>
      </w:r>
      <w:r w:rsidR="0017394D" w:rsidRPr="0017394D">
        <w:rPr>
          <w:b/>
          <w:u w:val="single"/>
        </w:rPr>
        <w:t xml:space="preserve"> </w:t>
      </w:r>
    </w:p>
    <w:p w:rsidR="0017394D" w:rsidRPr="0017394D" w:rsidRDefault="0017394D" w:rsidP="0017394D">
      <w:pPr>
        <w:jc w:val="both"/>
      </w:pPr>
      <w:r w:rsidRPr="0017394D">
        <w:t>Obecně při rozhodování o postupu zadání služeb ve veřejné linkové dopravě na přechodnou dobu, tj. do okamžiku výběru dopravců v řádném řízení</w:t>
      </w:r>
      <w:r w:rsidR="00191030">
        <w:t xml:space="preserve"> (které není doposud skončeno z důvodu trvajícího přezkumu ze strany ÚOHS)</w:t>
      </w:r>
      <w:r>
        <w:t>,</w:t>
      </w:r>
      <w:r w:rsidRPr="0017394D">
        <w:t xml:space="preserve"> lze </w:t>
      </w:r>
      <w:r>
        <w:t xml:space="preserve">s ohledem na časové hledisko (nutnost </w:t>
      </w:r>
      <w:r w:rsidR="00191030">
        <w:t xml:space="preserve">aby přechodné poskytování </w:t>
      </w:r>
      <w:r w:rsidR="00191030" w:rsidRPr="0017394D">
        <w:t>služeb ve veřejné linkové dopravě</w:t>
      </w:r>
      <w:r w:rsidR="00191030">
        <w:t xml:space="preserve"> bylo zahájeno cca za 6 měsíců</w:t>
      </w:r>
      <w:r>
        <w:t xml:space="preserve">) </w:t>
      </w:r>
      <w:r w:rsidRPr="0017394D">
        <w:t xml:space="preserve">uvažovat o </w:t>
      </w:r>
      <w:r w:rsidR="003B067C">
        <w:t>následujících</w:t>
      </w:r>
      <w:r w:rsidRPr="0017394D">
        <w:t xml:space="preserve"> variantách zadání: </w:t>
      </w:r>
    </w:p>
    <w:p w:rsidR="00D32031" w:rsidRPr="0017394D" w:rsidRDefault="003B067C" w:rsidP="00463BB2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Postup v režimu </w:t>
      </w:r>
      <w:r w:rsidR="00D32031" w:rsidRPr="0017394D">
        <w:rPr>
          <w:b/>
        </w:rPr>
        <w:t>zákona 137/2006 Sb., o veřejných zakázkách</w:t>
      </w:r>
      <w:r w:rsidR="0017394D" w:rsidRPr="0017394D">
        <w:rPr>
          <w:b/>
        </w:rPr>
        <w:t xml:space="preserve">, ve znění pozdějších předpisů („ZVZ“) </w:t>
      </w:r>
      <w:r>
        <w:rPr>
          <w:b/>
        </w:rPr>
        <w:t xml:space="preserve">- </w:t>
      </w:r>
      <w:r w:rsidRPr="0017394D">
        <w:rPr>
          <w:b/>
        </w:rPr>
        <w:t xml:space="preserve">Zadání veřejné zakázky </w:t>
      </w:r>
      <w:r w:rsidR="0017394D" w:rsidRPr="0017394D">
        <w:rPr>
          <w:b/>
        </w:rPr>
        <w:t>prostřednictvím jednacího řízení bez uveřejnění</w:t>
      </w:r>
      <w:r w:rsidR="0017394D">
        <w:rPr>
          <w:b/>
        </w:rPr>
        <w:t xml:space="preserve"> („JŘBU“) </w:t>
      </w:r>
      <w:r w:rsidR="0017394D" w:rsidRPr="0017394D">
        <w:rPr>
          <w:b/>
        </w:rPr>
        <w:t xml:space="preserve"> </w:t>
      </w:r>
    </w:p>
    <w:p w:rsidR="0017394D" w:rsidRPr="0017394D" w:rsidRDefault="0017394D" w:rsidP="0017394D">
      <w:pPr>
        <w:ind w:firstLine="360"/>
      </w:pPr>
      <w:r w:rsidRPr="0017394D">
        <w:t xml:space="preserve">Podle § 23 odst. 4 písm. b) lze </w:t>
      </w:r>
      <w:r w:rsidR="00D32031" w:rsidRPr="0017394D">
        <w:t>veřejnou zakázku zadat v</w:t>
      </w:r>
      <w:r w:rsidRPr="0017394D">
        <w:t xml:space="preserve"> JŘBU pouze tehdy, pokud  </w:t>
      </w:r>
    </w:p>
    <w:p w:rsidR="0017394D" w:rsidRDefault="0017394D" w:rsidP="00D87237">
      <w:pPr>
        <w:pStyle w:val="Odstavecseseznamem"/>
        <w:numPr>
          <w:ilvl w:val="0"/>
          <w:numId w:val="2"/>
        </w:numPr>
        <w:jc w:val="both"/>
      </w:pPr>
      <w:proofErr w:type="gramStart"/>
      <w:r>
        <w:t>se jedná</w:t>
      </w:r>
      <w:proofErr w:type="gramEnd"/>
      <w:r>
        <w:t xml:space="preserve"> o </w:t>
      </w:r>
      <w:r w:rsidR="00D32031" w:rsidRPr="00D32031">
        <w:t>krajně naléh</w:t>
      </w:r>
      <w:r>
        <w:t>avý</w:t>
      </w:r>
      <w:r w:rsidR="00D32031" w:rsidRPr="00D32031">
        <w:t xml:space="preserve"> </w:t>
      </w:r>
      <w:r>
        <w:t>případ</w:t>
      </w:r>
      <w:r w:rsidR="00D32031" w:rsidRPr="00D32031">
        <w:t>, který zadavatel svým jednáním nezpůsobil a ani jej nemohl předvídat, a</w:t>
      </w:r>
    </w:p>
    <w:p w:rsidR="00D32031" w:rsidRDefault="00D32031" w:rsidP="00D87237">
      <w:pPr>
        <w:pStyle w:val="Odstavecseseznamem"/>
        <w:numPr>
          <w:ilvl w:val="0"/>
          <w:numId w:val="2"/>
        </w:numPr>
        <w:jc w:val="both"/>
      </w:pPr>
      <w:r w:rsidRPr="00D32031">
        <w:t>z časových důvodů není možné zadat veřejnou zakázku v jiném druhu zadávacího řízení.</w:t>
      </w:r>
    </w:p>
    <w:p w:rsidR="0017394D" w:rsidRDefault="0017394D" w:rsidP="007550A8">
      <w:pPr>
        <w:ind w:left="360"/>
        <w:jc w:val="both"/>
      </w:pPr>
      <w:r>
        <w:t xml:space="preserve">V daném případě </w:t>
      </w:r>
      <w:r w:rsidR="00191030">
        <w:t xml:space="preserve">je pravděpodobné, že </w:t>
      </w:r>
      <w:r>
        <w:t xml:space="preserve">by </w:t>
      </w:r>
      <w:r w:rsidR="007550A8">
        <w:t>měly</w:t>
      </w:r>
      <w:r>
        <w:t xml:space="preserve"> být obě podmínky splněny – z časových důvodů jistě nelze využít jiný způsob zadání podle ZVZ, zcela </w:t>
      </w:r>
      <w:r w:rsidR="007550A8">
        <w:t>jistě</w:t>
      </w:r>
      <w:r>
        <w:t xml:space="preserve"> se </w:t>
      </w:r>
      <w:r w:rsidR="007550A8">
        <w:t>také</w:t>
      </w:r>
      <w:r>
        <w:t xml:space="preserve"> jedná o krajně naléhavý případ (je nutné zabezpečit</w:t>
      </w:r>
      <w:r w:rsidR="007550A8">
        <w:t xml:space="preserve"> dopravní obslužnost v kraji). </w:t>
      </w:r>
      <w:r w:rsidR="00191030">
        <w:t>Lze také dovozovat, že kraj t</w:t>
      </w:r>
      <w:r w:rsidR="007550A8">
        <w:t>ento stav žádným přímým krokem nezpůsobil (</w:t>
      </w:r>
      <w:r w:rsidR="00191030">
        <w:t xml:space="preserve">v daném případě </w:t>
      </w:r>
      <w:r w:rsidR="007550A8">
        <w:t>zadávací řízení probíhá již dva roky, tedy kraj nic nepodcenil a nenechal přípravu veřejné zakázky tzv. na poslední chvíli</w:t>
      </w:r>
      <w:r w:rsidR="00463BB2">
        <w:t>)</w:t>
      </w:r>
      <w:r w:rsidR="007550A8">
        <w:t>.</w:t>
      </w:r>
    </w:p>
    <w:p w:rsidR="007550A8" w:rsidRDefault="007550A8" w:rsidP="007550A8">
      <w:pPr>
        <w:ind w:left="360"/>
        <w:jc w:val="both"/>
      </w:pPr>
      <w:r>
        <w:t>V </w:t>
      </w:r>
      <w:r w:rsidR="005D24F9">
        <w:t>JŘBU</w:t>
      </w:r>
      <w:r>
        <w:t xml:space="preserve"> je postupováno podle § 34 ZVZ.</w:t>
      </w:r>
      <w:r w:rsidR="003D4AFD">
        <w:t xml:space="preserve">  Zadavatel může jednat s jedním nebo více zájemci, řízení je zahájeno na základě příslušné výzvy k jednání.</w:t>
      </w:r>
    </w:p>
    <w:p w:rsidR="00463BB2" w:rsidRPr="00463BB2" w:rsidRDefault="00463BB2" w:rsidP="00463BB2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463BB2">
        <w:rPr>
          <w:b/>
        </w:rPr>
        <w:t>Postup v režimu zákona č. 194/2010 Sb., o veřejných službách v přepravě cestujících („ZVS“)</w:t>
      </w:r>
    </w:p>
    <w:p w:rsidR="00463BB2" w:rsidRDefault="00463BB2" w:rsidP="00463BB2">
      <w:pPr>
        <w:pStyle w:val="Odstavecseseznamem"/>
        <w:ind w:left="360"/>
        <w:jc w:val="both"/>
        <w:rPr>
          <w:b/>
        </w:rPr>
      </w:pPr>
    </w:p>
    <w:p w:rsidR="007550A8" w:rsidRPr="001F05BF" w:rsidRDefault="007550A8" w:rsidP="001F05BF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1F05BF">
        <w:rPr>
          <w:b/>
        </w:rPr>
        <w:t>Prodloužení smluv se stávajícími dopravci</w:t>
      </w:r>
    </w:p>
    <w:p w:rsidR="007550A8" w:rsidRDefault="005D24F9" w:rsidP="00920FB5">
      <w:pPr>
        <w:ind w:left="360"/>
        <w:jc w:val="both"/>
      </w:pPr>
      <w:r>
        <w:t xml:space="preserve">Podle </w:t>
      </w:r>
      <w:r w:rsidR="001F05BF">
        <w:t xml:space="preserve">§ 35 </w:t>
      </w:r>
      <w:r w:rsidR="001F05BF" w:rsidRPr="00463BB2">
        <w:t>ZVS</w:t>
      </w:r>
      <w:r w:rsidR="001F05BF">
        <w:t xml:space="preserve"> lze </w:t>
      </w:r>
      <w:r w:rsidR="001F05BF" w:rsidRPr="001F05BF">
        <w:t>sjednat prodloužení účinnosti</w:t>
      </w:r>
      <w:r w:rsidR="001F05BF">
        <w:t xml:space="preserve"> stávajících smluv</w:t>
      </w:r>
      <w:r w:rsidR="001F05BF" w:rsidRPr="001F05BF">
        <w:t>,</w:t>
      </w:r>
      <w:r w:rsidR="001F05BF">
        <w:t xml:space="preserve"> avšak jen tehdy,</w:t>
      </w:r>
      <w:r w:rsidR="001F05BF" w:rsidRPr="001F05BF">
        <w:t xml:space="preserve"> pokud doba účinnosti smlouvy po prodloužení nepřesáhne dobu stanovenou </w:t>
      </w:r>
      <w:r w:rsidR="001F05BF">
        <w:t>nařízením E</w:t>
      </w:r>
      <w:r w:rsidR="001F05BF" w:rsidRPr="001F05BF">
        <w:t>vropsk</w:t>
      </w:r>
      <w:r w:rsidR="001F05BF" w:rsidRPr="001F05BF">
        <w:rPr>
          <w:rFonts w:hint="eastAsia"/>
        </w:rPr>
        <w:t>é</w:t>
      </w:r>
      <w:r w:rsidR="001F05BF" w:rsidRPr="001F05BF">
        <w:t xml:space="preserve">ho parlamentu a rady (ES) </w:t>
      </w:r>
      <w:r w:rsidR="001F05BF" w:rsidRPr="001F05BF">
        <w:rPr>
          <w:rFonts w:hint="eastAsia"/>
        </w:rPr>
        <w:t>č</w:t>
      </w:r>
      <w:r w:rsidR="001F05BF" w:rsidRPr="001F05BF">
        <w:t>. 1370/2007</w:t>
      </w:r>
      <w:r w:rsidR="000D2AAA">
        <w:t xml:space="preserve"> („</w:t>
      </w:r>
      <w:r w:rsidR="000D2AAA" w:rsidRPr="000D2AAA">
        <w:rPr>
          <w:b/>
        </w:rPr>
        <w:t>Nařízení</w:t>
      </w:r>
      <w:r w:rsidR="000D2AAA">
        <w:t>“)</w:t>
      </w:r>
      <w:r w:rsidR="001F05BF" w:rsidRPr="001F05BF">
        <w:t>.</w:t>
      </w:r>
      <w:r w:rsidR="001F05BF">
        <w:t xml:space="preserve"> Pro posouzení délky doby stanovené Nařízením jsou podstatná rozhodná data uzavření smluv se stávajícími dopravci a dále to, zda byly smlouvy uzavřeny na základě spravedlivého nabídkového řízení.</w:t>
      </w:r>
    </w:p>
    <w:p w:rsidR="00D111B6" w:rsidRDefault="00D111B6" w:rsidP="00D111B6">
      <w:pPr>
        <w:ind w:left="360"/>
        <w:jc w:val="both"/>
      </w:pPr>
      <w:r>
        <w:t>S</w:t>
      </w:r>
      <w:r w:rsidR="001F05BF">
        <w:t>mlouvy byly uzavřeny po 26. 7. 2000 a před 3. 12. 2009</w:t>
      </w:r>
      <w:r w:rsidR="0025537E">
        <w:t>,</w:t>
      </w:r>
      <w:r w:rsidR="000D2AAA">
        <w:t xml:space="preserve"> a že k jejich uzavření došlo bez předchozího spravedlivého nabídkového řízení</w:t>
      </w:r>
      <w:r w:rsidR="001F05BF">
        <w:t xml:space="preserve"> – v takovém případě nesmí jejich celková doba platnosti přesáhnout dobu 10 let. Výjimkou </w:t>
      </w:r>
      <w:r w:rsidR="000D2AAA">
        <w:t xml:space="preserve">mohou </w:t>
      </w:r>
      <w:r w:rsidR="001F05BF">
        <w:t>být</w:t>
      </w:r>
      <w:r w:rsidR="000D2AAA">
        <w:t xml:space="preserve"> situace, kdy by další prodloužení smluv mohlo být odůvodněno náklady, které</w:t>
      </w:r>
      <w:r w:rsidR="000D2AAA" w:rsidRPr="000D2AAA">
        <w:t xml:space="preserve"> vypl</w:t>
      </w:r>
      <w:r w:rsidR="000D2AAA" w:rsidRPr="000D2AAA">
        <w:rPr>
          <w:rFonts w:hint="eastAsia"/>
        </w:rPr>
        <w:t>ý</w:t>
      </w:r>
      <w:r w:rsidR="000D2AAA" w:rsidRPr="000D2AAA">
        <w:t>vaj</w:t>
      </w:r>
      <w:r w:rsidR="000D2AAA" w:rsidRPr="000D2AAA">
        <w:rPr>
          <w:rFonts w:hint="eastAsia"/>
        </w:rPr>
        <w:t>í</w:t>
      </w:r>
      <w:r w:rsidR="000D2AAA" w:rsidRPr="000D2AAA">
        <w:t xml:space="preserve"> ze zvl</w:t>
      </w:r>
      <w:r w:rsidR="000D2AAA" w:rsidRPr="000D2AAA">
        <w:rPr>
          <w:rFonts w:hint="eastAsia"/>
        </w:rPr>
        <w:t>áš</w:t>
      </w:r>
      <w:r w:rsidR="000D2AAA" w:rsidRPr="000D2AAA">
        <w:t>tn</w:t>
      </w:r>
      <w:r w:rsidR="000D2AAA" w:rsidRPr="000D2AAA">
        <w:rPr>
          <w:rFonts w:hint="eastAsia"/>
        </w:rPr>
        <w:t>í</w:t>
      </w:r>
      <w:r w:rsidR="000D2AAA" w:rsidRPr="000D2AAA">
        <w:t xml:space="preserve"> zem</w:t>
      </w:r>
      <w:r w:rsidR="000D2AAA" w:rsidRPr="000D2AAA">
        <w:rPr>
          <w:rFonts w:hint="eastAsia"/>
        </w:rPr>
        <w:t>ě</w:t>
      </w:r>
      <w:r w:rsidR="000D2AAA" w:rsidRPr="000D2AAA">
        <w:t>pisn</w:t>
      </w:r>
      <w:r w:rsidR="000D2AAA" w:rsidRPr="000D2AAA">
        <w:rPr>
          <w:rFonts w:hint="eastAsia"/>
        </w:rPr>
        <w:t>é</w:t>
      </w:r>
      <w:r w:rsidR="000D2AAA">
        <w:t xml:space="preserve"> </w:t>
      </w:r>
      <w:r w:rsidR="000D2AAA" w:rsidRPr="000D2AAA">
        <w:t>situace (doba platnosti smluv v nejvzd</w:t>
      </w:r>
      <w:r w:rsidR="000D2AAA" w:rsidRPr="000D2AAA">
        <w:rPr>
          <w:rFonts w:hint="eastAsia"/>
        </w:rPr>
        <w:t>á</w:t>
      </w:r>
      <w:r w:rsidR="000D2AAA" w:rsidRPr="000D2AAA">
        <w:t>len</w:t>
      </w:r>
      <w:r w:rsidR="000D2AAA" w:rsidRPr="000D2AAA">
        <w:rPr>
          <w:rFonts w:hint="eastAsia"/>
        </w:rPr>
        <w:t>ě</w:t>
      </w:r>
      <w:r w:rsidR="000D2AAA" w:rsidRPr="000D2AAA">
        <w:t>j</w:t>
      </w:r>
      <w:r w:rsidR="000D2AAA" w:rsidRPr="000D2AAA">
        <w:rPr>
          <w:rFonts w:hint="eastAsia"/>
        </w:rPr>
        <w:t>ší</w:t>
      </w:r>
      <w:r w:rsidR="000D2AAA" w:rsidRPr="000D2AAA">
        <w:t>ch regionech může být prodlou</w:t>
      </w:r>
      <w:r w:rsidR="000D2AAA" w:rsidRPr="000D2AAA">
        <w:rPr>
          <w:rFonts w:hint="eastAsia"/>
        </w:rPr>
        <w:t>ž</w:t>
      </w:r>
      <w:r w:rsidR="000D2AAA" w:rsidRPr="000D2AAA">
        <w:t>ena a</w:t>
      </w:r>
      <w:r w:rsidR="000D2AAA" w:rsidRPr="000D2AAA">
        <w:rPr>
          <w:rFonts w:hint="eastAsia"/>
        </w:rPr>
        <w:t>ž</w:t>
      </w:r>
      <w:r w:rsidR="000D2AAA">
        <w:t xml:space="preserve"> </w:t>
      </w:r>
      <w:r w:rsidR="000D2AAA" w:rsidRPr="000D2AAA">
        <w:t xml:space="preserve">o polovinu). </w:t>
      </w:r>
      <w:r w:rsidR="000D2AAA" w:rsidRPr="00463BB2">
        <w:t>Teoreticky lze platnost smlouvy prodloužit také v případě, kdy je to odůvodněno amortizac</w:t>
      </w:r>
      <w:r w:rsidR="000D2AAA" w:rsidRPr="00463BB2">
        <w:rPr>
          <w:rFonts w:hint="eastAsia"/>
        </w:rPr>
        <w:t>í</w:t>
      </w:r>
      <w:r w:rsidR="000D2AAA" w:rsidRPr="00463BB2">
        <w:t xml:space="preserve"> kapit</w:t>
      </w:r>
      <w:r w:rsidR="000D2AAA" w:rsidRPr="00463BB2">
        <w:rPr>
          <w:rFonts w:hint="eastAsia"/>
        </w:rPr>
        <w:t>á</w:t>
      </w:r>
      <w:r w:rsidR="000D2AAA" w:rsidRPr="00463BB2">
        <w:t>lu ve vztahu k v</w:t>
      </w:r>
      <w:r w:rsidR="000D2AAA" w:rsidRPr="00463BB2">
        <w:rPr>
          <w:rFonts w:hint="eastAsia"/>
        </w:rPr>
        <w:t>ý</w:t>
      </w:r>
      <w:r w:rsidR="000D2AAA" w:rsidRPr="00463BB2">
        <w:t>jime</w:t>
      </w:r>
      <w:r w:rsidR="000D2AAA" w:rsidRPr="00463BB2">
        <w:rPr>
          <w:rFonts w:hint="eastAsia"/>
        </w:rPr>
        <w:t>č</w:t>
      </w:r>
      <w:r w:rsidR="000D2AAA" w:rsidRPr="00463BB2">
        <w:t>n</w:t>
      </w:r>
      <w:r w:rsidR="000D2AAA" w:rsidRPr="00463BB2">
        <w:rPr>
          <w:rFonts w:hint="eastAsia"/>
        </w:rPr>
        <w:t>ý</w:t>
      </w:r>
      <w:r w:rsidR="000D2AAA" w:rsidRPr="00463BB2">
        <w:t>m investic</w:t>
      </w:r>
      <w:r w:rsidR="000D2AAA" w:rsidRPr="00463BB2">
        <w:rPr>
          <w:rFonts w:hint="eastAsia"/>
        </w:rPr>
        <w:t>í</w:t>
      </w:r>
      <w:r w:rsidR="000D2AAA" w:rsidRPr="00463BB2">
        <w:t>m do infrastruktury nebo vozidel</w:t>
      </w:r>
      <w:r w:rsidR="003B067C" w:rsidRPr="00463BB2">
        <w:t xml:space="preserve"> – takové prodloužení je však třeba řádně odůvodnit a notifikovat Evropské komisi</w:t>
      </w:r>
      <w:r w:rsidR="000D2AAA" w:rsidRPr="00463BB2">
        <w:t>.</w:t>
      </w:r>
      <w:r w:rsidR="00463BB2" w:rsidRPr="00463BB2">
        <w:t xml:space="preserve"> Doporučujeme jakýkoliv takový krok předem konzultovat s Ministerstvem dopravy.</w:t>
      </w:r>
    </w:p>
    <w:p w:rsidR="00D111B6" w:rsidRDefault="00D111B6" w:rsidP="00D111B6">
      <w:pPr>
        <w:ind w:left="360"/>
        <w:jc w:val="both"/>
      </w:pPr>
      <w:r>
        <w:t xml:space="preserve">Před rozhodnutím o využitelnosti této možnosti je tedy třeba smlouvy se stávajícími dopravci analyzovat a zjistit datum jejich uzavření a tedy i jejich dosavadní platnost (její délku). V rámci </w:t>
      </w:r>
      <w:r>
        <w:lastRenderedPageBreak/>
        <w:t>této analýzy bude třeba posoudit, zda každoroční sjednávání obsahu smluv bylo z hlediska práva pouze změnou smluv (změna závazků) nebo uzavřením nových smluv (vznik nových závazků). Postup by bylo opět vhodné konzultovat s Ministerstvem dopravy.</w:t>
      </w:r>
    </w:p>
    <w:p w:rsidR="000D2AAA" w:rsidRDefault="000D2AAA" w:rsidP="000D2AAA">
      <w:pPr>
        <w:ind w:left="360"/>
        <w:jc w:val="both"/>
      </w:pPr>
    </w:p>
    <w:p w:rsidR="000D2AAA" w:rsidRPr="000D2AAA" w:rsidRDefault="000C0439" w:rsidP="000D2AAA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Z</w:t>
      </w:r>
      <w:r w:rsidR="000D2AAA" w:rsidRPr="000D2AAA">
        <w:rPr>
          <w:b/>
        </w:rPr>
        <w:t>ajištění služeb podle ZVS v mimořádných situacích</w:t>
      </w:r>
      <w:r>
        <w:rPr>
          <w:b/>
        </w:rPr>
        <w:t xml:space="preserve">  </w:t>
      </w:r>
    </w:p>
    <w:p w:rsidR="00DF4CFA" w:rsidRDefault="000D2AAA" w:rsidP="000D2AAA">
      <w:pPr>
        <w:ind w:left="360"/>
        <w:jc w:val="both"/>
      </w:pPr>
      <w:r>
        <w:t xml:space="preserve">Pokud dojde k přerušení poskytování veřejných služeb v přepravě cestujících nebo takovéto přerušení bezprostředně hrozí, může podle ZVS objednatel </w:t>
      </w:r>
    </w:p>
    <w:p w:rsidR="00DF4CFA" w:rsidRDefault="00DF4CFA" w:rsidP="003816FB">
      <w:pPr>
        <w:pStyle w:val="Odstavecseseznamem"/>
        <w:numPr>
          <w:ilvl w:val="1"/>
          <w:numId w:val="1"/>
        </w:numPr>
        <w:ind w:left="851" w:hanging="425"/>
        <w:jc w:val="both"/>
      </w:pPr>
      <w:r>
        <w:t>uzavřít smlouvu o veřejných službách v přepravě cestujících přímým zadáním</w:t>
      </w:r>
    </w:p>
    <w:p w:rsidR="000C0439" w:rsidRDefault="000C0439" w:rsidP="000C0439">
      <w:pPr>
        <w:pStyle w:val="Odstavecseseznamem"/>
        <w:numPr>
          <w:ilvl w:val="1"/>
          <w:numId w:val="1"/>
        </w:numPr>
        <w:ind w:left="851" w:hanging="425"/>
        <w:jc w:val="both"/>
      </w:pPr>
      <w:r w:rsidRPr="000C0439">
        <w:t>rozšířit již uzavřenou smlouvu o veřejných službách v přepravě cestujících o poskytování dotčených veřejných služeb bez nabídkového řízení,</w:t>
      </w:r>
    </w:p>
    <w:p w:rsidR="00DF4CFA" w:rsidRDefault="00DF4CFA" w:rsidP="003816FB">
      <w:pPr>
        <w:pStyle w:val="Odstavecseseznamem"/>
        <w:numPr>
          <w:ilvl w:val="1"/>
          <w:numId w:val="1"/>
        </w:numPr>
        <w:ind w:left="851" w:hanging="425"/>
        <w:jc w:val="both"/>
      </w:pPr>
      <w:r>
        <w:t>rozhodnutím uložit poskytování dotčených veřejných služeb dopravci.</w:t>
      </w:r>
    </w:p>
    <w:p w:rsidR="000D2AAA" w:rsidRPr="00DF4CFA" w:rsidRDefault="000D2AAA" w:rsidP="000D2AAA">
      <w:pPr>
        <w:ind w:left="360"/>
        <w:jc w:val="both"/>
        <w:rPr>
          <w:b/>
        </w:rPr>
      </w:pPr>
      <w:r>
        <w:t xml:space="preserve">ZVS ani </w:t>
      </w:r>
      <w:r w:rsidRPr="000D2AAA">
        <w:t xml:space="preserve">Nařízení nevymezují mimořádnou situaci rozsahem přerušených služeb. Mimořádná situace nastane vždy, když dojde k přerušení i nepatrného rozsahu veřejných služeb v přepravě cestujících v porovnání s rozsahem </w:t>
      </w:r>
      <w:r w:rsidR="00DF4CFA">
        <w:t>dosud</w:t>
      </w:r>
      <w:r w:rsidRPr="000D2AAA">
        <w:t xml:space="preserve"> poskytovaných </w:t>
      </w:r>
      <w:r w:rsidR="00DF4CFA">
        <w:t>služeb.</w:t>
      </w:r>
      <w:r w:rsidRPr="00DF4CFA">
        <w:rPr>
          <w:b/>
        </w:rPr>
        <w:t xml:space="preserve"> </w:t>
      </w:r>
    </w:p>
    <w:p w:rsidR="0087352D" w:rsidRDefault="00DF4CFA" w:rsidP="0087352D">
      <w:pPr>
        <w:ind w:left="360"/>
        <w:jc w:val="both"/>
      </w:pPr>
      <w:r>
        <w:t>Z</w:t>
      </w:r>
      <w:r w:rsidRPr="00DF4CFA">
        <w:t>ávazek dopravce zajistit ohrožené veřejné služby</w:t>
      </w:r>
      <w:r>
        <w:t xml:space="preserve"> nesmí</w:t>
      </w:r>
      <w:r w:rsidRPr="00DF4CFA">
        <w:t xml:space="preserve"> překročit dva roky. Tato doba nesmí být podle </w:t>
      </w:r>
      <w:r>
        <w:t>N</w:t>
      </w:r>
      <w:r w:rsidRPr="00DF4CFA">
        <w:t>ařízení prodloužena.</w:t>
      </w:r>
      <w:r w:rsidR="003816FB">
        <w:t xml:space="preserve"> </w:t>
      </w:r>
      <w:r w:rsidR="00323519" w:rsidRPr="00323519">
        <w:t>Předmětem smlouvy musí být stejný rozsah služeb, jako byl rozsah služeb, které byly přerušeny nebo jejichž poskytování je ohroženo.</w:t>
      </w:r>
    </w:p>
    <w:p w:rsidR="00BC776F" w:rsidRPr="00BC776F" w:rsidRDefault="00BC776F" w:rsidP="00BC776F">
      <w:pPr>
        <w:pStyle w:val="Odstavecseseznamem"/>
        <w:numPr>
          <w:ilvl w:val="1"/>
          <w:numId w:val="6"/>
        </w:numPr>
        <w:jc w:val="both"/>
        <w:rPr>
          <w:u w:val="single"/>
        </w:rPr>
      </w:pPr>
      <w:r w:rsidRPr="00BC776F">
        <w:rPr>
          <w:u w:val="single"/>
        </w:rPr>
        <w:t>Zajištění služeb v přepravě cestujících na základě uzavřené smlouvy</w:t>
      </w:r>
    </w:p>
    <w:p w:rsidR="00BC776F" w:rsidRDefault="00BC776F" w:rsidP="00BC776F">
      <w:pPr>
        <w:pStyle w:val="Odstavecseseznamem"/>
        <w:ind w:left="792"/>
        <w:jc w:val="both"/>
        <w:rPr>
          <w:u w:val="single"/>
        </w:rPr>
      </w:pPr>
    </w:p>
    <w:p w:rsidR="000C0439" w:rsidRPr="00BC776F" w:rsidRDefault="000C0439" w:rsidP="00BC776F">
      <w:pPr>
        <w:pStyle w:val="Odstavecseseznamem"/>
        <w:ind w:left="709"/>
        <w:jc w:val="both"/>
      </w:pPr>
      <w:r w:rsidRPr="00BC776F">
        <w:t>V případech ad a) a b) se jedná o zajištění poskytování služeb na smluvním základě –</w:t>
      </w:r>
      <w:r w:rsidR="0025537E">
        <w:t xml:space="preserve"> </w:t>
      </w:r>
      <w:r w:rsidR="00BC776F">
        <w:t xml:space="preserve">formou </w:t>
      </w:r>
      <w:r w:rsidRPr="00BC776F">
        <w:t xml:space="preserve">uzavřením nové </w:t>
      </w:r>
      <w:r w:rsidR="00D87237" w:rsidRPr="00BC776F">
        <w:t>smlouvy</w:t>
      </w:r>
      <w:r w:rsidRPr="00BC776F">
        <w:t xml:space="preserve"> </w:t>
      </w:r>
      <w:r w:rsidR="00BC776F">
        <w:t xml:space="preserve">(přímé zadání) </w:t>
      </w:r>
      <w:r w:rsidRPr="00BC776F">
        <w:t>nebo uzavřením dodatku ke stávající smlouvě</w:t>
      </w:r>
      <w:r w:rsidR="00BC776F">
        <w:t xml:space="preserve"> (rozšíření stávajících smluv).</w:t>
      </w:r>
      <w:r w:rsidRPr="00BC776F">
        <w:t xml:space="preserve"> </w:t>
      </w:r>
    </w:p>
    <w:p w:rsidR="000D2AAA" w:rsidRPr="000C0439" w:rsidRDefault="000D2AAA" w:rsidP="00323519">
      <w:pPr>
        <w:ind w:left="360" w:firstLine="348"/>
        <w:jc w:val="both"/>
        <w:rPr>
          <w:b/>
        </w:rPr>
      </w:pPr>
      <w:r w:rsidRPr="000C0439">
        <w:rPr>
          <w:b/>
        </w:rPr>
        <w:t>Ad a) Přímé zadání</w:t>
      </w:r>
      <w:r w:rsidR="000C0439" w:rsidRPr="000C0439">
        <w:rPr>
          <w:b/>
        </w:rPr>
        <w:t xml:space="preserve"> </w:t>
      </w:r>
    </w:p>
    <w:p w:rsidR="00323519" w:rsidRDefault="00323519" w:rsidP="00323519">
      <w:pPr>
        <w:ind w:left="708"/>
        <w:jc w:val="both"/>
      </w:pPr>
      <w:r w:rsidRPr="00323519">
        <w:t>Smlouva musí být uzavřena samozřejmě pouze s dopravcem, který je způsobilý ohrožené služby v přepravě cestujících zajistit, tj. musí se jednat o dopravce, který je provozovatelem dopravy podle zákona o silniční dopravě.</w:t>
      </w:r>
    </w:p>
    <w:p w:rsidR="000C0439" w:rsidRPr="000C0439" w:rsidRDefault="000C0439" w:rsidP="000C0439">
      <w:pPr>
        <w:ind w:left="360" w:firstLine="348"/>
        <w:jc w:val="both"/>
        <w:rPr>
          <w:b/>
        </w:rPr>
      </w:pPr>
      <w:r w:rsidRPr="000C0439">
        <w:rPr>
          <w:b/>
        </w:rPr>
        <w:t xml:space="preserve">Ad a) Rozšíření stávajících smluv </w:t>
      </w:r>
    </w:p>
    <w:p w:rsidR="000C0439" w:rsidRDefault="000C0439" w:rsidP="00323519">
      <w:pPr>
        <w:ind w:left="708"/>
        <w:jc w:val="both"/>
      </w:pPr>
      <w:r w:rsidRPr="000C0439">
        <w:t>Objednatel uzavře dodatek ke smlouvě, kterým zabezpečí, aby dopravce rozšířil své veřejné služby v přepravě cestujících a zajistil veřejné služby v přepravě cestujících, které byly přerušeny nebo ohroženy</w:t>
      </w:r>
      <w:r>
        <w:t>.</w:t>
      </w:r>
    </w:p>
    <w:p w:rsidR="000C0439" w:rsidRDefault="000C0439" w:rsidP="000C0439">
      <w:pPr>
        <w:ind w:left="360"/>
        <w:jc w:val="both"/>
      </w:pPr>
    </w:p>
    <w:p w:rsidR="00BC776F" w:rsidRPr="00BC776F" w:rsidRDefault="00BC776F" w:rsidP="00BC776F">
      <w:pPr>
        <w:pStyle w:val="Odstavecseseznamem"/>
        <w:numPr>
          <w:ilvl w:val="1"/>
          <w:numId w:val="6"/>
        </w:numPr>
        <w:jc w:val="both"/>
        <w:rPr>
          <w:u w:val="single"/>
        </w:rPr>
      </w:pPr>
      <w:r w:rsidRPr="00BC776F">
        <w:rPr>
          <w:u w:val="single"/>
        </w:rPr>
        <w:t xml:space="preserve">Zajištění služeb v přepravě cestujících na základě </w:t>
      </w:r>
      <w:r>
        <w:rPr>
          <w:u w:val="single"/>
        </w:rPr>
        <w:t>správního rozhodnutí</w:t>
      </w:r>
    </w:p>
    <w:p w:rsidR="000D2AAA" w:rsidRPr="00BC776F" w:rsidRDefault="00DF4CFA" w:rsidP="000C0439">
      <w:pPr>
        <w:ind w:left="708"/>
        <w:jc w:val="both"/>
        <w:rPr>
          <w:b/>
        </w:rPr>
      </w:pPr>
      <w:r w:rsidRPr="00BC776F">
        <w:rPr>
          <w:b/>
        </w:rPr>
        <w:t xml:space="preserve">Ad </w:t>
      </w:r>
      <w:r w:rsidR="000C0439" w:rsidRPr="00BC776F">
        <w:rPr>
          <w:b/>
        </w:rPr>
        <w:t>c</w:t>
      </w:r>
      <w:r w:rsidRPr="00BC776F">
        <w:rPr>
          <w:b/>
        </w:rPr>
        <w:t xml:space="preserve">) </w:t>
      </w:r>
      <w:r w:rsidR="000D2AAA" w:rsidRPr="00BC776F">
        <w:rPr>
          <w:b/>
        </w:rPr>
        <w:t xml:space="preserve">Přikázání </w:t>
      </w:r>
      <w:r w:rsidRPr="00BC776F">
        <w:rPr>
          <w:b/>
        </w:rPr>
        <w:t xml:space="preserve">poskytování služeb </w:t>
      </w:r>
      <w:proofErr w:type="gramStart"/>
      <w:r w:rsidRPr="00BC776F">
        <w:rPr>
          <w:b/>
        </w:rPr>
        <w:t>dopravci(</w:t>
      </w:r>
      <w:proofErr w:type="spellStart"/>
      <w:r w:rsidRPr="00BC776F">
        <w:rPr>
          <w:b/>
        </w:rPr>
        <w:t>ům</w:t>
      </w:r>
      <w:proofErr w:type="spellEnd"/>
      <w:proofErr w:type="gramEnd"/>
      <w:r w:rsidRPr="00BC776F">
        <w:rPr>
          <w:b/>
        </w:rPr>
        <w:t>)</w:t>
      </w:r>
      <w:r w:rsidR="000C0439" w:rsidRPr="00BC776F">
        <w:rPr>
          <w:b/>
        </w:rPr>
        <w:t xml:space="preserve"> rozhodnutím objednatele </w:t>
      </w:r>
      <w:r w:rsidR="00BC776F" w:rsidRPr="00BC776F">
        <w:rPr>
          <w:b/>
        </w:rPr>
        <w:t>jako správního orgánu ve správním řízení (dopravci je poskytování služby přikázáno)</w:t>
      </w:r>
    </w:p>
    <w:p w:rsidR="0087352D" w:rsidRDefault="0087352D" w:rsidP="00323519">
      <w:pPr>
        <w:ind w:left="708"/>
        <w:jc w:val="both"/>
      </w:pPr>
      <w:r>
        <w:lastRenderedPageBreak/>
        <w:t xml:space="preserve">Rozhodnutí uložit poskytování dotčených veřejných služeb dopravci je správním rozhodnutím a správní orgán postupuje podle </w:t>
      </w:r>
      <w:r w:rsidRPr="0087352D">
        <w:t>§ 46 zákona č. 500/2004 Sb., správního řádu, ve znění pozdějších předpisů.</w:t>
      </w:r>
      <w:r w:rsidR="00323519">
        <w:t xml:space="preserve"> </w:t>
      </w:r>
      <w:r>
        <w:t>Oznámení o zahájení řízení objednatel vyvěsí na úřední desce. Dopravci, kteří do 2 dnů od vyvěšení oznámení na úřední desce doručí objednateli písemné sdělení, že mají zájem o poskytování veřejných služeb v přepravě cestujících, jichž se řízení týká, se stávají účastníky řízení.</w:t>
      </w:r>
      <w:r w:rsidR="00323519">
        <w:t xml:space="preserve"> </w:t>
      </w:r>
    </w:p>
    <w:p w:rsidR="003816FB" w:rsidRDefault="00DF4CFA" w:rsidP="00323519">
      <w:pPr>
        <w:ind w:left="708"/>
        <w:jc w:val="both"/>
      </w:pPr>
      <w:r w:rsidRPr="00DF4CFA">
        <w:t>Ministerstvo dopravy vykonává působnost nadřízeného správního orgánu</w:t>
      </w:r>
      <w:r>
        <w:t xml:space="preserve"> – lze tedy doporučit i předchozí konzultaci s tímto orgánem.</w:t>
      </w:r>
      <w:r w:rsidR="003816FB" w:rsidRPr="003816FB">
        <w:t xml:space="preserve"> </w:t>
      </w:r>
    </w:p>
    <w:p w:rsidR="003816FB" w:rsidRPr="00D111B6" w:rsidRDefault="003816FB" w:rsidP="003816FB">
      <w:pPr>
        <w:ind w:left="360"/>
        <w:jc w:val="both"/>
        <w:rPr>
          <w:b/>
        </w:rPr>
      </w:pPr>
      <w:r w:rsidRPr="00D111B6">
        <w:rPr>
          <w:b/>
        </w:rPr>
        <w:t xml:space="preserve">Ze ZVS nelze dostatečně přesně dovodit, zda se uvedené postupy </w:t>
      </w:r>
      <w:r w:rsidR="00D111B6" w:rsidRPr="00D111B6">
        <w:rPr>
          <w:b/>
        </w:rPr>
        <w:t xml:space="preserve">dle ZVS </w:t>
      </w:r>
      <w:r w:rsidRPr="00D111B6">
        <w:rPr>
          <w:b/>
        </w:rPr>
        <w:t xml:space="preserve">použijí pouze na situace, kdy objednatel již má s dopravci uzavřeny smlouvy o veřejných službách podle ZVS a veřejné služby poskytované na jejich základě jsou přerušeny nebo hrozí jejich přerušení, nebo zda je lze využít i v konkrétní situaci, kdy končí stávající smlouvy s dopravci uzavřené podle jiných/dřívějších právních předpisů. </w:t>
      </w:r>
    </w:p>
    <w:p w:rsidR="003816FB" w:rsidRDefault="0087352D" w:rsidP="003816FB">
      <w:pPr>
        <w:ind w:left="360"/>
        <w:jc w:val="both"/>
        <w:rPr>
          <w:b/>
        </w:rPr>
      </w:pPr>
      <w:r w:rsidRPr="00D111B6">
        <w:rPr>
          <w:b/>
        </w:rPr>
        <w:t>Kloníme se s ohledem na systematiku dotčeného ustanovení i textaci spíše k tomu</w:t>
      </w:r>
      <w:r w:rsidR="003816FB" w:rsidRPr="00D111B6">
        <w:rPr>
          <w:b/>
        </w:rPr>
        <w:t xml:space="preserve">, že tento postup bude možné využít pouze v případně první varianty – </w:t>
      </w:r>
      <w:r w:rsidRPr="00D111B6">
        <w:rPr>
          <w:b/>
        </w:rPr>
        <w:t xml:space="preserve">před rozhodnutím </w:t>
      </w:r>
      <w:r w:rsidR="003816FB" w:rsidRPr="00D111B6">
        <w:rPr>
          <w:b/>
        </w:rPr>
        <w:t xml:space="preserve">lze </w:t>
      </w:r>
      <w:r w:rsidRPr="00D111B6">
        <w:rPr>
          <w:b/>
        </w:rPr>
        <w:t>proto</w:t>
      </w:r>
      <w:r w:rsidR="003816FB" w:rsidRPr="00D111B6">
        <w:rPr>
          <w:b/>
        </w:rPr>
        <w:t xml:space="preserve"> doporučit podrobnější konzultaci s</w:t>
      </w:r>
      <w:r w:rsidRPr="00D111B6">
        <w:rPr>
          <w:b/>
        </w:rPr>
        <w:t> Ministerstvem dopravy.</w:t>
      </w:r>
    </w:p>
    <w:p w:rsidR="000C0439" w:rsidRDefault="000C0439" w:rsidP="003816FB">
      <w:pPr>
        <w:ind w:left="360"/>
        <w:jc w:val="both"/>
        <w:rPr>
          <w:b/>
        </w:rPr>
      </w:pPr>
    </w:p>
    <w:p w:rsidR="00164419" w:rsidRDefault="000C0439" w:rsidP="000C0439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Z</w:t>
      </w:r>
      <w:r w:rsidRPr="000D2AAA">
        <w:rPr>
          <w:b/>
        </w:rPr>
        <w:t xml:space="preserve">ajištění služeb </w:t>
      </w:r>
      <w:r w:rsidR="00164419">
        <w:rPr>
          <w:b/>
        </w:rPr>
        <w:t xml:space="preserve">přímým zadáním </w:t>
      </w:r>
      <w:r w:rsidR="00D87237">
        <w:rPr>
          <w:b/>
        </w:rPr>
        <w:t>s limitovaným objemem služeb</w:t>
      </w:r>
    </w:p>
    <w:p w:rsidR="000C0439" w:rsidRDefault="00164419" w:rsidP="00164419">
      <w:pPr>
        <w:ind w:left="360"/>
        <w:jc w:val="both"/>
      </w:pPr>
      <w:r w:rsidRPr="00164419">
        <w:t xml:space="preserve">ZVS v souladu s Nařízením umožňuje objednateli služeb také přímé </w:t>
      </w:r>
      <w:r w:rsidR="00D87237">
        <w:t>zadání</w:t>
      </w:r>
      <w:r w:rsidRPr="00164419">
        <w:t xml:space="preserve"> služeb u vybraných dopravců i v jiných případech než v mimořádných situacích. </w:t>
      </w:r>
      <w:r w:rsidR="00D87237">
        <w:t>I zde se jedná fakticky o přímou objednávku (tedy na smluvní bázi) u vybraného dopravce.</w:t>
      </w:r>
      <w:r w:rsidR="000C0439" w:rsidRPr="00164419">
        <w:t xml:space="preserve"> </w:t>
      </w:r>
      <w:r w:rsidR="00D87237">
        <w:t>Objem takto realizovaných/objednávaných služeb je limitován takto:</w:t>
      </w:r>
    </w:p>
    <w:p w:rsidR="00D87237" w:rsidRPr="00D87237" w:rsidRDefault="00D87237" w:rsidP="00D87237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</w:pPr>
      <w:r w:rsidRPr="00D87237">
        <w:t>pr</w:t>
      </w:r>
      <w:r w:rsidRPr="00D87237">
        <w:rPr>
          <w:rFonts w:hint="eastAsia"/>
        </w:rPr>
        <w:t>ů</w:t>
      </w:r>
      <w:r w:rsidRPr="00D87237">
        <w:t>m</w:t>
      </w:r>
      <w:r w:rsidRPr="00D87237">
        <w:rPr>
          <w:rFonts w:hint="eastAsia"/>
        </w:rPr>
        <w:t>ě</w:t>
      </w:r>
      <w:r w:rsidRPr="00D87237">
        <w:t>rn</w:t>
      </w:r>
      <w:r w:rsidRPr="00D87237">
        <w:rPr>
          <w:rFonts w:hint="eastAsia"/>
        </w:rPr>
        <w:t>á</w:t>
      </w:r>
      <w:r w:rsidRPr="00D87237">
        <w:t xml:space="preserve"> ro</w:t>
      </w:r>
      <w:r w:rsidRPr="00D87237">
        <w:rPr>
          <w:rFonts w:hint="eastAsia"/>
        </w:rPr>
        <w:t>č</w:t>
      </w:r>
      <w:r w:rsidRPr="00D87237">
        <w:t>n</w:t>
      </w:r>
      <w:r w:rsidRPr="00D87237">
        <w:rPr>
          <w:rFonts w:hint="eastAsia"/>
        </w:rPr>
        <w:t>í</w:t>
      </w:r>
      <w:r w:rsidRPr="00D87237">
        <w:t xml:space="preserve"> hodnota se odhaduje na m</w:t>
      </w:r>
      <w:r w:rsidRPr="00D87237">
        <w:rPr>
          <w:rFonts w:hint="eastAsia"/>
        </w:rPr>
        <w:t>é</w:t>
      </w:r>
      <w:r w:rsidRPr="00D87237">
        <w:t>n</w:t>
      </w:r>
      <w:r w:rsidRPr="00D87237">
        <w:rPr>
          <w:rFonts w:hint="eastAsia"/>
        </w:rPr>
        <w:t>ě</w:t>
      </w:r>
      <w:r w:rsidRPr="00D87237">
        <w:t xml:space="preserve"> ne</w:t>
      </w:r>
      <w:r w:rsidRPr="00D87237">
        <w:rPr>
          <w:rFonts w:hint="eastAsia"/>
        </w:rPr>
        <w:t>ž</w:t>
      </w:r>
      <w:r w:rsidRPr="00D87237">
        <w:t xml:space="preserve"> 1 000 000 EUR, nebo se služby t</w:t>
      </w:r>
      <w:r w:rsidRPr="00D87237">
        <w:rPr>
          <w:rFonts w:hint="eastAsia"/>
        </w:rPr>
        <w:t>ý</w:t>
      </w:r>
      <w:r w:rsidRPr="00D87237">
        <w:t>kaj</w:t>
      </w:r>
      <w:r w:rsidRPr="00D87237">
        <w:rPr>
          <w:rFonts w:hint="eastAsia"/>
        </w:rPr>
        <w:t>í</w:t>
      </w:r>
      <w:r w:rsidRPr="00D87237">
        <w:t xml:space="preserve"> poskytnut</w:t>
      </w:r>
      <w:r w:rsidRPr="00D87237">
        <w:rPr>
          <w:rFonts w:hint="eastAsia"/>
        </w:rPr>
        <w:t>í</w:t>
      </w:r>
      <w:r w:rsidRPr="00D87237">
        <w:t xml:space="preserve"> m</w:t>
      </w:r>
      <w:r w:rsidRPr="00D87237">
        <w:rPr>
          <w:rFonts w:hint="eastAsia"/>
        </w:rPr>
        <w:t>é</w:t>
      </w:r>
      <w:r w:rsidRPr="00D87237">
        <w:t>n</w:t>
      </w:r>
      <w:r w:rsidRPr="00D87237">
        <w:rPr>
          <w:rFonts w:hint="eastAsia"/>
        </w:rPr>
        <w:t>ě</w:t>
      </w:r>
      <w:r w:rsidRPr="00D87237">
        <w:t xml:space="preserve"> ne</w:t>
      </w:r>
      <w:r w:rsidRPr="00D87237">
        <w:rPr>
          <w:rFonts w:hint="eastAsia"/>
        </w:rPr>
        <w:t>ž</w:t>
      </w:r>
      <w:r w:rsidRPr="00D87237">
        <w:t xml:space="preserve"> 300 000 kilometr</w:t>
      </w:r>
      <w:r w:rsidRPr="00D87237">
        <w:rPr>
          <w:rFonts w:hint="eastAsia"/>
        </w:rPr>
        <w:t>ů</w:t>
      </w:r>
      <w:r w:rsidRPr="00D87237">
        <w:t xml:space="preserve"> ve</w:t>
      </w:r>
      <w:r w:rsidRPr="00D87237">
        <w:rPr>
          <w:rFonts w:hint="eastAsia"/>
        </w:rPr>
        <w:t>ř</w:t>
      </w:r>
      <w:r w:rsidRPr="00D87237">
        <w:t>ejn</w:t>
      </w:r>
      <w:r w:rsidRPr="00D87237">
        <w:rPr>
          <w:rFonts w:hint="eastAsia"/>
        </w:rPr>
        <w:t>ý</w:t>
      </w:r>
      <w:r w:rsidRPr="00D87237">
        <w:t>ch slu</w:t>
      </w:r>
      <w:r w:rsidRPr="00D87237">
        <w:rPr>
          <w:rFonts w:hint="eastAsia"/>
        </w:rPr>
        <w:t>ž</w:t>
      </w:r>
      <w:r w:rsidRPr="00D87237">
        <w:t>eb v p</w:t>
      </w:r>
      <w:r w:rsidRPr="00D87237">
        <w:rPr>
          <w:rFonts w:hint="eastAsia"/>
        </w:rPr>
        <w:t>ř</w:t>
      </w:r>
      <w:r w:rsidRPr="00D87237">
        <w:t>eprav</w:t>
      </w:r>
      <w:r w:rsidRPr="00D87237">
        <w:rPr>
          <w:rFonts w:hint="eastAsia"/>
        </w:rPr>
        <w:t>ě</w:t>
      </w:r>
      <w:r w:rsidRPr="00D87237">
        <w:t xml:space="preserve"> cestuj</w:t>
      </w:r>
      <w:r w:rsidRPr="00D87237">
        <w:rPr>
          <w:rFonts w:hint="eastAsia"/>
        </w:rPr>
        <w:t>í</w:t>
      </w:r>
      <w:r w:rsidRPr="00D87237">
        <w:t>c</w:t>
      </w:r>
      <w:r w:rsidRPr="00D87237">
        <w:rPr>
          <w:rFonts w:hint="eastAsia"/>
        </w:rPr>
        <w:t>í</w:t>
      </w:r>
      <w:r w:rsidRPr="00D87237">
        <w:t>ch ro</w:t>
      </w:r>
      <w:r w:rsidRPr="00D87237">
        <w:rPr>
          <w:rFonts w:hint="eastAsia"/>
        </w:rPr>
        <w:t>č</w:t>
      </w:r>
      <w:r w:rsidRPr="00D87237">
        <w:t>n</w:t>
      </w:r>
      <w:r w:rsidRPr="00D87237">
        <w:rPr>
          <w:rFonts w:hint="eastAsia"/>
        </w:rPr>
        <w:t>ě</w:t>
      </w:r>
      <w:r w:rsidRPr="00D87237">
        <w:t>.</w:t>
      </w:r>
    </w:p>
    <w:p w:rsidR="00D87237" w:rsidRPr="00D87237" w:rsidRDefault="00D87237" w:rsidP="00D87237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</w:pPr>
      <w:r w:rsidRPr="00D87237">
        <w:t>pr</w:t>
      </w:r>
      <w:r w:rsidRPr="00D87237">
        <w:rPr>
          <w:rFonts w:hint="eastAsia"/>
        </w:rPr>
        <w:t>ů</w:t>
      </w:r>
      <w:r w:rsidRPr="00D87237">
        <w:t>m</w:t>
      </w:r>
      <w:r w:rsidRPr="00D87237">
        <w:rPr>
          <w:rFonts w:hint="eastAsia"/>
        </w:rPr>
        <w:t>ě</w:t>
      </w:r>
      <w:r w:rsidRPr="00D87237">
        <w:t>rn</w:t>
      </w:r>
      <w:r>
        <w:t>á</w:t>
      </w:r>
      <w:r w:rsidRPr="00D87237">
        <w:t xml:space="preserve"> ro</w:t>
      </w:r>
      <w:r w:rsidRPr="00D87237">
        <w:rPr>
          <w:rFonts w:hint="eastAsia"/>
        </w:rPr>
        <w:t>č</w:t>
      </w:r>
      <w:r w:rsidRPr="00D87237">
        <w:t>n</w:t>
      </w:r>
      <w:r w:rsidRPr="00D87237">
        <w:rPr>
          <w:rFonts w:hint="eastAsia"/>
        </w:rPr>
        <w:t>í</w:t>
      </w:r>
      <w:r w:rsidRPr="00D87237">
        <w:t xml:space="preserve"> odhadovaná hodnot</w:t>
      </w:r>
      <w:r>
        <w:t xml:space="preserve"> je</w:t>
      </w:r>
      <w:r w:rsidRPr="00D87237">
        <w:t xml:space="preserve"> ni</w:t>
      </w:r>
      <w:r w:rsidRPr="00D87237">
        <w:rPr>
          <w:rFonts w:hint="eastAsia"/>
        </w:rPr>
        <w:t>žší</w:t>
      </w:r>
      <w:r w:rsidRPr="00D87237">
        <w:t xml:space="preserve"> ne</w:t>
      </w:r>
      <w:r w:rsidRPr="00D87237">
        <w:rPr>
          <w:rFonts w:hint="eastAsia"/>
        </w:rPr>
        <w:t>ž</w:t>
      </w:r>
      <w:r w:rsidRPr="00D87237">
        <w:t xml:space="preserve"> 2 000 000 EUR, nebo se služby t</w:t>
      </w:r>
      <w:r w:rsidRPr="00D87237">
        <w:rPr>
          <w:rFonts w:hint="eastAsia"/>
        </w:rPr>
        <w:t>ý</w:t>
      </w:r>
      <w:r w:rsidRPr="00D87237">
        <w:t>kaj</w:t>
      </w:r>
      <w:r w:rsidRPr="00D87237">
        <w:rPr>
          <w:rFonts w:hint="eastAsia"/>
        </w:rPr>
        <w:t>í</w:t>
      </w:r>
      <w:r w:rsidRPr="00D87237">
        <w:t xml:space="preserve"> poskytnut</w:t>
      </w:r>
      <w:r w:rsidRPr="00D87237">
        <w:rPr>
          <w:rFonts w:hint="eastAsia"/>
        </w:rPr>
        <w:t>í</w:t>
      </w:r>
      <w:r w:rsidRPr="00D87237">
        <w:t xml:space="preserve"> m</w:t>
      </w:r>
      <w:r w:rsidRPr="00D87237">
        <w:rPr>
          <w:rFonts w:hint="eastAsia"/>
        </w:rPr>
        <w:t>é</w:t>
      </w:r>
      <w:r w:rsidRPr="00D87237">
        <w:t>n</w:t>
      </w:r>
      <w:r w:rsidRPr="00D87237">
        <w:rPr>
          <w:rFonts w:hint="eastAsia"/>
        </w:rPr>
        <w:t>ě</w:t>
      </w:r>
      <w:r w:rsidRPr="00D87237">
        <w:t xml:space="preserve"> ne</w:t>
      </w:r>
      <w:r w:rsidRPr="00D87237">
        <w:rPr>
          <w:rFonts w:hint="eastAsia"/>
        </w:rPr>
        <w:t>ž</w:t>
      </w:r>
      <w:r w:rsidRPr="00D87237">
        <w:t xml:space="preserve"> 600 000 kilometr</w:t>
      </w:r>
      <w:r w:rsidRPr="00D87237">
        <w:rPr>
          <w:rFonts w:hint="eastAsia"/>
        </w:rPr>
        <w:t>ů</w:t>
      </w:r>
      <w:r w:rsidRPr="00D87237">
        <w:t xml:space="preserve"> ve</w:t>
      </w:r>
      <w:r w:rsidRPr="00D87237">
        <w:rPr>
          <w:rFonts w:hint="eastAsia"/>
        </w:rPr>
        <w:t>ř</w:t>
      </w:r>
      <w:r w:rsidRPr="00D87237">
        <w:t>ejn</w:t>
      </w:r>
      <w:r w:rsidRPr="00D87237">
        <w:rPr>
          <w:rFonts w:hint="eastAsia"/>
        </w:rPr>
        <w:t>ý</w:t>
      </w:r>
      <w:r w:rsidRPr="00D87237">
        <w:t>ch slu</w:t>
      </w:r>
      <w:r w:rsidRPr="00D87237">
        <w:rPr>
          <w:rFonts w:hint="eastAsia"/>
        </w:rPr>
        <w:t>ž</w:t>
      </w:r>
      <w:r w:rsidRPr="00D87237">
        <w:t>eb v p</w:t>
      </w:r>
      <w:r w:rsidRPr="00D87237">
        <w:rPr>
          <w:rFonts w:hint="eastAsia"/>
        </w:rPr>
        <w:t>ř</w:t>
      </w:r>
      <w:r w:rsidRPr="00D87237">
        <w:t>eprav</w:t>
      </w:r>
      <w:r w:rsidRPr="00D87237">
        <w:rPr>
          <w:rFonts w:hint="eastAsia"/>
        </w:rPr>
        <w:t>ě</w:t>
      </w:r>
      <w:r w:rsidRPr="00D87237">
        <w:t xml:space="preserve"> cestuj</w:t>
      </w:r>
      <w:r w:rsidRPr="00D87237">
        <w:rPr>
          <w:rFonts w:hint="eastAsia"/>
        </w:rPr>
        <w:t>í</w:t>
      </w:r>
      <w:r w:rsidRPr="00D87237">
        <w:t>c</w:t>
      </w:r>
      <w:r w:rsidRPr="00D87237">
        <w:rPr>
          <w:rFonts w:hint="eastAsia"/>
        </w:rPr>
        <w:t>í</w:t>
      </w:r>
      <w:r w:rsidRPr="00D87237">
        <w:t>ch ro</w:t>
      </w:r>
      <w:r w:rsidRPr="00D87237">
        <w:rPr>
          <w:rFonts w:hint="eastAsia"/>
        </w:rPr>
        <w:t>č</w:t>
      </w:r>
      <w:r w:rsidRPr="00D87237">
        <w:t>n</w:t>
      </w:r>
      <w:r w:rsidRPr="00D87237">
        <w:rPr>
          <w:rFonts w:hint="eastAsia"/>
        </w:rPr>
        <w:t>ě</w:t>
      </w:r>
      <w:r w:rsidRPr="00D87237">
        <w:t xml:space="preserve"> – platí pro smlouvy o ve</w:t>
      </w:r>
      <w:r w:rsidRPr="00D87237">
        <w:rPr>
          <w:rFonts w:hint="eastAsia"/>
        </w:rPr>
        <w:t>ř</w:t>
      </w:r>
      <w:r w:rsidRPr="00D87237">
        <w:t>ejn</w:t>
      </w:r>
      <w:r w:rsidRPr="00D87237">
        <w:rPr>
          <w:rFonts w:hint="eastAsia"/>
        </w:rPr>
        <w:t>ý</w:t>
      </w:r>
      <w:r w:rsidRPr="00D87237">
        <w:t>ch slu</w:t>
      </w:r>
      <w:r w:rsidRPr="00D87237">
        <w:rPr>
          <w:rFonts w:hint="eastAsia"/>
        </w:rPr>
        <w:t>ž</w:t>
      </w:r>
      <w:r w:rsidRPr="00D87237">
        <w:t>b</w:t>
      </w:r>
      <w:r w:rsidRPr="00D87237">
        <w:rPr>
          <w:rFonts w:hint="eastAsia"/>
        </w:rPr>
        <w:t>á</w:t>
      </w:r>
      <w:r w:rsidRPr="00D87237">
        <w:t>ch uzav</w:t>
      </w:r>
      <w:r w:rsidRPr="00D87237">
        <w:rPr>
          <w:rFonts w:hint="eastAsia"/>
        </w:rPr>
        <w:t>ř</w:t>
      </w:r>
      <w:r w:rsidRPr="00D87237">
        <w:t>en</w:t>
      </w:r>
      <w:r w:rsidRPr="00D87237">
        <w:rPr>
          <w:rFonts w:hint="eastAsia"/>
        </w:rPr>
        <w:t>é</w:t>
      </w:r>
      <w:r w:rsidRPr="00D87237">
        <w:t xml:space="preserve"> p</w:t>
      </w:r>
      <w:r w:rsidRPr="00D87237">
        <w:rPr>
          <w:rFonts w:hint="eastAsia"/>
        </w:rPr>
        <w:t>ří</w:t>
      </w:r>
      <w:r w:rsidRPr="00D87237">
        <w:t>mo s mal</w:t>
      </w:r>
      <w:r w:rsidRPr="00D87237">
        <w:rPr>
          <w:rFonts w:hint="eastAsia"/>
        </w:rPr>
        <w:t>ý</w:t>
      </w:r>
      <w:r w:rsidRPr="00D87237">
        <w:t>m nebo st</w:t>
      </w:r>
      <w:r w:rsidRPr="00D87237">
        <w:rPr>
          <w:rFonts w:hint="eastAsia"/>
        </w:rPr>
        <w:t>ř</w:t>
      </w:r>
      <w:r w:rsidRPr="00D87237">
        <w:t>edn</w:t>
      </w:r>
      <w:r w:rsidRPr="00D87237">
        <w:rPr>
          <w:rFonts w:hint="eastAsia"/>
        </w:rPr>
        <w:t>í</w:t>
      </w:r>
      <w:r w:rsidRPr="00D87237">
        <w:t>m podnikem, kter</w:t>
      </w:r>
      <w:r w:rsidRPr="00D87237">
        <w:rPr>
          <w:rFonts w:hint="eastAsia"/>
        </w:rPr>
        <w:t>ý</w:t>
      </w:r>
      <w:r w:rsidRPr="00D87237">
        <w:t xml:space="preserve"> provozuje maxim</w:t>
      </w:r>
      <w:r w:rsidRPr="00D87237">
        <w:rPr>
          <w:rFonts w:hint="eastAsia"/>
        </w:rPr>
        <w:t>á</w:t>
      </w:r>
      <w:r w:rsidRPr="00D87237">
        <w:t>ln</w:t>
      </w:r>
      <w:r w:rsidRPr="00D87237">
        <w:rPr>
          <w:rFonts w:hint="eastAsia"/>
        </w:rPr>
        <w:t>ě</w:t>
      </w:r>
      <w:r w:rsidRPr="00D87237">
        <w:t xml:space="preserve"> 23 vozidel</w:t>
      </w:r>
      <w:r>
        <w:t>.</w:t>
      </w:r>
    </w:p>
    <w:p w:rsidR="00D87237" w:rsidRPr="00D87237" w:rsidRDefault="00D87237" w:rsidP="00164419">
      <w:pPr>
        <w:ind w:left="360"/>
        <w:jc w:val="both"/>
        <w:rPr>
          <w:b/>
        </w:rPr>
      </w:pPr>
      <w:r w:rsidRPr="00D87237">
        <w:rPr>
          <w:b/>
        </w:rPr>
        <w:t xml:space="preserve">Je třeba upozornit, že v případě využití tohoto postupu je třeba splnit notifikační povinnost podobně jako u standardního nabídkového řízení, tedy nejpozději 1 rok před uzavřením smlouvy o veřejných službách v přepravě cestujících přímým zadáním uveřejnit informace o svém rozhodnutí uzavřít smlouvu v Úředním věstníku Evropské unie. </w:t>
      </w:r>
    </w:p>
    <w:p w:rsidR="00D111B6" w:rsidRDefault="00D111B6" w:rsidP="00D111B6">
      <w:pPr>
        <w:ind w:left="360"/>
        <w:jc w:val="both"/>
        <w:rPr>
          <w:b/>
        </w:rPr>
      </w:pPr>
      <w:r>
        <w:rPr>
          <w:b/>
        </w:rPr>
        <w:t>V případě veřejných služeb v přepravě cestujících zadaných dle ZVS (tj. body 2 a 3 výše) obecně platí, že riziko tržeb nese dopravce</w:t>
      </w:r>
      <w:r w:rsidR="005C3473">
        <w:rPr>
          <w:b/>
        </w:rPr>
        <w:t xml:space="preserve">. Oproti ZVZ je také odlišný režim výpočtu kompenzace. </w:t>
      </w:r>
      <w:r>
        <w:rPr>
          <w:b/>
        </w:rPr>
        <w:t xml:space="preserve"> </w:t>
      </w:r>
    </w:p>
    <w:sectPr w:rsidR="00D111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19" w:rsidRDefault="00DD3E19" w:rsidP="004A4120">
      <w:pPr>
        <w:spacing w:after="0" w:line="240" w:lineRule="auto"/>
      </w:pPr>
      <w:r>
        <w:separator/>
      </w:r>
    </w:p>
  </w:endnote>
  <w:endnote w:type="continuationSeparator" w:id="0">
    <w:p w:rsidR="00DD3E19" w:rsidRDefault="00DD3E19" w:rsidP="004A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398299"/>
      <w:docPartObj>
        <w:docPartGallery w:val="Page Numbers (Bottom of Page)"/>
        <w:docPartUnique/>
      </w:docPartObj>
    </w:sdtPr>
    <w:sdtEndPr/>
    <w:sdtContent>
      <w:p w:rsidR="003058F7" w:rsidRDefault="003058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62A">
          <w:rPr>
            <w:noProof/>
          </w:rPr>
          <w:t>3</w:t>
        </w:r>
        <w:r>
          <w:fldChar w:fldCharType="end"/>
        </w:r>
      </w:p>
    </w:sdtContent>
  </w:sdt>
  <w:p w:rsidR="004A4120" w:rsidRDefault="004A41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19" w:rsidRDefault="00DD3E19" w:rsidP="004A4120">
      <w:pPr>
        <w:spacing w:after="0" w:line="240" w:lineRule="auto"/>
      </w:pPr>
      <w:r>
        <w:separator/>
      </w:r>
    </w:p>
  </w:footnote>
  <w:footnote w:type="continuationSeparator" w:id="0">
    <w:p w:rsidR="00DD3E19" w:rsidRDefault="00DD3E19" w:rsidP="004A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029" w:rsidRDefault="00127029" w:rsidP="00127029">
    <w:pPr>
      <w:pStyle w:val="Zhlav"/>
      <w:jc w:val="right"/>
    </w:pPr>
    <w:r>
      <w:t>P0</w:t>
    </w:r>
    <w:r w:rsidR="0089762A">
      <w:t>1</w:t>
    </w:r>
    <w:r>
      <w:t>_prehled_moznosti_prechodneho_zadani_verejnych_sluzeb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C39"/>
    <w:multiLevelType w:val="hybridMultilevel"/>
    <w:tmpl w:val="B93CB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FCEAA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31"/>
    <w:multiLevelType w:val="hybridMultilevel"/>
    <w:tmpl w:val="4ED0D5BE"/>
    <w:lvl w:ilvl="0" w:tplc="520856F4">
      <w:start w:val="3"/>
      <w:numFmt w:val="bullet"/>
      <w:lvlText w:val="-"/>
      <w:lvlJc w:val="left"/>
      <w:pPr>
        <w:ind w:left="450" w:hanging="360"/>
      </w:pPr>
      <w:rPr>
        <w:rFonts w:ascii="EUAlbertina-Regular-Identity-H" w:eastAsia="EUAlbertina-Regular-Identity-H" w:hAnsiTheme="minorHAnsi" w:cs="EUAlbertina-Regular-Identity-H" w:hint="eastAsia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8727850"/>
    <w:multiLevelType w:val="hybridMultilevel"/>
    <w:tmpl w:val="CF2E9AD2"/>
    <w:lvl w:ilvl="0" w:tplc="D96208D8">
      <w:start w:val="1"/>
      <w:numFmt w:val="upperRoman"/>
      <w:lvlText w:val="%1."/>
      <w:lvlJc w:val="left"/>
      <w:pPr>
        <w:ind w:left="360" w:hanging="360"/>
      </w:pPr>
      <w:rPr>
        <w:rFonts w:hint="default"/>
        <w:u w:val="none"/>
      </w:rPr>
    </w:lvl>
    <w:lvl w:ilvl="1" w:tplc="6FCEAA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081727"/>
    <w:multiLevelType w:val="hybridMultilevel"/>
    <w:tmpl w:val="D932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C2235"/>
    <w:multiLevelType w:val="multilevel"/>
    <w:tmpl w:val="BCB4F0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DA452EA"/>
    <w:multiLevelType w:val="hybridMultilevel"/>
    <w:tmpl w:val="428EA10E"/>
    <w:lvl w:ilvl="0" w:tplc="520856F4">
      <w:start w:val="3"/>
      <w:numFmt w:val="bullet"/>
      <w:lvlText w:val="-"/>
      <w:lvlJc w:val="left"/>
      <w:pPr>
        <w:ind w:left="810" w:hanging="360"/>
      </w:pPr>
      <w:rPr>
        <w:rFonts w:ascii="EUAlbertina-Regular-Identity-H" w:eastAsia="EUAlbertina-Regular-Identity-H" w:hAnsiTheme="minorHAnsi" w:cs="EUAlbertina-Regular-Identity-H" w:hint="eastAsi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7E"/>
    <w:rsid w:val="000C0439"/>
    <w:rsid w:val="000D2AAA"/>
    <w:rsid w:val="00127029"/>
    <w:rsid w:val="00164419"/>
    <w:rsid w:val="0017394D"/>
    <w:rsid w:val="00191030"/>
    <w:rsid w:val="001F05BF"/>
    <w:rsid w:val="0025537E"/>
    <w:rsid w:val="003058F7"/>
    <w:rsid w:val="00323519"/>
    <w:rsid w:val="003368CD"/>
    <w:rsid w:val="003816FB"/>
    <w:rsid w:val="003B067C"/>
    <w:rsid w:val="003D4AFD"/>
    <w:rsid w:val="00451C8F"/>
    <w:rsid w:val="00463BB2"/>
    <w:rsid w:val="004A4120"/>
    <w:rsid w:val="005C3473"/>
    <w:rsid w:val="005D24F9"/>
    <w:rsid w:val="00631EE5"/>
    <w:rsid w:val="007550A8"/>
    <w:rsid w:val="0087352D"/>
    <w:rsid w:val="0089762A"/>
    <w:rsid w:val="00920FB5"/>
    <w:rsid w:val="0094207E"/>
    <w:rsid w:val="00BC776F"/>
    <w:rsid w:val="00D111B6"/>
    <w:rsid w:val="00D32031"/>
    <w:rsid w:val="00D8348A"/>
    <w:rsid w:val="00D87237"/>
    <w:rsid w:val="00DD3E19"/>
    <w:rsid w:val="00DF4CFA"/>
    <w:rsid w:val="00F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03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D2A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A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A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A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AA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A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20"/>
  </w:style>
  <w:style w:type="paragraph" w:styleId="Zpat">
    <w:name w:val="footer"/>
    <w:basedOn w:val="Normln"/>
    <w:link w:val="ZpatChar"/>
    <w:uiPriority w:val="99"/>
    <w:unhideWhenUsed/>
    <w:rsid w:val="004A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03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D2A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A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A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A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AA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A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20"/>
  </w:style>
  <w:style w:type="paragraph" w:styleId="Zpat">
    <w:name w:val="footer"/>
    <w:basedOn w:val="Normln"/>
    <w:link w:val="ZpatChar"/>
    <w:uiPriority w:val="99"/>
    <w:unhideWhenUsed/>
    <w:rsid w:val="004A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Jakešová</dc:creator>
  <cp:lastModifiedBy>Sulcova Eva</cp:lastModifiedBy>
  <cp:revision>3</cp:revision>
  <cp:lastPrinted>2014-06-24T21:12:00Z</cp:lastPrinted>
  <dcterms:created xsi:type="dcterms:W3CDTF">2014-07-16T10:30:00Z</dcterms:created>
  <dcterms:modified xsi:type="dcterms:W3CDTF">2014-07-16T10:36:00Z</dcterms:modified>
</cp:coreProperties>
</file>