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D0" w:rsidRPr="00DD7BFE" w:rsidRDefault="00CB7DD0" w:rsidP="00CB7DD0">
      <w:pPr>
        <w:pStyle w:val="Nzev"/>
        <w:widowControl/>
        <w:spacing w:before="0"/>
        <w:outlineLvl w:val="0"/>
        <w:rPr>
          <w:rFonts w:ascii="Times New Roman" w:hAnsi="Times New Roman"/>
          <w:bCs/>
          <w:sz w:val="34"/>
          <w:szCs w:val="34"/>
        </w:rPr>
      </w:pPr>
      <w:r w:rsidRPr="00DD7BFE">
        <w:rPr>
          <w:rFonts w:ascii="Times New Roman" w:hAnsi="Times New Roman"/>
          <w:bCs/>
          <w:sz w:val="34"/>
          <w:szCs w:val="34"/>
        </w:rPr>
        <w:t>PÍSEMNÁ INFORMACE</w:t>
      </w:r>
    </w:p>
    <w:p w:rsidR="00CB7DD0" w:rsidRPr="00DD7BFE" w:rsidRDefault="00CB7DD0" w:rsidP="00CB7DD0">
      <w:pPr>
        <w:pStyle w:val="Nzev"/>
        <w:widowControl/>
        <w:pBdr>
          <w:bottom w:val="single" w:sz="6" w:space="1" w:color="auto"/>
        </w:pBdr>
        <w:spacing w:before="0"/>
        <w:outlineLvl w:val="0"/>
        <w:rPr>
          <w:rFonts w:ascii="Times New Roman" w:hAnsi="Times New Roman"/>
          <w:bCs/>
          <w:sz w:val="34"/>
          <w:szCs w:val="34"/>
        </w:rPr>
      </w:pPr>
      <w:r w:rsidRPr="00DD7BFE">
        <w:rPr>
          <w:rFonts w:ascii="Times New Roman" w:hAnsi="Times New Roman"/>
          <w:bCs/>
          <w:sz w:val="34"/>
          <w:szCs w:val="34"/>
        </w:rPr>
        <w:t xml:space="preserve">pro 7. zasedání </w:t>
      </w:r>
      <w:r w:rsidR="00E459B7">
        <w:rPr>
          <w:rFonts w:ascii="Times New Roman" w:hAnsi="Times New Roman"/>
          <w:bCs/>
          <w:sz w:val="34"/>
          <w:szCs w:val="34"/>
        </w:rPr>
        <w:t>zastupitelstva</w:t>
      </w:r>
      <w:r w:rsidRPr="00DD7BFE">
        <w:rPr>
          <w:rFonts w:ascii="Times New Roman" w:hAnsi="Times New Roman"/>
          <w:bCs/>
          <w:sz w:val="34"/>
          <w:szCs w:val="34"/>
        </w:rPr>
        <w:t xml:space="preserve"> kraje  - </w:t>
      </w:r>
      <w:r w:rsidR="00E459B7">
        <w:rPr>
          <w:rFonts w:ascii="Times New Roman" w:hAnsi="Times New Roman"/>
          <w:bCs/>
          <w:sz w:val="34"/>
          <w:szCs w:val="34"/>
        </w:rPr>
        <w:t>26</w:t>
      </w:r>
      <w:r w:rsidRPr="00DD7BFE">
        <w:rPr>
          <w:rFonts w:ascii="Times New Roman" w:hAnsi="Times New Roman"/>
          <w:bCs/>
          <w:sz w:val="34"/>
          <w:szCs w:val="34"/>
        </w:rPr>
        <w:t xml:space="preserve">. </w:t>
      </w:r>
      <w:r w:rsidR="00E459B7">
        <w:rPr>
          <w:rFonts w:ascii="Times New Roman" w:hAnsi="Times New Roman"/>
          <w:bCs/>
          <w:sz w:val="34"/>
          <w:szCs w:val="34"/>
        </w:rPr>
        <w:t>8</w:t>
      </w:r>
      <w:r w:rsidRPr="00DD7BFE">
        <w:rPr>
          <w:rFonts w:ascii="Times New Roman" w:hAnsi="Times New Roman"/>
          <w:bCs/>
          <w:sz w:val="34"/>
          <w:szCs w:val="34"/>
        </w:rPr>
        <w:t>. 2014</w:t>
      </w:r>
    </w:p>
    <w:p w:rsidR="00CB7DD0" w:rsidRPr="00DD7BFE" w:rsidRDefault="00CB7DD0" w:rsidP="00CB7DD0">
      <w:pPr>
        <w:pStyle w:val="Nzev"/>
        <w:widowControl/>
        <w:spacing w:before="0"/>
        <w:jc w:val="both"/>
        <w:outlineLvl w:val="0"/>
        <w:rPr>
          <w:rFonts w:ascii="Times New Roman" w:hAnsi="Times New Roman"/>
          <w:b w:val="0"/>
          <w:bCs/>
        </w:rPr>
      </w:pPr>
    </w:p>
    <w:p w:rsidR="00CB7DD0" w:rsidRPr="00DD7BFE" w:rsidRDefault="00CB7DD0" w:rsidP="00CB7DD0">
      <w:pPr>
        <w:pStyle w:val="Nzev"/>
        <w:widowControl/>
        <w:spacing w:before="0"/>
        <w:jc w:val="both"/>
        <w:outlineLvl w:val="0"/>
        <w:rPr>
          <w:rFonts w:ascii="Times New Roman" w:hAnsi="Times New Roman"/>
          <w:b w:val="0"/>
          <w:bCs/>
          <w:sz w:val="32"/>
          <w:szCs w:val="32"/>
        </w:rPr>
      </w:pPr>
    </w:p>
    <w:p w:rsidR="00CB7DD0" w:rsidRPr="00DD7BFE" w:rsidRDefault="00CB7DD0" w:rsidP="00CB7DD0">
      <w:pPr>
        <w:pStyle w:val="Nzev"/>
        <w:widowControl/>
        <w:spacing w:before="0"/>
        <w:jc w:val="both"/>
        <w:outlineLvl w:val="0"/>
        <w:rPr>
          <w:rFonts w:ascii="Times New Roman" w:hAnsi="Times New Roman"/>
          <w:b w:val="0"/>
          <w:bCs/>
          <w:sz w:val="32"/>
          <w:szCs w:val="32"/>
        </w:rPr>
      </w:pPr>
    </w:p>
    <w:p w:rsidR="00CB7DD0" w:rsidRPr="00DD7BFE" w:rsidRDefault="00CB7DD0" w:rsidP="00CB7DD0">
      <w:pPr>
        <w:pStyle w:val="Nzev"/>
        <w:widowControl/>
        <w:spacing w:before="0"/>
        <w:jc w:val="both"/>
        <w:outlineLvl w:val="0"/>
        <w:rPr>
          <w:rFonts w:ascii="Times New Roman" w:hAnsi="Times New Roman"/>
          <w:b w:val="0"/>
          <w:bCs/>
          <w:sz w:val="32"/>
          <w:szCs w:val="32"/>
        </w:rPr>
      </w:pPr>
    </w:p>
    <w:p w:rsidR="00CB7DD0" w:rsidRPr="00DD7BFE" w:rsidRDefault="00CB7DD0" w:rsidP="00CB7DD0">
      <w:pPr>
        <w:pStyle w:val="Nzev"/>
        <w:widowControl/>
        <w:spacing w:before="0"/>
        <w:outlineLvl w:val="0"/>
        <w:rPr>
          <w:rFonts w:ascii="Times New Roman" w:hAnsi="Times New Roman"/>
          <w:bCs/>
          <w:sz w:val="32"/>
          <w:szCs w:val="32"/>
        </w:rPr>
      </w:pPr>
    </w:p>
    <w:p w:rsidR="00CB7DD0" w:rsidRPr="00DD7BFE" w:rsidRDefault="00CB7DD0" w:rsidP="00CB7DD0">
      <w:pPr>
        <w:pStyle w:val="Nzev"/>
        <w:widowControl/>
        <w:spacing w:before="0"/>
        <w:outlineLvl w:val="0"/>
        <w:rPr>
          <w:rFonts w:ascii="Times New Roman" w:hAnsi="Times New Roman"/>
          <w:bCs/>
          <w:sz w:val="32"/>
          <w:szCs w:val="32"/>
        </w:rPr>
      </w:pPr>
    </w:p>
    <w:p w:rsidR="00CB7DD0" w:rsidRPr="00DD7BFE" w:rsidRDefault="00CB7DD0" w:rsidP="00CB7DD0">
      <w:pPr>
        <w:pStyle w:val="Nzev"/>
        <w:widowControl/>
        <w:spacing w:before="0"/>
        <w:outlineLvl w:val="0"/>
        <w:rPr>
          <w:rFonts w:ascii="Times New Roman" w:hAnsi="Times New Roman"/>
          <w:bCs/>
          <w:sz w:val="32"/>
          <w:szCs w:val="32"/>
        </w:rPr>
      </w:pPr>
    </w:p>
    <w:p w:rsidR="00CB7DD0" w:rsidRPr="00DD7BFE" w:rsidRDefault="00ED62C4" w:rsidP="00CB7DD0">
      <w:pPr>
        <w:pStyle w:val="Nzev"/>
        <w:widowControl/>
        <w:spacing w:before="0"/>
        <w:outlineLvl w:val="0"/>
        <w:rPr>
          <w:rFonts w:ascii="Times New Roman" w:hAnsi="Times New Roman"/>
          <w:bCs/>
          <w:sz w:val="32"/>
          <w:szCs w:val="32"/>
        </w:rPr>
      </w:pPr>
      <w:r>
        <w:rPr>
          <w:rFonts w:ascii="Times New Roman" w:hAnsi="Times New Roman"/>
          <w:bCs/>
          <w:sz w:val="32"/>
          <w:szCs w:val="32"/>
        </w:rPr>
        <w:t>77 t)</w:t>
      </w:r>
      <w:r w:rsidR="00E459B7">
        <w:rPr>
          <w:rFonts w:ascii="Times New Roman" w:hAnsi="Times New Roman"/>
          <w:bCs/>
          <w:sz w:val="32"/>
          <w:szCs w:val="32"/>
        </w:rPr>
        <w:t xml:space="preserve"> </w:t>
      </w:r>
    </w:p>
    <w:p w:rsidR="00CB7DD0" w:rsidRPr="00DD7BFE" w:rsidRDefault="00CB7DD0" w:rsidP="00CB7DD0">
      <w:pPr>
        <w:pStyle w:val="Nzev"/>
        <w:widowControl/>
        <w:spacing w:before="0"/>
        <w:outlineLvl w:val="0"/>
        <w:rPr>
          <w:rFonts w:ascii="Times New Roman" w:hAnsi="Times New Roman"/>
          <w:bCs/>
          <w:sz w:val="32"/>
          <w:szCs w:val="32"/>
        </w:rPr>
      </w:pPr>
    </w:p>
    <w:p w:rsidR="00CB7DD0" w:rsidRPr="00DD7BFE" w:rsidRDefault="00CB7DD0" w:rsidP="00CB7DD0">
      <w:pPr>
        <w:pStyle w:val="Nzev"/>
        <w:widowControl/>
        <w:spacing w:before="0"/>
        <w:outlineLvl w:val="0"/>
        <w:rPr>
          <w:rFonts w:ascii="Times New Roman" w:hAnsi="Times New Roman"/>
          <w:bCs/>
          <w:sz w:val="32"/>
          <w:szCs w:val="32"/>
        </w:rPr>
      </w:pPr>
    </w:p>
    <w:p w:rsidR="00E459B7" w:rsidRDefault="00E459B7" w:rsidP="00E459B7">
      <w:pPr>
        <w:pStyle w:val="Nzev"/>
        <w:outlineLvl w:val="0"/>
        <w:rPr>
          <w:rFonts w:ascii="Times New Roman" w:hAnsi="Times New Roman"/>
          <w:bCs/>
          <w:sz w:val="28"/>
          <w:szCs w:val="28"/>
        </w:rPr>
      </w:pPr>
      <w:r w:rsidRPr="00E459B7">
        <w:rPr>
          <w:rFonts w:ascii="Times New Roman" w:hAnsi="Times New Roman"/>
          <w:bCs/>
          <w:sz w:val="28"/>
          <w:szCs w:val="28"/>
        </w:rPr>
        <w:t xml:space="preserve">Odstoupení od Kupní smlouvy </w:t>
      </w:r>
      <w:proofErr w:type="gramStart"/>
      <w:r w:rsidRPr="00E459B7">
        <w:rPr>
          <w:rFonts w:ascii="Times New Roman" w:hAnsi="Times New Roman"/>
          <w:bCs/>
          <w:sz w:val="28"/>
          <w:szCs w:val="28"/>
        </w:rPr>
        <w:t>č.j.</w:t>
      </w:r>
      <w:proofErr w:type="gramEnd"/>
      <w:r w:rsidRPr="00E459B7">
        <w:rPr>
          <w:rFonts w:ascii="Times New Roman" w:hAnsi="Times New Roman"/>
          <w:bCs/>
          <w:sz w:val="28"/>
          <w:szCs w:val="28"/>
        </w:rPr>
        <w:t xml:space="preserve"> OLP/1223/2013 </w:t>
      </w:r>
    </w:p>
    <w:p w:rsidR="00E459B7" w:rsidRPr="00E459B7" w:rsidRDefault="00E459B7" w:rsidP="00E459B7">
      <w:pPr>
        <w:pStyle w:val="Nzev"/>
        <w:outlineLvl w:val="0"/>
        <w:rPr>
          <w:rFonts w:ascii="Times New Roman" w:hAnsi="Times New Roman"/>
          <w:bCs/>
          <w:sz w:val="28"/>
          <w:szCs w:val="28"/>
        </w:rPr>
      </w:pPr>
      <w:r w:rsidRPr="00E459B7">
        <w:rPr>
          <w:rFonts w:ascii="Times New Roman" w:hAnsi="Times New Roman"/>
          <w:bCs/>
          <w:sz w:val="28"/>
          <w:szCs w:val="28"/>
        </w:rPr>
        <w:t xml:space="preserve">v </w:t>
      </w:r>
      <w:proofErr w:type="gramStart"/>
      <w:r w:rsidRPr="00E459B7">
        <w:rPr>
          <w:rFonts w:ascii="Times New Roman" w:hAnsi="Times New Roman"/>
          <w:bCs/>
          <w:sz w:val="28"/>
          <w:szCs w:val="28"/>
        </w:rPr>
        <w:t>k.ú.</w:t>
      </w:r>
      <w:proofErr w:type="gramEnd"/>
      <w:r w:rsidRPr="00E459B7">
        <w:rPr>
          <w:rFonts w:ascii="Times New Roman" w:hAnsi="Times New Roman"/>
          <w:bCs/>
          <w:sz w:val="28"/>
          <w:szCs w:val="28"/>
        </w:rPr>
        <w:t xml:space="preserve"> Jablonec nad Nisou </w:t>
      </w:r>
    </w:p>
    <w:p w:rsidR="00CB7DD0" w:rsidRPr="00DD7BFE" w:rsidRDefault="00E459B7" w:rsidP="00E459B7">
      <w:pPr>
        <w:pStyle w:val="Nzev"/>
        <w:widowControl/>
        <w:spacing w:before="0"/>
        <w:outlineLvl w:val="0"/>
        <w:rPr>
          <w:rFonts w:ascii="Times New Roman" w:hAnsi="Times New Roman"/>
          <w:bCs/>
          <w:sz w:val="32"/>
          <w:szCs w:val="32"/>
        </w:rPr>
      </w:pPr>
      <w:proofErr w:type="gramStart"/>
      <w:r w:rsidRPr="00E459B7">
        <w:rPr>
          <w:rFonts w:ascii="Times New Roman" w:hAnsi="Times New Roman"/>
          <w:bCs/>
          <w:sz w:val="28"/>
          <w:szCs w:val="28"/>
        </w:rPr>
        <w:t>( ul.</w:t>
      </w:r>
      <w:proofErr w:type="gramEnd"/>
      <w:r w:rsidRPr="00E459B7">
        <w:rPr>
          <w:rFonts w:ascii="Times New Roman" w:hAnsi="Times New Roman"/>
          <w:bCs/>
          <w:sz w:val="28"/>
          <w:szCs w:val="28"/>
        </w:rPr>
        <w:t xml:space="preserve"> Turnovská-areál bývalé porodnice)</w:t>
      </w:r>
    </w:p>
    <w:p w:rsidR="00CB7DD0" w:rsidRPr="00DD7BFE" w:rsidRDefault="00CB7DD0" w:rsidP="00CB7DD0">
      <w:pPr>
        <w:pStyle w:val="Nzev"/>
        <w:widowControl/>
        <w:spacing w:before="0"/>
        <w:jc w:val="both"/>
        <w:outlineLvl w:val="0"/>
        <w:rPr>
          <w:rFonts w:ascii="Times New Roman" w:hAnsi="Times New Roman"/>
          <w:b w:val="0"/>
          <w:bCs/>
          <w:sz w:val="32"/>
          <w:szCs w:val="32"/>
        </w:rPr>
      </w:pPr>
    </w:p>
    <w:p w:rsidR="00CB7DD0" w:rsidRPr="00DD7BFE" w:rsidRDefault="00CB7DD0" w:rsidP="00CB7DD0">
      <w:pPr>
        <w:pStyle w:val="Nzev"/>
        <w:widowControl/>
        <w:spacing w:before="0"/>
        <w:jc w:val="both"/>
        <w:outlineLvl w:val="0"/>
        <w:rPr>
          <w:rFonts w:ascii="Times New Roman" w:hAnsi="Times New Roman"/>
          <w:b w:val="0"/>
          <w:bCs/>
          <w:sz w:val="32"/>
          <w:szCs w:val="32"/>
        </w:rPr>
      </w:pPr>
    </w:p>
    <w:p w:rsidR="00CB7DD0" w:rsidRPr="00DD7BFE" w:rsidRDefault="00CB7DD0" w:rsidP="00CB7DD0">
      <w:pPr>
        <w:pStyle w:val="Nzev"/>
        <w:widowControl/>
        <w:spacing w:before="0"/>
        <w:jc w:val="both"/>
        <w:outlineLvl w:val="0"/>
        <w:rPr>
          <w:rFonts w:ascii="Times New Roman" w:hAnsi="Times New Roman"/>
          <w:b w:val="0"/>
          <w:bCs/>
          <w:sz w:val="32"/>
          <w:szCs w:val="32"/>
        </w:rPr>
      </w:pPr>
    </w:p>
    <w:p w:rsidR="00CB7DD0" w:rsidRPr="00DD7BFE" w:rsidRDefault="00CB7DD0" w:rsidP="00CB7DD0">
      <w:pPr>
        <w:jc w:val="both"/>
        <w:rPr>
          <w:sz w:val="36"/>
          <w:szCs w:val="36"/>
        </w:rPr>
      </w:pPr>
      <w:r w:rsidRPr="00DD7BFE">
        <w:rPr>
          <w:sz w:val="36"/>
          <w:szCs w:val="36"/>
        </w:rPr>
        <w:tab/>
        <w:t xml:space="preserve">     </w:t>
      </w:r>
    </w:p>
    <w:p w:rsidR="00CB7DD0" w:rsidRPr="00DD7BFE" w:rsidRDefault="00CB7DD0" w:rsidP="00CB7DD0">
      <w:pPr>
        <w:widowControl w:val="0"/>
        <w:spacing w:line="240" w:lineRule="atLeast"/>
        <w:jc w:val="center"/>
        <w:rPr>
          <w:b/>
          <w:sz w:val="36"/>
          <w:szCs w:val="36"/>
        </w:rPr>
      </w:pPr>
    </w:p>
    <w:p w:rsidR="00CB7DD0" w:rsidRPr="00DD7BFE" w:rsidRDefault="00CB7DD0" w:rsidP="00CB7DD0">
      <w:pPr>
        <w:widowControl w:val="0"/>
        <w:spacing w:line="240" w:lineRule="atLeast"/>
        <w:jc w:val="center"/>
        <w:rPr>
          <w:b/>
          <w:sz w:val="36"/>
          <w:szCs w:val="36"/>
        </w:rPr>
      </w:pPr>
    </w:p>
    <w:p w:rsidR="00CB7DD0" w:rsidRPr="00DD7BFE" w:rsidRDefault="00CB7DD0" w:rsidP="00CB7DD0">
      <w:pPr>
        <w:jc w:val="both"/>
        <w:rPr>
          <w:sz w:val="36"/>
          <w:szCs w:val="36"/>
        </w:rPr>
      </w:pPr>
      <w:r w:rsidRPr="00DD7BFE">
        <w:rPr>
          <w:sz w:val="36"/>
          <w:szCs w:val="36"/>
        </w:rPr>
        <w:tab/>
        <w:t xml:space="preserve">         </w:t>
      </w:r>
    </w:p>
    <w:p w:rsidR="00CB7DD0" w:rsidRPr="00DD7BFE" w:rsidRDefault="00CB7DD0" w:rsidP="00CB7DD0">
      <w:pPr>
        <w:jc w:val="both"/>
        <w:rPr>
          <w:sz w:val="24"/>
          <w:szCs w:val="24"/>
        </w:rPr>
      </w:pPr>
      <w:r w:rsidRPr="00DD7BFE">
        <w:rPr>
          <w:sz w:val="24"/>
          <w:szCs w:val="24"/>
        </w:rPr>
        <w:t xml:space="preserve">   </w:t>
      </w:r>
    </w:p>
    <w:p w:rsidR="00CB7DD0" w:rsidRPr="00DD7BFE" w:rsidRDefault="00CB7DD0" w:rsidP="00CB7DD0">
      <w:pPr>
        <w:jc w:val="both"/>
        <w:rPr>
          <w:sz w:val="24"/>
          <w:szCs w:val="24"/>
        </w:rPr>
      </w:pPr>
    </w:p>
    <w:p w:rsidR="00CB7DD0" w:rsidRPr="00DD7BFE" w:rsidRDefault="00CB7DD0" w:rsidP="00CB7DD0">
      <w:pPr>
        <w:jc w:val="both"/>
        <w:rPr>
          <w:sz w:val="24"/>
          <w:szCs w:val="24"/>
        </w:rPr>
      </w:pPr>
    </w:p>
    <w:p w:rsidR="00CB7DD0" w:rsidRPr="00DD7BFE" w:rsidRDefault="00CB7DD0" w:rsidP="00CB7DD0">
      <w:pPr>
        <w:jc w:val="both"/>
        <w:rPr>
          <w:sz w:val="24"/>
          <w:szCs w:val="24"/>
        </w:rPr>
      </w:pPr>
    </w:p>
    <w:p w:rsidR="00CB7DD0" w:rsidRPr="00DD7BFE" w:rsidRDefault="00CB7DD0" w:rsidP="00CB7DD0">
      <w:pPr>
        <w:jc w:val="both"/>
        <w:rPr>
          <w:sz w:val="24"/>
          <w:szCs w:val="24"/>
        </w:rPr>
      </w:pPr>
    </w:p>
    <w:p w:rsidR="00CB7DD0" w:rsidRPr="00DD7BFE" w:rsidRDefault="00CB7DD0" w:rsidP="00CB7DD0">
      <w:pPr>
        <w:jc w:val="center"/>
        <w:rPr>
          <w:sz w:val="24"/>
          <w:szCs w:val="24"/>
        </w:rPr>
      </w:pPr>
    </w:p>
    <w:p w:rsidR="00CB7DD0" w:rsidRPr="00DD7BFE" w:rsidRDefault="00CB7DD0" w:rsidP="00CB7DD0">
      <w:pPr>
        <w:jc w:val="both"/>
        <w:rPr>
          <w:sz w:val="24"/>
          <w:szCs w:val="24"/>
        </w:rPr>
      </w:pPr>
    </w:p>
    <w:p w:rsidR="00CB7DD0" w:rsidRPr="00DD7BFE" w:rsidRDefault="00CB7DD0" w:rsidP="00CB7DD0">
      <w:pPr>
        <w:jc w:val="both"/>
        <w:rPr>
          <w:sz w:val="24"/>
          <w:szCs w:val="24"/>
        </w:rPr>
      </w:pPr>
      <w:r w:rsidRPr="00DD7BFE">
        <w:rPr>
          <w:sz w:val="24"/>
          <w:szCs w:val="24"/>
        </w:rPr>
        <w:t xml:space="preserve">Důvod předložení: </w:t>
      </w:r>
      <w:r w:rsidRPr="00DD7BFE">
        <w:rPr>
          <w:sz w:val="24"/>
          <w:szCs w:val="24"/>
        </w:rPr>
        <w:tab/>
        <w:t xml:space="preserve">Usnesení </w:t>
      </w:r>
      <w:r w:rsidR="00ED62C4">
        <w:rPr>
          <w:sz w:val="24"/>
          <w:szCs w:val="24"/>
        </w:rPr>
        <w:t>1281</w:t>
      </w:r>
      <w:r w:rsidRPr="00DD7BFE">
        <w:rPr>
          <w:sz w:val="24"/>
          <w:szCs w:val="24"/>
        </w:rPr>
        <w:t>/14/RK</w:t>
      </w:r>
    </w:p>
    <w:p w:rsidR="00CB7DD0" w:rsidRPr="00DD7BFE" w:rsidRDefault="00CB7DD0" w:rsidP="00CB7DD0">
      <w:pPr>
        <w:jc w:val="both"/>
        <w:rPr>
          <w:sz w:val="24"/>
          <w:szCs w:val="24"/>
        </w:rPr>
      </w:pPr>
    </w:p>
    <w:p w:rsidR="00CB7DD0" w:rsidRPr="00DD7BFE" w:rsidRDefault="00CB7DD0" w:rsidP="00CB7DD0">
      <w:pPr>
        <w:jc w:val="both"/>
        <w:outlineLvl w:val="0"/>
        <w:rPr>
          <w:sz w:val="24"/>
          <w:szCs w:val="24"/>
        </w:rPr>
      </w:pPr>
      <w:r w:rsidRPr="00DD7BFE">
        <w:rPr>
          <w:sz w:val="24"/>
          <w:szCs w:val="24"/>
        </w:rPr>
        <w:t>Zpracoval:</w:t>
      </w:r>
      <w:r w:rsidRPr="00DD7BFE">
        <w:rPr>
          <w:sz w:val="24"/>
          <w:szCs w:val="24"/>
        </w:rPr>
        <w:tab/>
      </w:r>
      <w:r w:rsidRPr="00DD7BFE">
        <w:rPr>
          <w:sz w:val="24"/>
          <w:szCs w:val="24"/>
        </w:rPr>
        <w:tab/>
        <w:t xml:space="preserve">Bc. Petr Staněk, </w:t>
      </w:r>
    </w:p>
    <w:p w:rsidR="00CB7DD0" w:rsidRPr="00DD7BFE" w:rsidRDefault="00CB7DD0" w:rsidP="00CB7DD0">
      <w:pPr>
        <w:ind w:left="1416" w:firstLine="708"/>
        <w:jc w:val="both"/>
        <w:outlineLvl w:val="0"/>
        <w:rPr>
          <w:sz w:val="24"/>
          <w:szCs w:val="24"/>
        </w:rPr>
      </w:pPr>
      <w:r w:rsidRPr="00DD7BFE">
        <w:rPr>
          <w:sz w:val="24"/>
          <w:szCs w:val="24"/>
        </w:rPr>
        <w:t>vedoucí majetkoprávního oddělení,</w:t>
      </w:r>
    </w:p>
    <w:p w:rsidR="00CB7DD0" w:rsidRPr="00DD7BFE" w:rsidRDefault="00CB7DD0" w:rsidP="00CB7DD0">
      <w:pPr>
        <w:ind w:left="1416" w:firstLine="708"/>
        <w:jc w:val="both"/>
        <w:outlineLvl w:val="0"/>
        <w:rPr>
          <w:sz w:val="24"/>
          <w:szCs w:val="24"/>
        </w:rPr>
      </w:pPr>
      <w:r w:rsidRPr="00DD7BFE">
        <w:rPr>
          <w:sz w:val="24"/>
          <w:szCs w:val="24"/>
        </w:rPr>
        <w:t>tajemník majetkové komise</w:t>
      </w:r>
    </w:p>
    <w:p w:rsidR="00CB7DD0" w:rsidRPr="00DD7BFE" w:rsidRDefault="00CB7DD0" w:rsidP="00CB7DD0">
      <w:pPr>
        <w:jc w:val="both"/>
        <w:outlineLvl w:val="0"/>
        <w:rPr>
          <w:sz w:val="24"/>
          <w:szCs w:val="24"/>
        </w:rPr>
      </w:pPr>
    </w:p>
    <w:p w:rsidR="00CB7DD0" w:rsidRPr="00DD7BFE" w:rsidRDefault="00CB7DD0" w:rsidP="00CB7DD0">
      <w:pPr>
        <w:jc w:val="both"/>
        <w:outlineLvl w:val="0"/>
        <w:rPr>
          <w:sz w:val="24"/>
          <w:szCs w:val="24"/>
        </w:rPr>
      </w:pPr>
    </w:p>
    <w:p w:rsidR="00CB7DD0" w:rsidRPr="00DD7BFE" w:rsidRDefault="00CB7DD0" w:rsidP="00CB7DD0">
      <w:pPr>
        <w:jc w:val="both"/>
        <w:outlineLvl w:val="0"/>
        <w:rPr>
          <w:sz w:val="24"/>
          <w:szCs w:val="24"/>
        </w:rPr>
      </w:pPr>
      <w:r w:rsidRPr="00DD7BFE">
        <w:rPr>
          <w:sz w:val="24"/>
          <w:szCs w:val="24"/>
        </w:rPr>
        <w:t>Předkládá:</w:t>
      </w:r>
      <w:r w:rsidRPr="00DD7BFE">
        <w:rPr>
          <w:sz w:val="24"/>
          <w:szCs w:val="24"/>
        </w:rPr>
        <w:tab/>
      </w:r>
      <w:r w:rsidRPr="00DD7BFE">
        <w:rPr>
          <w:sz w:val="24"/>
          <w:szCs w:val="24"/>
        </w:rPr>
        <w:tab/>
        <w:t>Marek Pieter</w:t>
      </w:r>
    </w:p>
    <w:p w:rsidR="00CB7DD0" w:rsidRPr="00DD7BFE" w:rsidRDefault="00CB7DD0" w:rsidP="00CB7DD0">
      <w:pPr>
        <w:ind w:left="2124"/>
        <w:jc w:val="both"/>
        <w:outlineLvl w:val="0"/>
        <w:rPr>
          <w:sz w:val="24"/>
          <w:szCs w:val="24"/>
        </w:rPr>
      </w:pPr>
      <w:r w:rsidRPr="00DD7BFE">
        <w:rPr>
          <w:sz w:val="24"/>
          <w:szCs w:val="24"/>
        </w:rPr>
        <w:t>náměstek hejtmana, řízení ekonomiky, investic, správy majetku a informatiky</w:t>
      </w:r>
    </w:p>
    <w:p w:rsidR="00CB7DD0" w:rsidRDefault="00CB7DD0" w:rsidP="00CB7DD0">
      <w:pPr>
        <w:rPr>
          <w:sz w:val="24"/>
          <w:szCs w:val="24"/>
        </w:rPr>
      </w:pPr>
    </w:p>
    <w:p w:rsidR="00ED62C4" w:rsidRDefault="00ED62C4" w:rsidP="00CB7DD0">
      <w:pPr>
        <w:rPr>
          <w:sz w:val="24"/>
          <w:szCs w:val="24"/>
        </w:rPr>
      </w:pPr>
    </w:p>
    <w:p w:rsidR="00ED62C4" w:rsidRPr="00ED62C4" w:rsidRDefault="00ED62C4" w:rsidP="00ED62C4">
      <w:pPr>
        <w:jc w:val="center"/>
        <w:rPr>
          <w:b/>
          <w:sz w:val="32"/>
          <w:szCs w:val="32"/>
        </w:rPr>
      </w:pPr>
      <w:r w:rsidRPr="00ED62C4">
        <w:rPr>
          <w:b/>
          <w:sz w:val="32"/>
          <w:szCs w:val="32"/>
        </w:rPr>
        <w:lastRenderedPageBreak/>
        <w:t>Důvodová zpráva</w:t>
      </w:r>
    </w:p>
    <w:p w:rsidR="00ED62C4" w:rsidRDefault="00ED62C4" w:rsidP="00CB7DD0">
      <w:pPr>
        <w:rPr>
          <w:sz w:val="24"/>
          <w:szCs w:val="24"/>
        </w:rPr>
      </w:pPr>
    </w:p>
    <w:p w:rsidR="00ED62C4" w:rsidRPr="00ED62C4" w:rsidRDefault="00ED62C4" w:rsidP="00ED62C4">
      <w:pPr>
        <w:spacing w:before="120" w:after="120"/>
        <w:jc w:val="both"/>
        <w:rPr>
          <w:sz w:val="24"/>
          <w:szCs w:val="24"/>
        </w:rPr>
      </w:pPr>
      <w:r w:rsidRPr="00ED62C4">
        <w:rPr>
          <w:sz w:val="24"/>
          <w:szCs w:val="24"/>
        </w:rPr>
        <w:t xml:space="preserve">Dne 24.10.2013 byla uzavřena Kupní smlouva </w:t>
      </w:r>
      <w:proofErr w:type="gramStart"/>
      <w:r w:rsidRPr="00ED62C4">
        <w:rPr>
          <w:sz w:val="24"/>
          <w:szCs w:val="24"/>
        </w:rPr>
        <w:t>č.j.</w:t>
      </w:r>
      <w:proofErr w:type="gramEnd"/>
      <w:r w:rsidRPr="00ED62C4">
        <w:rPr>
          <w:sz w:val="24"/>
          <w:szCs w:val="24"/>
        </w:rPr>
        <w:t xml:space="preserve"> OLP/1223/2013 mezi Libereckým krajem jako prodávajícím na straně jedné a společností Varopa s.r.o., jako kupující na straně druhé, za vzájemně dohodnutou kupní cenu 18.000.000 Kč (slovy: osmnáct miliónů korun českých).</w:t>
      </w:r>
    </w:p>
    <w:p w:rsidR="00ED62C4" w:rsidRPr="00ED62C4" w:rsidRDefault="00ED62C4" w:rsidP="00ED62C4">
      <w:pPr>
        <w:spacing w:before="120" w:after="120"/>
        <w:jc w:val="both"/>
        <w:rPr>
          <w:sz w:val="24"/>
          <w:szCs w:val="24"/>
        </w:rPr>
      </w:pPr>
      <w:r w:rsidRPr="00ED62C4">
        <w:rPr>
          <w:sz w:val="24"/>
          <w:szCs w:val="24"/>
        </w:rPr>
        <w:t>Předmětem koupě byl objekt bývalé porodnice v ulici Turnovská, v Jablonci nad Nisou včetně všech součástí, vybavení a příslušenství, tedy:</w:t>
      </w:r>
    </w:p>
    <w:p w:rsidR="00ED62C4" w:rsidRPr="00ED62C4" w:rsidRDefault="00ED62C4" w:rsidP="00ED62C4">
      <w:pPr>
        <w:spacing w:before="120"/>
        <w:jc w:val="both"/>
        <w:rPr>
          <w:sz w:val="24"/>
          <w:szCs w:val="24"/>
        </w:rPr>
      </w:pPr>
      <w:r w:rsidRPr="00ED62C4">
        <w:rPr>
          <w:sz w:val="24"/>
          <w:szCs w:val="24"/>
        </w:rPr>
        <w:t xml:space="preserve">stavba občanského vybavení </w:t>
      </w:r>
      <w:proofErr w:type="gramStart"/>
      <w:r w:rsidRPr="00ED62C4">
        <w:rPr>
          <w:sz w:val="24"/>
          <w:szCs w:val="24"/>
        </w:rPr>
        <w:t>č.p.</w:t>
      </w:r>
      <w:proofErr w:type="gramEnd"/>
      <w:r w:rsidRPr="00ED62C4">
        <w:rPr>
          <w:sz w:val="24"/>
          <w:szCs w:val="24"/>
        </w:rPr>
        <w:t xml:space="preserve"> 2700 na st.p.č. 2763/1, v části obce Jablonec nad Nisou, </w:t>
      </w:r>
    </w:p>
    <w:p w:rsidR="00ED62C4" w:rsidRPr="00ED62C4" w:rsidRDefault="00ED62C4" w:rsidP="00ED62C4">
      <w:pPr>
        <w:jc w:val="both"/>
        <w:rPr>
          <w:sz w:val="24"/>
          <w:szCs w:val="24"/>
        </w:rPr>
      </w:pPr>
      <w:r w:rsidRPr="00ED62C4">
        <w:rPr>
          <w:sz w:val="24"/>
          <w:szCs w:val="24"/>
        </w:rPr>
        <w:t>stavba technického vybavení bez čp/</w:t>
      </w:r>
      <w:proofErr w:type="spellStart"/>
      <w:r w:rsidRPr="00ED62C4">
        <w:rPr>
          <w:sz w:val="24"/>
          <w:szCs w:val="24"/>
        </w:rPr>
        <w:t>če</w:t>
      </w:r>
      <w:proofErr w:type="spellEnd"/>
      <w:r w:rsidRPr="00ED62C4">
        <w:rPr>
          <w:sz w:val="24"/>
          <w:szCs w:val="24"/>
        </w:rPr>
        <w:t xml:space="preserve"> na </w:t>
      </w:r>
      <w:proofErr w:type="gramStart"/>
      <w:r w:rsidRPr="00ED62C4">
        <w:rPr>
          <w:sz w:val="24"/>
          <w:szCs w:val="24"/>
        </w:rPr>
        <w:t>st.p.</w:t>
      </w:r>
      <w:proofErr w:type="gramEnd"/>
      <w:r w:rsidRPr="00ED62C4">
        <w:rPr>
          <w:sz w:val="24"/>
          <w:szCs w:val="24"/>
        </w:rPr>
        <w:t xml:space="preserve">č. 2763/2, </w:t>
      </w:r>
    </w:p>
    <w:p w:rsidR="00ED62C4" w:rsidRPr="00ED62C4" w:rsidRDefault="00ED62C4" w:rsidP="00ED62C4">
      <w:pPr>
        <w:jc w:val="both"/>
        <w:rPr>
          <w:sz w:val="24"/>
          <w:szCs w:val="24"/>
        </w:rPr>
      </w:pPr>
      <w:r w:rsidRPr="00ED62C4">
        <w:rPr>
          <w:sz w:val="24"/>
          <w:szCs w:val="24"/>
        </w:rPr>
        <w:t>jiná stavba bez čp/</w:t>
      </w:r>
      <w:proofErr w:type="spellStart"/>
      <w:r w:rsidRPr="00ED62C4">
        <w:rPr>
          <w:sz w:val="24"/>
          <w:szCs w:val="24"/>
        </w:rPr>
        <w:t>če</w:t>
      </w:r>
      <w:proofErr w:type="spellEnd"/>
      <w:r w:rsidRPr="00ED62C4">
        <w:rPr>
          <w:sz w:val="24"/>
          <w:szCs w:val="24"/>
        </w:rPr>
        <w:t xml:space="preserve"> na </w:t>
      </w:r>
      <w:proofErr w:type="gramStart"/>
      <w:r w:rsidRPr="00ED62C4">
        <w:rPr>
          <w:sz w:val="24"/>
          <w:szCs w:val="24"/>
        </w:rPr>
        <w:t>st.p.</w:t>
      </w:r>
      <w:proofErr w:type="gramEnd"/>
      <w:r w:rsidRPr="00ED62C4">
        <w:rPr>
          <w:sz w:val="24"/>
          <w:szCs w:val="24"/>
        </w:rPr>
        <w:t xml:space="preserve">č. 6749, </w:t>
      </w:r>
    </w:p>
    <w:p w:rsidR="00ED62C4" w:rsidRPr="00ED62C4" w:rsidRDefault="00ED62C4" w:rsidP="00ED62C4">
      <w:pPr>
        <w:jc w:val="both"/>
        <w:rPr>
          <w:sz w:val="24"/>
          <w:szCs w:val="24"/>
        </w:rPr>
      </w:pPr>
      <w:r w:rsidRPr="00ED62C4">
        <w:rPr>
          <w:sz w:val="24"/>
          <w:szCs w:val="24"/>
        </w:rPr>
        <w:t>jiná stavba bez čp/</w:t>
      </w:r>
      <w:proofErr w:type="spellStart"/>
      <w:r w:rsidRPr="00ED62C4">
        <w:rPr>
          <w:sz w:val="24"/>
          <w:szCs w:val="24"/>
        </w:rPr>
        <w:t>če</w:t>
      </w:r>
      <w:proofErr w:type="spellEnd"/>
      <w:r w:rsidRPr="00ED62C4">
        <w:rPr>
          <w:sz w:val="24"/>
          <w:szCs w:val="24"/>
        </w:rPr>
        <w:t xml:space="preserve"> na </w:t>
      </w:r>
      <w:proofErr w:type="gramStart"/>
      <w:r w:rsidRPr="00ED62C4">
        <w:rPr>
          <w:sz w:val="24"/>
          <w:szCs w:val="24"/>
        </w:rPr>
        <w:t>st.p.</w:t>
      </w:r>
      <w:proofErr w:type="gramEnd"/>
      <w:r w:rsidRPr="00ED62C4">
        <w:rPr>
          <w:sz w:val="24"/>
          <w:szCs w:val="24"/>
        </w:rPr>
        <w:t xml:space="preserve">č. 6755, </w:t>
      </w:r>
    </w:p>
    <w:p w:rsidR="00ED62C4" w:rsidRPr="00ED62C4" w:rsidRDefault="00ED62C4" w:rsidP="00ED62C4">
      <w:pPr>
        <w:jc w:val="both"/>
        <w:rPr>
          <w:sz w:val="24"/>
          <w:szCs w:val="24"/>
        </w:rPr>
      </w:pPr>
      <w:proofErr w:type="gramStart"/>
      <w:r w:rsidRPr="00ED62C4">
        <w:rPr>
          <w:sz w:val="24"/>
          <w:szCs w:val="24"/>
        </w:rPr>
        <w:t>st.p.</w:t>
      </w:r>
      <w:proofErr w:type="gramEnd"/>
      <w:r w:rsidRPr="00ED62C4">
        <w:rPr>
          <w:sz w:val="24"/>
          <w:szCs w:val="24"/>
        </w:rPr>
        <w:t xml:space="preserve">č. 2763/1 o výměře </w:t>
      </w:r>
      <w:smartTag w:uri="urn:schemas-microsoft-com:office:smarttags" w:element="metricconverter">
        <w:smartTagPr>
          <w:attr w:name="ProductID" w:val="4760 m2"/>
        </w:smartTagPr>
        <w:r w:rsidRPr="00ED62C4">
          <w:rPr>
            <w:sz w:val="24"/>
            <w:szCs w:val="24"/>
          </w:rPr>
          <w:t>4760 m</w:t>
        </w:r>
        <w:r w:rsidRPr="00ED62C4">
          <w:rPr>
            <w:sz w:val="24"/>
            <w:szCs w:val="24"/>
            <w:vertAlign w:val="superscript"/>
          </w:rPr>
          <w:t>2</w:t>
        </w:r>
      </w:smartTag>
      <w:r w:rsidRPr="00ED62C4">
        <w:rPr>
          <w:sz w:val="24"/>
          <w:szCs w:val="24"/>
        </w:rPr>
        <w:t>, zastavěná plocha nádvoří,</w:t>
      </w:r>
    </w:p>
    <w:p w:rsidR="00ED62C4" w:rsidRPr="00ED62C4" w:rsidRDefault="00ED62C4" w:rsidP="00ED62C4">
      <w:pPr>
        <w:jc w:val="both"/>
        <w:rPr>
          <w:sz w:val="24"/>
          <w:szCs w:val="24"/>
        </w:rPr>
      </w:pPr>
      <w:proofErr w:type="gramStart"/>
      <w:r w:rsidRPr="00ED62C4">
        <w:rPr>
          <w:sz w:val="24"/>
          <w:szCs w:val="24"/>
        </w:rPr>
        <w:t>st.p.</w:t>
      </w:r>
      <w:proofErr w:type="gramEnd"/>
      <w:r w:rsidRPr="00ED62C4">
        <w:rPr>
          <w:sz w:val="24"/>
          <w:szCs w:val="24"/>
        </w:rPr>
        <w:t xml:space="preserve">č. 2763/2 o výměře </w:t>
      </w:r>
      <w:smartTag w:uri="urn:schemas-microsoft-com:office:smarttags" w:element="metricconverter">
        <w:smartTagPr>
          <w:attr w:name="ProductID" w:val="45 m2"/>
        </w:smartTagPr>
        <w:r w:rsidRPr="00ED62C4">
          <w:rPr>
            <w:sz w:val="24"/>
            <w:szCs w:val="24"/>
          </w:rPr>
          <w:t>45 m</w:t>
        </w:r>
        <w:r w:rsidRPr="00ED62C4">
          <w:rPr>
            <w:sz w:val="24"/>
            <w:szCs w:val="24"/>
            <w:vertAlign w:val="superscript"/>
          </w:rPr>
          <w:t>2</w:t>
        </w:r>
      </w:smartTag>
      <w:r w:rsidRPr="00ED62C4">
        <w:rPr>
          <w:sz w:val="24"/>
          <w:szCs w:val="24"/>
        </w:rPr>
        <w:t>, zastavěná plocha nádvoří,</w:t>
      </w:r>
    </w:p>
    <w:p w:rsidR="00ED62C4" w:rsidRPr="00ED62C4" w:rsidRDefault="00ED62C4" w:rsidP="00ED62C4">
      <w:pPr>
        <w:jc w:val="both"/>
        <w:rPr>
          <w:sz w:val="24"/>
          <w:szCs w:val="24"/>
        </w:rPr>
      </w:pPr>
      <w:proofErr w:type="gramStart"/>
      <w:r w:rsidRPr="00ED62C4">
        <w:rPr>
          <w:sz w:val="24"/>
          <w:szCs w:val="24"/>
        </w:rPr>
        <w:t>st.p.</w:t>
      </w:r>
      <w:proofErr w:type="gramEnd"/>
      <w:r w:rsidRPr="00ED62C4">
        <w:rPr>
          <w:sz w:val="24"/>
          <w:szCs w:val="24"/>
        </w:rPr>
        <w:t xml:space="preserve">č. 6749 o výměře </w:t>
      </w:r>
      <w:smartTag w:uri="urn:schemas-microsoft-com:office:smarttags" w:element="metricconverter">
        <w:smartTagPr>
          <w:attr w:name="ProductID" w:val="41 m2"/>
        </w:smartTagPr>
        <w:r w:rsidRPr="00ED62C4">
          <w:rPr>
            <w:sz w:val="24"/>
            <w:szCs w:val="24"/>
          </w:rPr>
          <w:t>41 m</w:t>
        </w:r>
        <w:r w:rsidRPr="00ED62C4">
          <w:rPr>
            <w:sz w:val="24"/>
            <w:szCs w:val="24"/>
            <w:vertAlign w:val="superscript"/>
          </w:rPr>
          <w:t>2</w:t>
        </w:r>
      </w:smartTag>
      <w:r w:rsidRPr="00ED62C4">
        <w:rPr>
          <w:sz w:val="24"/>
          <w:szCs w:val="24"/>
        </w:rPr>
        <w:t>, zastavěná plocha nádvoří,</w:t>
      </w:r>
    </w:p>
    <w:p w:rsidR="00ED62C4" w:rsidRPr="00ED62C4" w:rsidRDefault="00ED62C4" w:rsidP="00ED62C4">
      <w:pPr>
        <w:jc w:val="both"/>
        <w:rPr>
          <w:sz w:val="24"/>
          <w:szCs w:val="24"/>
        </w:rPr>
      </w:pPr>
      <w:proofErr w:type="gramStart"/>
      <w:r w:rsidRPr="00ED62C4">
        <w:rPr>
          <w:sz w:val="24"/>
          <w:szCs w:val="24"/>
        </w:rPr>
        <w:t>st.p.</w:t>
      </w:r>
      <w:proofErr w:type="gramEnd"/>
      <w:r w:rsidRPr="00ED62C4">
        <w:rPr>
          <w:sz w:val="24"/>
          <w:szCs w:val="24"/>
        </w:rPr>
        <w:t xml:space="preserve">č. 6755 o výměře </w:t>
      </w:r>
      <w:smartTag w:uri="urn:schemas-microsoft-com:office:smarttags" w:element="metricconverter">
        <w:smartTagPr>
          <w:attr w:name="ProductID" w:val="110 m2"/>
        </w:smartTagPr>
        <w:r w:rsidRPr="00ED62C4">
          <w:rPr>
            <w:sz w:val="24"/>
            <w:szCs w:val="24"/>
          </w:rPr>
          <w:t>110 m</w:t>
        </w:r>
        <w:r w:rsidRPr="00ED62C4">
          <w:rPr>
            <w:sz w:val="24"/>
            <w:szCs w:val="24"/>
            <w:vertAlign w:val="superscript"/>
          </w:rPr>
          <w:t>2</w:t>
        </w:r>
      </w:smartTag>
      <w:r w:rsidRPr="00ED62C4">
        <w:rPr>
          <w:sz w:val="24"/>
          <w:szCs w:val="24"/>
        </w:rPr>
        <w:t>, zastavěná plocha nádvoří,</w:t>
      </w:r>
    </w:p>
    <w:p w:rsidR="00ED62C4" w:rsidRPr="00ED62C4" w:rsidRDefault="00ED62C4" w:rsidP="00ED62C4">
      <w:pPr>
        <w:jc w:val="both"/>
        <w:rPr>
          <w:sz w:val="24"/>
          <w:szCs w:val="24"/>
        </w:rPr>
      </w:pPr>
      <w:proofErr w:type="gramStart"/>
      <w:r w:rsidRPr="00ED62C4">
        <w:rPr>
          <w:sz w:val="24"/>
          <w:szCs w:val="24"/>
        </w:rPr>
        <w:t>p.p.</w:t>
      </w:r>
      <w:proofErr w:type="gramEnd"/>
      <w:r w:rsidRPr="00ED62C4">
        <w:rPr>
          <w:sz w:val="24"/>
          <w:szCs w:val="24"/>
        </w:rPr>
        <w:t xml:space="preserve">č. 2561/8 o výměře </w:t>
      </w:r>
      <w:smartTag w:uri="urn:schemas-microsoft-com:office:smarttags" w:element="metricconverter">
        <w:smartTagPr>
          <w:attr w:name="ProductID" w:val="8142 m2"/>
        </w:smartTagPr>
        <w:r w:rsidRPr="00ED62C4">
          <w:rPr>
            <w:sz w:val="24"/>
            <w:szCs w:val="24"/>
          </w:rPr>
          <w:t>8142 m</w:t>
        </w:r>
        <w:r w:rsidRPr="00ED62C4">
          <w:rPr>
            <w:sz w:val="24"/>
            <w:szCs w:val="24"/>
            <w:vertAlign w:val="superscript"/>
          </w:rPr>
          <w:t>2</w:t>
        </w:r>
      </w:smartTag>
      <w:r w:rsidRPr="00ED62C4">
        <w:rPr>
          <w:sz w:val="24"/>
          <w:szCs w:val="24"/>
        </w:rPr>
        <w:t xml:space="preserve">, manipulační plocha, </w:t>
      </w:r>
    </w:p>
    <w:p w:rsidR="00ED62C4" w:rsidRPr="00ED62C4" w:rsidRDefault="00ED62C4" w:rsidP="00ED62C4">
      <w:pPr>
        <w:jc w:val="both"/>
        <w:rPr>
          <w:sz w:val="24"/>
          <w:szCs w:val="24"/>
        </w:rPr>
      </w:pPr>
      <w:proofErr w:type="gramStart"/>
      <w:r w:rsidRPr="00ED62C4">
        <w:rPr>
          <w:sz w:val="24"/>
          <w:szCs w:val="24"/>
        </w:rPr>
        <w:t>p.p.</w:t>
      </w:r>
      <w:proofErr w:type="gramEnd"/>
      <w:r w:rsidRPr="00ED62C4">
        <w:rPr>
          <w:sz w:val="24"/>
          <w:szCs w:val="24"/>
        </w:rPr>
        <w:t xml:space="preserve">č. 2561/9 o výměře </w:t>
      </w:r>
      <w:smartTag w:uri="urn:schemas-microsoft-com:office:smarttags" w:element="metricconverter">
        <w:smartTagPr>
          <w:attr w:name="ProductID" w:val="3757 m2"/>
        </w:smartTagPr>
        <w:r w:rsidRPr="00ED62C4">
          <w:rPr>
            <w:sz w:val="24"/>
            <w:szCs w:val="24"/>
          </w:rPr>
          <w:t>3757 m</w:t>
        </w:r>
        <w:r w:rsidRPr="00ED62C4">
          <w:rPr>
            <w:sz w:val="24"/>
            <w:szCs w:val="24"/>
            <w:vertAlign w:val="superscript"/>
          </w:rPr>
          <w:t>2</w:t>
        </w:r>
      </w:smartTag>
      <w:r w:rsidRPr="00ED62C4">
        <w:rPr>
          <w:sz w:val="24"/>
          <w:szCs w:val="24"/>
        </w:rPr>
        <w:t xml:space="preserve">, zeleň, </w:t>
      </w:r>
    </w:p>
    <w:p w:rsidR="00ED62C4" w:rsidRPr="00ED62C4" w:rsidRDefault="00ED62C4" w:rsidP="00ED62C4">
      <w:pPr>
        <w:jc w:val="both"/>
        <w:rPr>
          <w:sz w:val="24"/>
          <w:szCs w:val="24"/>
        </w:rPr>
      </w:pPr>
      <w:proofErr w:type="gramStart"/>
      <w:r w:rsidRPr="00ED62C4">
        <w:rPr>
          <w:sz w:val="24"/>
          <w:szCs w:val="24"/>
        </w:rPr>
        <w:t>p.p.</w:t>
      </w:r>
      <w:proofErr w:type="gramEnd"/>
      <w:r w:rsidRPr="00ED62C4">
        <w:rPr>
          <w:sz w:val="24"/>
          <w:szCs w:val="24"/>
        </w:rPr>
        <w:t xml:space="preserve">č. 2561/26 o výměře </w:t>
      </w:r>
      <w:smartTag w:uri="urn:schemas-microsoft-com:office:smarttags" w:element="metricconverter">
        <w:smartTagPr>
          <w:attr w:name="ProductID" w:val="10 m2"/>
        </w:smartTagPr>
        <w:r w:rsidRPr="00ED62C4">
          <w:rPr>
            <w:sz w:val="24"/>
            <w:szCs w:val="24"/>
          </w:rPr>
          <w:t>10 m</w:t>
        </w:r>
        <w:r w:rsidRPr="00ED62C4">
          <w:rPr>
            <w:sz w:val="24"/>
            <w:szCs w:val="24"/>
            <w:vertAlign w:val="superscript"/>
          </w:rPr>
          <w:t>2</w:t>
        </w:r>
      </w:smartTag>
      <w:r w:rsidRPr="00ED62C4">
        <w:rPr>
          <w:sz w:val="24"/>
          <w:szCs w:val="24"/>
        </w:rPr>
        <w:t>, zeleň,</w:t>
      </w:r>
    </w:p>
    <w:p w:rsidR="00ED62C4" w:rsidRPr="00ED62C4" w:rsidRDefault="00ED62C4" w:rsidP="00ED62C4">
      <w:pPr>
        <w:spacing w:before="120"/>
        <w:jc w:val="both"/>
        <w:rPr>
          <w:sz w:val="24"/>
          <w:szCs w:val="24"/>
        </w:rPr>
      </w:pPr>
      <w:r w:rsidRPr="00ED62C4">
        <w:rPr>
          <w:sz w:val="24"/>
          <w:szCs w:val="24"/>
        </w:rPr>
        <w:t>nacházející se v katastrálním území Jablonec nad Nisou, obec Jablonec nad Nisou, a evidovaný na listu vlastnictví č. 12608 u Katastrálního úřadu pro Liberecký kraj, Katastrální pracoviště Jablonec nad Nisou.</w:t>
      </w:r>
    </w:p>
    <w:p w:rsidR="00ED62C4" w:rsidRPr="00ED62C4" w:rsidRDefault="00ED62C4" w:rsidP="00ED62C4">
      <w:pPr>
        <w:spacing w:before="120"/>
        <w:jc w:val="both"/>
        <w:rPr>
          <w:sz w:val="24"/>
          <w:szCs w:val="24"/>
        </w:rPr>
      </w:pPr>
      <w:r w:rsidRPr="00ED62C4">
        <w:rPr>
          <w:sz w:val="24"/>
          <w:szCs w:val="24"/>
        </w:rPr>
        <w:t>V Kupní smlouvě bylo ujednáno, že kupující zaplatí kupní cenu takto:</w:t>
      </w:r>
    </w:p>
    <w:p w:rsidR="00ED62C4" w:rsidRPr="00ED62C4" w:rsidRDefault="00ED62C4" w:rsidP="00ED62C4">
      <w:pPr>
        <w:spacing w:before="120"/>
        <w:contextualSpacing/>
        <w:jc w:val="both"/>
        <w:rPr>
          <w:sz w:val="24"/>
          <w:szCs w:val="24"/>
        </w:rPr>
      </w:pPr>
      <w:r w:rsidRPr="00ED62C4">
        <w:rPr>
          <w:sz w:val="24"/>
          <w:szCs w:val="24"/>
        </w:rPr>
        <w:t xml:space="preserve">- první část kupní ceny ve výši 1.000.000 Kč (slovy: jeden milión korun českých) hradil kupující na základě dohody o složení jistiny na kupní cenu </w:t>
      </w:r>
      <w:proofErr w:type="gramStart"/>
      <w:r w:rsidRPr="00ED62C4">
        <w:rPr>
          <w:sz w:val="24"/>
          <w:szCs w:val="24"/>
        </w:rPr>
        <w:t>č.j.</w:t>
      </w:r>
      <w:proofErr w:type="gramEnd"/>
      <w:r w:rsidRPr="00ED62C4">
        <w:rPr>
          <w:sz w:val="24"/>
          <w:szCs w:val="24"/>
        </w:rPr>
        <w:t xml:space="preserve"> OLP/654/2013 ze dne 25.3.2013, dne 31.5.2013,</w:t>
      </w:r>
    </w:p>
    <w:p w:rsidR="00ED62C4" w:rsidRPr="00ED62C4" w:rsidRDefault="00ED62C4" w:rsidP="00ED62C4">
      <w:pPr>
        <w:spacing w:before="120"/>
        <w:contextualSpacing/>
        <w:jc w:val="both"/>
        <w:rPr>
          <w:sz w:val="24"/>
          <w:szCs w:val="24"/>
        </w:rPr>
      </w:pPr>
      <w:r w:rsidRPr="00ED62C4">
        <w:rPr>
          <w:sz w:val="24"/>
          <w:szCs w:val="24"/>
        </w:rPr>
        <w:t xml:space="preserve">- druhá část kupní ceny ve výši 17.000.000 Kč (slovy: sedmnáct miliónů korun českých) bude kupujícím uhrazena do šesti měsíců ode dne, kdy kupujícímu bude doručena oboustranně podepsaná kupní smlouva, tedy do 22. 5. 2014.  </w:t>
      </w:r>
    </w:p>
    <w:p w:rsidR="00ED62C4" w:rsidRPr="00ED62C4" w:rsidRDefault="00ED62C4" w:rsidP="00ED62C4">
      <w:pPr>
        <w:spacing w:before="120"/>
        <w:jc w:val="both"/>
        <w:rPr>
          <w:sz w:val="24"/>
          <w:szCs w:val="24"/>
        </w:rPr>
      </w:pPr>
      <w:r w:rsidRPr="00ED62C4">
        <w:rPr>
          <w:sz w:val="24"/>
          <w:szCs w:val="24"/>
        </w:rPr>
        <w:t xml:space="preserve">Prodej shora citovaných nemovitých věcí schválilo Zastupitelstvo Libereckého kraje dne </w:t>
      </w:r>
      <w:proofErr w:type="gramStart"/>
      <w:r w:rsidRPr="00ED62C4">
        <w:rPr>
          <w:sz w:val="24"/>
          <w:szCs w:val="24"/>
        </w:rPr>
        <w:t>25.6.2013</w:t>
      </w:r>
      <w:proofErr w:type="gramEnd"/>
      <w:r w:rsidRPr="00ED62C4">
        <w:rPr>
          <w:sz w:val="24"/>
          <w:szCs w:val="24"/>
        </w:rPr>
        <w:t xml:space="preserve"> usnesením číslo 269/13/ZK.</w:t>
      </w:r>
    </w:p>
    <w:p w:rsidR="00ED62C4" w:rsidRPr="00ED62C4" w:rsidRDefault="00ED62C4" w:rsidP="00ED62C4">
      <w:pPr>
        <w:jc w:val="both"/>
        <w:rPr>
          <w:sz w:val="24"/>
          <w:szCs w:val="24"/>
        </w:rPr>
      </w:pPr>
    </w:p>
    <w:p w:rsidR="00ED62C4" w:rsidRPr="00ED62C4" w:rsidRDefault="00ED62C4" w:rsidP="00ED62C4">
      <w:pPr>
        <w:jc w:val="both"/>
        <w:rPr>
          <w:rFonts w:eastAsiaTheme="minorHAnsi"/>
          <w:sz w:val="24"/>
          <w:szCs w:val="24"/>
          <w:lang w:eastAsia="en-US"/>
        </w:rPr>
      </w:pPr>
      <w:r w:rsidRPr="00ED62C4">
        <w:rPr>
          <w:rFonts w:eastAsiaTheme="minorHAnsi"/>
          <w:sz w:val="24"/>
          <w:szCs w:val="24"/>
          <w:lang w:eastAsia="en-US"/>
        </w:rPr>
        <w:t>V Kupní smlouvě je konstatováno, že pro případ, že kupující ve lhůtě určené Kupní smlouvou, tedy do 22. 5. 2014, neuhradí druhou část kupní ceny, vzniká Libereckému kraji dnem následujícím po dni marného uplynutí lhůty nárok na smluvní pokutu ve výši  1.000.000 Kč (</w:t>
      </w:r>
      <w:proofErr w:type="gramStart"/>
      <w:r w:rsidRPr="00ED62C4">
        <w:rPr>
          <w:rFonts w:eastAsiaTheme="minorHAnsi"/>
          <w:sz w:val="24"/>
          <w:szCs w:val="24"/>
          <w:lang w:eastAsia="en-US"/>
        </w:rPr>
        <w:t>slovy : jeden</w:t>
      </w:r>
      <w:proofErr w:type="gramEnd"/>
      <w:r w:rsidRPr="00ED62C4">
        <w:rPr>
          <w:rFonts w:eastAsiaTheme="minorHAnsi"/>
          <w:sz w:val="24"/>
          <w:szCs w:val="24"/>
          <w:lang w:eastAsia="en-US"/>
        </w:rPr>
        <w:t xml:space="preserve"> milión korun českých), kdy kupující výslovně souhlasil s tím, aby okamžikem vzniku nároku na smluvní pokutu došlo k započtení tohoto nároku vůči zaplacené první části kupní ceny. Problematika započtení smluvní pokuty podle § 580 a násl. občanského zákoníku č. 40/1964 Sb., ve znění do 31. 12. 2013, byla řešena samostatným dokumentem (sdělením). V současné době bylo kupujícímu zasláno sdělení, že v souladu s Kupní smlouvou došlo k jednostrannému zápočtu části kupní ceny.</w:t>
      </w:r>
    </w:p>
    <w:p w:rsidR="00ED62C4" w:rsidRPr="00ED62C4" w:rsidRDefault="00ED62C4" w:rsidP="00ED62C4">
      <w:pPr>
        <w:jc w:val="both"/>
        <w:rPr>
          <w:sz w:val="24"/>
          <w:szCs w:val="24"/>
        </w:rPr>
      </w:pPr>
      <w:r w:rsidRPr="00ED62C4">
        <w:rPr>
          <w:color w:val="000000"/>
          <w:sz w:val="24"/>
          <w:szCs w:val="24"/>
        </w:rPr>
        <w:t>Libereckým kraj odstupuje od Kupní smlouvy</w:t>
      </w:r>
      <w:r w:rsidRPr="00ED62C4">
        <w:rPr>
          <w:sz w:val="24"/>
          <w:szCs w:val="24"/>
        </w:rPr>
        <w:t xml:space="preserve"> </w:t>
      </w:r>
      <w:proofErr w:type="gramStart"/>
      <w:r w:rsidRPr="00ED62C4">
        <w:rPr>
          <w:sz w:val="24"/>
          <w:szCs w:val="24"/>
        </w:rPr>
        <w:t>č.j.</w:t>
      </w:r>
      <w:proofErr w:type="gramEnd"/>
      <w:r w:rsidRPr="00ED62C4">
        <w:rPr>
          <w:sz w:val="24"/>
          <w:szCs w:val="24"/>
        </w:rPr>
        <w:t xml:space="preserve"> OLP/1223/2013</w:t>
      </w:r>
      <w:r w:rsidRPr="00ED62C4">
        <w:rPr>
          <w:color w:val="000000"/>
          <w:sz w:val="24"/>
          <w:szCs w:val="24"/>
        </w:rPr>
        <w:t xml:space="preserve">, z důvodu neuhrazení kupní ceny v plné výši ve lhůtě určené Kupní smlouvou, resp. ve stanovené lhůtě kupující nedoplatil druhou část kupní ceny ve výši 17.000.000 Kč (slovy: sedmnáct miliónů korun českých). </w:t>
      </w:r>
      <w:r w:rsidRPr="00ED62C4">
        <w:rPr>
          <w:sz w:val="24"/>
          <w:szCs w:val="24"/>
        </w:rPr>
        <w:t>Odstoupením od Kupní smlouvy se smlouva od počátku ruší.</w:t>
      </w:r>
    </w:p>
    <w:p w:rsidR="00ED62C4" w:rsidRPr="00ED62C4" w:rsidRDefault="00ED62C4" w:rsidP="00ED62C4">
      <w:pPr>
        <w:jc w:val="both"/>
        <w:rPr>
          <w:color w:val="000000"/>
          <w:sz w:val="24"/>
          <w:szCs w:val="24"/>
        </w:rPr>
      </w:pPr>
      <w:r w:rsidRPr="00ED62C4">
        <w:rPr>
          <w:sz w:val="24"/>
          <w:szCs w:val="24"/>
        </w:rPr>
        <w:t>Odstoupení od Kupní smlouvy</w:t>
      </w:r>
      <w:r w:rsidRPr="00ED62C4">
        <w:rPr>
          <w:bCs/>
          <w:sz w:val="24"/>
          <w:szCs w:val="24"/>
        </w:rPr>
        <w:t xml:space="preserve"> </w:t>
      </w:r>
      <w:proofErr w:type="gramStart"/>
      <w:r w:rsidRPr="00ED62C4">
        <w:rPr>
          <w:bCs/>
          <w:sz w:val="24"/>
          <w:szCs w:val="24"/>
        </w:rPr>
        <w:t>č.j.</w:t>
      </w:r>
      <w:proofErr w:type="gramEnd"/>
      <w:r w:rsidRPr="00ED62C4">
        <w:rPr>
          <w:bCs/>
          <w:sz w:val="24"/>
          <w:szCs w:val="24"/>
        </w:rPr>
        <w:t xml:space="preserve"> OLP/1223/2013 schválila Rada Libereckého kraje dne 12.8.2014 usnesením č</w:t>
      </w:r>
      <w:r w:rsidR="000F1687" w:rsidRPr="000F1687">
        <w:rPr>
          <w:bCs/>
          <w:sz w:val="24"/>
          <w:szCs w:val="24"/>
        </w:rPr>
        <w:t xml:space="preserve">. </w:t>
      </w:r>
      <w:r w:rsidRPr="000F1687">
        <w:rPr>
          <w:bCs/>
          <w:sz w:val="24"/>
          <w:szCs w:val="24"/>
        </w:rPr>
        <w:t>1281</w:t>
      </w:r>
      <w:r w:rsidR="000F1687" w:rsidRPr="000F1687">
        <w:rPr>
          <w:bCs/>
          <w:sz w:val="24"/>
          <w:szCs w:val="24"/>
        </w:rPr>
        <w:t>/14/RK</w:t>
      </w:r>
      <w:r w:rsidR="000F1687">
        <w:rPr>
          <w:bCs/>
          <w:sz w:val="24"/>
          <w:szCs w:val="24"/>
        </w:rPr>
        <w:t>.</w:t>
      </w:r>
      <w:bookmarkStart w:id="0" w:name="_GoBack"/>
      <w:bookmarkEnd w:id="0"/>
    </w:p>
    <w:p w:rsidR="005702AD" w:rsidRDefault="005702AD"/>
    <w:sectPr w:rsidR="00570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0"/>
    <w:rsid w:val="000F1687"/>
    <w:rsid w:val="005702AD"/>
    <w:rsid w:val="00CB7DD0"/>
    <w:rsid w:val="00E459B7"/>
    <w:rsid w:val="00ED62C4"/>
    <w:rsid w:val="00F57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7DD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CB7DD0"/>
    <w:pPr>
      <w:widowControl w:val="0"/>
      <w:spacing w:before="120"/>
      <w:jc w:val="center"/>
    </w:pPr>
    <w:rPr>
      <w:rFonts w:ascii="Arial" w:hAnsi="Arial"/>
      <w:b/>
      <w:sz w:val="36"/>
    </w:rPr>
  </w:style>
  <w:style w:type="character" w:customStyle="1" w:styleId="NzevChar">
    <w:name w:val="Název Char"/>
    <w:basedOn w:val="Standardnpsmoodstavce"/>
    <w:uiPriority w:val="10"/>
    <w:rsid w:val="00CB7DD0"/>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1">
    <w:name w:val="Název Char1"/>
    <w:link w:val="Nzev"/>
    <w:locked/>
    <w:rsid w:val="00CB7DD0"/>
    <w:rPr>
      <w:rFonts w:ascii="Arial" w:eastAsia="Times New Roman" w:hAnsi="Arial" w:cs="Times New Roman"/>
      <w:b/>
      <w:sz w:val="36"/>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7DD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CB7DD0"/>
    <w:pPr>
      <w:widowControl w:val="0"/>
      <w:spacing w:before="120"/>
      <w:jc w:val="center"/>
    </w:pPr>
    <w:rPr>
      <w:rFonts w:ascii="Arial" w:hAnsi="Arial"/>
      <w:b/>
      <w:sz w:val="36"/>
    </w:rPr>
  </w:style>
  <w:style w:type="character" w:customStyle="1" w:styleId="NzevChar">
    <w:name w:val="Název Char"/>
    <w:basedOn w:val="Standardnpsmoodstavce"/>
    <w:uiPriority w:val="10"/>
    <w:rsid w:val="00CB7DD0"/>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1">
    <w:name w:val="Název Char1"/>
    <w:link w:val="Nzev"/>
    <w:locked/>
    <w:rsid w:val="00CB7DD0"/>
    <w:rPr>
      <w:rFonts w:ascii="Arial" w:eastAsia="Times New Roman" w:hAnsi="Arial" w:cs="Times New Roman"/>
      <w:b/>
      <w:sz w:val="36"/>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2995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Krcmarova Veronika</dc:creator>
  <cp:lastModifiedBy>Krcmarova Veronika</cp:lastModifiedBy>
  <cp:revision>2</cp:revision>
  <cp:lastPrinted>2014-08-13T12:10:00Z</cp:lastPrinted>
  <dcterms:created xsi:type="dcterms:W3CDTF">2014-08-13T12:10:00Z</dcterms:created>
  <dcterms:modified xsi:type="dcterms:W3CDTF">2014-08-13T12:10:00Z</dcterms:modified>
</cp:coreProperties>
</file>