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B23C83" w:rsidP="00E115B2">
      <w:r w:rsidRPr="00A55455">
        <w:t>Příloha č. 2</w:t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bezúročné </w:t>
      </w:r>
      <w:r w:rsidR="002304F9">
        <w:rPr>
          <w:b/>
          <w:bCs/>
        </w:rPr>
        <w:t>peněžité</w:t>
      </w:r>
      <w:r w:rsidR="002304F9" w:rsidRPr="00461932">
        <w:rPr>
          <w:b/>
          <w:bCs/>
        </w:rPr>
        <w:t xml:space="preserve"> </w:t>
      </w:r>
      <w:r w:rsidR="002304F9">
        <w:rPr>
          <w:b/>
          <w:bCs/>
        </w:rPr>
        <w:t>zápůjč</w:t>
      </w:r>
      <w:r w:rsidR="002304F9" w:rsidRPr="00461932">
        <w:rPr>
          <w:b/>
          <w:bCs/>
        </w:rPr>
        <w:t>ky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DE2F0A">
        <w:rPr>
          <w:b/>
          <w:bCs/>
        </w:rPr>
        <w:t>1559</w:t>
      </w:r>
      <w:r w:rsidRPr="00C96E63">
        <w:rPr>
          <w:b/>
          <w:bCs/>
        </w:rPr>
        <w:t>/201</w:t>
      </w:r>
      <w:r w:rsidR="00830E82" w:rsidRPr="00C96E63">
        <w:rPr>
          <w:b/>
          <w:bCs/>
        </w:rPr>
        <w:t>4</w:t>
      </w:r>
    </w:p>
    <w:p w:rsidR="00461932" w:rsidRDefault="00461932" w:rsidP="00461932">
      <w:pPr>
        <w:jc w:val="left"/>
      </w:pPr>
    </w:p>
    <w:p w:rsidR="00563E92" w:rsidRPr="008C2C00" w:rsidRDefault="00563E92" w:rsidP="002753F1">
      <w:pPr>
        <w:jc w:val="center"/>
      </w:pPr>
    </w:p>
    <w:p w:rsidR="00E115B2" w:rsidRDefault="00E115B2" w:rsidP="00E115B2">
      <w:r w:rsidRPr="00B06D7D">
        <w:t xml:space="preserve">Smlouva se uzavírá </w:t>
      </w:r>
      <w:proofErr w:type="gramStart"/>
      <w:r w:rsidRPr="00B06D7D">
        <w:t>mezi</w:t>
      </w:r>
      <w:proofErr w:type="gramEnd"/>
      <w:r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Pr="00B06D7D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19-7964200287/0100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72022" w:rsidP="00E115B2">
      <w:pPr>
        <w:rPr>
          <w:b/>
        </w:rPr>
      </w:pPr>
      <w:r w:rsidRPr="00B72022">
        <w:rPr>
          <w:b/>
        </w:rPr>
        <w:t>Nemocnice s poliklinikou Česká Lípa, a.s.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B72022" w:rsidRPr="00B72022">
        <w:t>Purkyňova 1849, 470 77 Česká Lípa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>MUDr. Radkem Havlasem, předsedou představenstva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B72022" w:rsidRPr="00B72022">
        <w:t>27283518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CZ27283518</w:t>
      </w:r>
    </w:p>
    <w:p w:rsidR="00694EE2" w:rsidRPr="00694EE2" w:rsidRDefault="00694EE2" w:rsidP="00694EE2">
      <w:r w:rsidRPr="00694EE2">
        <w:t>bankovní spojení:</w:t>
      </w:r>
      <w:r w:rsidRPr="00694EE2">
        <w:tab/>
      </w:r>
      <w:r w:rsidR="00B72022" w:rsidRPr="00B72022">
        <w:t>GE Money Bank, a. s.</w:t>
      </w:r>
    </w:p>
    <w:p w:rsidR="00694EE2" w:rsidRPr="00AA0389" w:rsidRDefault="00694EE2" w:rsidP="00694EE2">
      <w:pPr>
        <w:rPr>
          <w:i/>
          <w:sz w:val="36"/>
          <w:szCs w:val="36"/>
        </w:rPr>
      </w:pPr>
      <w:r w:rsidRPr="00793688">
        <w:rPr>
          <w:color w:val="000000"/>
        </w:rPr>
        <w:t>číslo účtu</w:t>
      </w:r>
      <w:r w:rsidRPr="00694EE2">
        <w:t>:</w:t>
      </w:r>
      <w:r w:rsidRPr="00694EE2">
        <w:tab/>
      </w:r>
      <w:r w:rsidRPr="00694EE2">
        <w:tab/>
      </w:r>
      <w:r w:rsidR="00B72022" w:rsidRPr="00B72022">
        <w:t>183452738/0600</w:t>
      </w:r>
    </w:p>
    <w:p w:rsidR="00E115B2" w:rsidRPr="00B06D7D" w:rsidRDefault="00694EE2" w:rsidP="00694EE2">
      <w:r w:rsidRPr="00B06D7D">
        <w:t xml:space="preserve"> </w:t>
      </w:r>
      <w:r w:rsidR="00E115B2"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3345E9" w:rsidRDefault="00E115B2" w:rsidP="00B82BEB">
      <w:pPr>
        <w:spacing w:before="120" w:after="120"/>
      </w:pPr>
      <w:r w:rsidRPr="00B06D7D">
        <w:t xml:space="preserve">Předmětem této smlouvy je poskytnutí bezúročné </w:t>
      </w:r>
      <w:r w:rsidR="002304F9">
        <w:t>peněžit</w:t>
      </w:r>
      <w:r w:rsidRPr="00B06D7D">
        <w:t xml:space="preserve">é </w:t>
      </w:r>
      <w:r w:rsidR="002304F9">
        <w:t>zápůjč</w:t>
      </w:r>
      <w:r w:rsidR="002304F9" w:rsidRPr="00B06D7D">
        <w:t>ky</w:t>
      </w:r>
      <w:r w:rsidRPr="00B06D7D">
        <w:t xml:space="preserve"> </w:t>
      </w:r>
      <w:r>
        <w:t xml:space="preserve">ve výši </w:t>
      </w:r>
      <w:r w:rsidR="00B72022">
        <w:rPr>
          <w:color w:val="000000"/>
        </w:rPr>
        <w:t>1</w:t>
      </w:r>
      <w:r w:rsidR="00950462">
        <w:rPr>
          <w:color w:val="000000"/>
        </w:rPr>
        <w:t>5</w:t>
      </w:r>
      <w:r w:rsidR="00B72022">
        <w:rPr>
          <w:color w:val="000000"/>
        </w:rPr>
        <w:t>.0</w:t>
      </w:r>
      <w:r w:rsidR="00097397" w:rsidRPr="00097397">
        <w:rPr>
          <w:color w:val="000000"/>
        </w:rPr>
        <w:t>00.000,00</w:t>
      </w:r>
      <w:r w:rsidR="00097397">
        <w:rPr>
          <w:color w:val="000000"/>
        </w:rPr>
        <w:t xml:space="preserve"> </w:t>
      </w:r>
      <w:r w:rsidRPr="00097397">
        <w:rPr>
          <w:color w:val="000000"/>
        </w:rPr>
        <w:t>Kč</w:t>
      </w:r>
      <w:r>
        <w:t xml:space="preserve"> </w:t>
      </w:r>
      <w:r w:rsidRPr="00B06D7D">
        <w:t xml:space="preserve">z rozpočtu Libereckého kraje na </w:t>
      </w:r>
      <w:r w:rsidRPr="002A11D7">
        <w:rPr>
          <w:bCs/>
        </w:rPr>
        <w:t xml:space="preserve">předfinancování </w:t>
      </w:r>
      <w:r w:rsidR="002753F1">
        <w:rPr>
          <w:bCs/>
        </w:rPr>
        <w:t xml:space="preserve">projektu </w:t>
      </w:r>
      <w:r w:rsidR="00B72022" w:rsidRPr="00B72022">
        <w:rPr>
          <w:b/>
        </w:rPr>
        <w:t>„</w:t>
      </w:r>
      <w:r w:rsidR="00950462" w:rsidRPr="00950462">
        <w:rPr>
          <w:b/>
        </w:rPr>
        <w:t>Zateplení vybraných objektů Nemocnice s poliklinikou Česká Lípa, a.s.</w:t>
      </w:r>
      <w:r w:rsidR="00B72022" w:rsidRPr="00B72022">
        <w:rPr>
          <w:b/>
        </w:rPr>
        <w:t>“</w:t>
      </w:r>
      <w:r w:rsidR="002753F1">
        <w:rPr>
          <w:bCs/>
        </w:rPr>
        <w:t xml:space="preserve"> podpořeného z</w:t>
      </w:r>
      <w:r w:rsidR="00346E66">
        <w:rPr>
          <w:bCs/>
        </w:rPr>
        <w:t> operačního programu životního prostředí</w:t>
      </w:r>
      <w:r w:rsidR="004438A7">
        <w:rPr>
          <w:bCs/>
        </w:rPr>
        <w:t xml:space="preserve"> </w:t>
      </w:r>
      <w:r w:rsidR="00B82BEB">
        <w:rPr>
          <w:color w:val="000000"/>
        </w:rPr>
        <w:t>(registrační číslo</w:t>
      </w:r>
      <w:r w:rsidR="00B82BEB" w:rsidRPr="00B82BEB">
        <w:t xml:space="preserve"> </w:t>
      </w:r>
      <w:r w:rsidR="00B82BEB" w:rsidRPr="00B82BEB">
        <w:rPr>
          <w:color w:val="000000"/>
        </w:rPr>
        <w:t>CZ.1.</w:t>
      </w:r>
      <w:r w:rsidR="00220CA7">
        <w:rPr>
          <w:color w:val="000000"/>
        </w:rPr>
        <w:t>02</w:t>
      </w:r>
      <w:r w:rsidR="00B82BEB" w:rsidRPr="00B82BEB">
        <w:rPr>
          <w:color w:val="000000"/>
        </w:rPr>
        <w:t>/</w:t>
      </w:r>
      <w:r w:rsidR="00220CA7">
        <w:rPr>
          <w:color w:val="000000"/>
        </w:rPr>
        <w:t>3</w:t>
      </w:r>
      <w:r w:rsidR="00B82BEB" w:rsidRPr="00B82BEB">
        <w:rPr>
          <w:color w:val="000000"/>
        </w:rPr>
        <w:t>.2.00/</w:t>
      </w:r>
      <w:r w:rsidR="00220CA7">
        <w:rPr>
          <w:color w:val="000000"/>
        </w:rPr>
        <w:t>10</w:t>
      </w:r>
      <w:r w:rsidR="00B82BEB" w:rsidRPr="00B82BEB">
        <w:rPr>
          <w:color w:val="000000"/>
        </w:rPr>
        <w:t>.0</w:t>
      </w:r>
      <w:r w:rsidR="00220CA7">
        <w:rPr>
          <w:color w:val="000000"/>
        </w:rPr>
        <w:t>8248</w:t>
      </w:r>
      <w:r w:rsidR="00B82BEB">
        <w:rPr>
          <w:color w:val="000000"/>
        </w:rPr>
        <w:t>)</w:t>
      </w:r>
      <w:r w:rsidR="008C2C00" w:rsidRPr="009F1C8F">
        <w:t xml:space="preserve">, který </w:t>
      </w:r>
      <w:r w:rsidR="00B82BEB">
        <w:t>je</w:t>
      </w:r>
      <w:r w:rsidR="008C2C00" w:rsidRPr="009F1C8F">
        <w:t xml:space="preserve"> realizován </w:t>
      </w:r>
      <w:r w:rsidR="00B72022" w:rsidRPr="00B72022">
        <w:rPr>
          <w:b/>
        </w:rPr>
        <w:t>Nemocnic</w:t>
      </w:r>
      <w:r w:rsidR="00B72022">
        <w:rPr>
          <w:b/>
        </w:rPr>
        <w:t>í</w:t>
      </w:r>
      <w:r w:rsidR="00B72022" w:rsidRPr="00B72022">
        <w:rPr>
          <w:b/>
        </w:rPr>
        <w:t xml:space="preserve"> </w:t>
      </w:r>
      <w:r w:rsidR="008C59E9">
        <w:rPr>
          <w:b/>
        </w:rPr>
        <w:br/>
      </w:r>
      <w:r w:rsidR="00B72022" w:rsidRPr="00B72022">
        <w:rPr>
          <w:b/>
        </w:rPr>
        <w:t>s poliklinikou Česká Lípa, a.s.</w:t>
      </w:r>
      <w:r w:rsidR="00651B39">
        <w:rPr>
          <w:b/>
        </w:rPr>
        <w:t xml:space="preserve">, </w:t>
      </w:r>
      <w:r w:rsidR="00CE5130">
        <w:rPr>
          <w:b/>
        </w:rPr>
        <w:t xml:space="preserve">jejímž </w:t>
      </w:r>
      <w:r w:rsidR="001A5D70">
        <w:rPr>
          <w:b/>
        </w:rPr>
        <w:t xml:space="preserve">jediným akcionářem </w:t>
      </w:r>
      <w:r w:rsidR="00651B39">
        <w:rPr>
          <w:b/>
        </w:rPr>
        <w:t>je Liberecký kraj.</w:t>
      </w:r>
      <w:r w:rsidR="00651332">
        <w:t xml:space="preserve"> </w:t>
      </w:r>
      <w:r w:rsidR="00CE5130">
        <w:t>V rámci tohoto projektu dojde k</w:t>
      </w:r>
      <w:r w:rsidR="004438A7">
        <w:t> zateplení vybraných o</w:t>
      </w:r>
      <w:r w:rsidR="00D47DB8">
        <w:t xml:space="preserve">bjektů Nemocnice s poliklinikou </w:t>
      </w:r>
      <w:r w:rsidR="004438A7">
        <w:t>Česká Lípa</w:t>
      </w:r>
      <w:r w:rsidR="00CE5130">
        <w:t>.</w:t>
      </w:r>
    </w:p>
    <w:p w:rsidR="00B82BEB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Článek II.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830E82">
      <w:pPr>
        <w:widowControl/>
        <w:spacing w:before="120" w:after="12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2304F9" w:rsidRDefault="002304F9" w:rsidP="00E115B2"/>
    <w:p w:rsidR="00E115B2" w:rsidRPr="00415D58" w:rsidRDefault="00E115B2" w:rsidP="00E115B2">
      <w:pPr>
        <w:jc w:val="center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415D58" w:rsidRDefault="00E115B2" w:rsidP="00E115B2">
      <w:pPr>
        <w:jc w:val="center"/>
        <w:rPr>
          <w:b/>
          <w:bCs/>
        </w:rPr>
      </w:pPr>
      <w:r w:rsidRPr="00415D58">
        <w:rPr>
          <w:b/>
          <w:bCs/>
        </w:rPr>
        <w:t>Základní povinnosti příjemce</w:t>
      </w:r>
    </w:p>
    <w:p w:rsidR="00E115B2" w:rsidRPr="00B06D7D" w:rsidRDefault="00E115B2" w:rsidP="00E115B2"/>
    <w:p w:rsidR="00E115B2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314167">
        <w:rPr>
          <w:color w:val="000000"/>
        </w:rPr>
        <w:t xml:space="preserve">Příjemce je povinen použít finanční prostředky z poskytnuté bezúročné </w:t>
      </w:r>
      <w:r w:rsidR="002304F9">
        <w:rPr>
          <w:color w:val="000000"/>
        </w:rPr>
        <w:t>peněžit</w:t>
      </w:r>
      <w:r w:rsidRPr="00314167">
        <w:rPr>
          <w:color w:val="000000"/>
        </w:rPr>
        <w:t xml:space="preserve">é </w:t>
      </w:r>
      <w:r w:rsidR="002304F9">
        <w:rPr>
          <w:color w:val="000000"/>
        </w:rPr>
        <w:t>zápůjč</w:t>
      </w:r>
      <w:r w:rsidR="002304F9" w:rsidRPr="00314167">
        <w:rPr>
          <w:color w:val="000000"/>
        </w:rPr>
        <w:t>ky</w:t>
      </w:r>
      <w:r w:rsidRPr="00314167">
        <w:rPr>
          <w:color w:val="000000"/>
        </w:rPr>
        <w:t xml:space="preserve"> pouze k účelu stanovenému v článku I. </w:t>
      </w:r>
      <w:r>
        <w:rPr>
          <w:color w:val="000000"/>
        </w:rPr>
        <w:t>této smlouvy.</w:t>
      </w:r>
      <w:r w:rsidRPr="00314167">
        <w:rPr>
          <w:color w:val="000000"/>
        </w:rPr>
        <w:t xml:space="preserve"> </w:t>
      </w:r>
    </w:p>
    <w:p w:rsidR="00084CF3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314167">
        <w:rPr>
          <w:color w:val="000000"/>
        </w:rPr>
        <w:lastRenderedPageBreak/>
        <w:t xml:space="preserve">Příjemce nesmí tyto finanční prostředky z bezúročné </w:t>
      </w:r>
      <w:r w:rsidR="002304F9">
        <w:rPr>
          <w:color w:val="000000"/>
        </w:rPr>
        <w:t>peněžit</w:t>
      </w:r>
      <w:r w:rsidRPr="00314167">
        <w:rPr>
          <w:color w:val="000000"/>
        </w:rPr>
        <w:t xml:space="preserve">é </w:t>
      </w:r>
      <w:r w:rsidR="002304F9">
        <w:rPr>
          <w:color w:val="000000"/>
        </w:rPr>
        <w:t>zápůjč</w:t>
      </w:r>
      <w:r w:rsidR="002304F9" w:rsidRPr="00314167">
        <w:rPr>
          <w:color w:val="000000"/>
        </w:rPr>
        <w:t>ky</w:t>
      </w:r>
      <w:r w:rsidRPr="00314167">
        <w:rPr>
          <w:color w:val="000000"/>
        </w:rPr>
        <w:t xml:space="preserve"> poskytnout jiným právnickým nebo fyzickým osobám, pokud nejde o úhrady nákladů spojené</w:t>
      </w:r>
      <w:r w:rsidR="00CD369B">
        <w:rPr>
          <w:color w:val="000000"/>
        </w:rPr>
        <w:br/>
      </w:r>
      <w:r w:rsidRPr="00314167">
        <w:rPr>
          <w:color w:val="000000"/>
        </w:rPr>
        <w:t>s realizací projektu, na které byly poskytnuty.</w:t>
      </w:r>
    </w:p>
    <w:p w:rsidR="002E3B7B" w:rsidRPr="00DE2F0A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DE2F0A">
        <w:rPr>
          <w:color w:val="000000"/>
        </w:rPr>
        <w:t xml:space="preserve">Z poskytnuté bezúročné </w:t>
      </w:r>
      <w:r w:rsidR="002304F9" w:rsidRPr="00DE2F0A">
        <w:rPr>
          <w:color w:val="000000"/>
        </w:rPr>
        <w:t>peněžit</w:t>
      </w:r>
      <w:r w:rsidRPr="00DE2F0A">
        <w:rPr>
          <w:color w:val="000000"/>
        </w:rPr>
        <w:t xml:space="preserve">é </w:t>
      </w:r>
      <w:r w:rsidR="002304F9" w:rsidRPr="00DE2F0A">
        <w:rPr>
          <w:color w:val="000000"/>
        </w:rPr>
        <w:t>zápůjčky</w:t>
      </w:r>
      <w:r w:rsidRPr="00DE2F0A">
        <w:rPr>
          <w:color w:val="000000"/>
        </w:rPr>
        <w:t xml:space="preserve"> lze hradit </w:t>
      </w:r>
      <w:r w:rsidRPr="00DE2F0A">
        <w:rPr>
          <w:b/>
          <w:color w:val="000000"/>
        </w:rPr>
        <w:t>pouze uznatelné náklady</w:t>
      </w:r>
      <w:r w:rsidRPr="00DE2F0A">
        <w:rPr>
          <w:color w:val="000000"/>
        </w:rPr>
        <w:t xml:space="preserve"> spojené s realizací projektu </w:t>
      </w:r>
      <w:r w:rsidR="00CE5130" w:rsidRPr="00DE2F0A">
        <w:rPr>
          <w:b/>
        </w:rPr>
        <w:t>„</w:t>
      </w:r>
      <w:r w:rsidR="00DE2F0A" w:rsidRPr="00950462">
        <w:rPr>
          <w:b/>
        </w:rPr>
        <w:t>Zateplení vybraných objektů Nemocnice s poliklinikou Česká Lípa, a.s.</w:t>
      </w:r>
      <w:r w:rsidR="002E3B7B" w:rsidRPr="00DE2F0A">
        <w:rPr>
          <w:b/>
        </w:rPr>
        <w:t>“</w:t>
      </w:r>
      <w:r w:rsidR="002E3B7B" w:rsidRPr="00DE2F0A">
        <w:rPr>
          <w:lang w:eastAsia="en-US"/>
        </w:rPr>
        <w:t xml:space="preserve"> předloženého v rámci </w:t>
      </w:r>
      <w:r w:rsidR="00DE2F0A">
        <w:rPr>
          <w:lang w:eastAsia="en-US"/>
        </w:rPr>
        <w:t>Operačního programu Životního prostředí</w:t>
      </w:r>
      <w:r w:rsidR="002E3B7B" w:rsidRPr="00DE2F0A">
        <w:rPr>
          <w:lang w:eastAsia="en-US"/>
        </w:rPr>
        <w:t>, registrační číslo projektu CZ.1.</w:t>
      </w:r>
      <w:r w:rsidR="00DE2F0A">
        <w:rPr>
          <w:lang w:eastAsia="en-US"/>
        </w:rPr>
        <w:t>02</w:t>
      </w:r>
      <w:r w:rsidR="002E3B7B" w:rsidRPr="00DE2F0A">
        <w:rPr>
          <w:lang w:eastAsia="en-US"/>
        </w:rPr>
        <w:t>/</w:t>
      </w:r>
      <w:r w:rsidR="00DE2F0A">
        <w:rPr>
          <w:lang w:eastAsia="en-US"/>
        </w:rPr>
        <w:t>3</w:t>
      </w:r>
      <w:r w:rsidR="002E3B7B" w:rsidRPr="00DE2F0A">
        <w:rPr>
          <w:lang w:eastAsia="en-US"/>
        </w:rPr>
        <w:t>.</w:t>
      </w:r>
      <w:r w:rsidR="00DE2F0A">
        <w:rPr>
          <w:lang w:eastAsia="en-US"/>
        </w:rPr>
        <w:t>2.00</w:t>
      </w:r>
      <w:r w:rsidR="002E3B7B" w:rsidRPr="00DE2F0A">
        <w:rPr>
          <w:lang w:eastAsia="en-US"/>
        </w:rPr>
        <w:t>/</w:t>
      </w:r>
      <w:r w:rsidR="00DE2F0A">
        <w:rPr>
          <w:lang w:eastAsia="en-US"/>
        </w:rPr>
        <w:t>10</w:t>
      </w:r>
      <w:r w:rsidR="002E3B7B" w:rsidRPr="00DE2F0A">
        <w:rPr>
          <w:lang w:eastAsia="en-US"/>
        </w:rPr>
        <w:t>.0</w:t>
      </w:r>
      <w:r w:rsidR="00DE2F0A">
        <w:rPr>
          <w:lang w:eastAsia="en-US"/>
        </w:rPr>
        <w:t>8248</w:t>
      </w:r>
      <w:r w:rsidR="002E3B7B" w:rsidRPr="00DE2F0A">
        <w:t xml:space="preserve">, které jsou specifikovány jako uznatelné </w:t>
      </w:r>
      <w:r w:rsidR="00A15A0E">
        <w:br/>
      </w:r>
      <w:r w:rsidR="002E3B7B" w:rsidRPr="00DE2F0A">
        <w:t xml:space="preserve">dle </w:t>
      </w:r>
      <w:r w:rsidR="002E3B7B" w:rsidRPr="00DE2F0A">
        <w:rPr>
          <w:lang w:eastAsia="en-US"/>
        </w:rPr>
        <w:t xml:space="preserve">Smlouvy č. </w:t>
      </w:r>
      <w:r w:rsidR="00DE2F0A">
        <w:rPr>
          <w:lang w:eastAsia="en-US"/>
        </w:rPr>
        <w:t>10068583</w:t>
      </w:r>
      <w:r w:rsidR="00863B0D" w:rsidRPr="00DE2F0A">
        <w:rPr>
          <w:lang w:eastAsia="en-US"/>
        </w:rPr>
        <w:t xml:space="preserve"> uzavřené mezi </w:t>
      </w:r>
      <w:r w:rsidR="00DE2F0A">
        <w:rPr>
          <w:lang w:eastAsia="en-US"/>
        </w:rPr>
        <w:t>Státním fondem životního prostředí České republiky</w:t>
      </w:r>
      <w:r w:rsidR="00863B0D" w:rsidRPr="00DE2F0A">
        <w:rPr>
          <w:lang w:eastAsia="en-US"/>
        </w:rPr>
        <w:t xml:space="preserve"> a Nemocnicí s poliklinikou Česká Lípa, a.s.</w:t>
      </w:r>
    </w:p>
    <w:p w:rsidR="00084CF3" w:rsidRPr="00DE2F0A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DE2F0A">
        <w:rPr>
          <w:color w:val="000000"/>
        </w:rPr>
        <w:t>Příjemce je povinen</w:t>
      </w:r>
      <w:r w:rsidR="002E3B7B" w:rsidRPr="00DE2F0A">
        <w:rPr>
          <w:color w:val="000000"/>
        </w:rPr>
        <w:t xml:space="preserve"> ihned po</w:t>
      </w:r>
      <w:r w:rsidRPr="00DE2F0A">
        <w:rPr>
          <w:color w:val="000000"/>
        </w:rPr>
        <w:t xml:space="preserve"> ukončení</w:t>
      </w:r>
      <w:r w:rsidR="00EE4A90" w:rsidRPr="00DE2F0A">
        <w:rPr>
          <w:color w:val="000000"/>
        </w:rPr>
        <w:t xml:space="preserve"> realizace</w:t>
      </w:r>
      <w:r w:rsidRPr="00DE2F0A">
        <w:rPr>
          <w:color w:val="000000"/>
        </w:rPr>
        <w:t xml:space="preserve"> </w:t>
      </w:r>
      <w:r w:rsidR="00B8291F" w:rsidRPr="00DE2F0A">
        <w:rPr>
          <w:color w:val="000000"/>
        </w:rPr>
        <w:t xml:space="preserve">projektu - </w:t>
      </w:r>
      <w:r w:rsidR="00A22BD0" w:rsidRPr="00950462">
        <w:rPr>
          <w:b/>
        </w:rPr>
        <w:t>Zateplení vybraných objektů Nemocnice s poliklinikou Česká Lípa, a.s.</w:t>
      </w:r>
      <w:r w:rsidR="00A22BD0">
        <w:rPr>
          <w:b/>
        </w:rPr>
        <w:t xml:space="preserve"> </w:t>
      </w:r>
      <w:r w:rsidR="002E3B7B" w:rsidRPr="00DE2F0A">
        <w:t>-</w:t>
      </w:r>
      <w:r w:rsidRPr="00DE2F0A">
        <w:rPr>
          <w:color w:val="000000"/>
        </w:rPr>
        <w:t xml:space="preserve"> </w:t>
      </w:r>
      <w:r w:rsidR="002E3B7B" w:rsidRPr="00DE2F0A">
        <w:rPr>
          <w:color w:val="000000"/>
        </w:rPr>
        <w:t>a po</w:t>
      </w:r>
      <w:r w:rsidR="00B8291F" w:rsidRPr="00DE2F0A">
        <w:rPr>
          <w:color w:val="000000"/>
        </w:rPr>
        <w:t xml:space="preserve"> předání faktur dodavatelem</w:t>
      </w:r>
      <w:r w:rsidR="002E3B7B" w:rsidRPr="00DE2F0A">
        <w:rPr>
          <w:color w:val="000000"/>
        </w:rPr>
        <w:t xml:space="preserve"> </w:t>
      </w:r>
      <w:r w:rsidR="00A22BD0">
        <w:rPr>
          <w:color w:val="000000"/>
        </w:rPr>
        <w:t xml:space="preserve">připravit a </w:t>
      </w:r>
      <w:r w:rsidR="002E3B7B" w:rsidRPr="00DE2F0A">
        <w:rPr>
          <w:color w:val="000000"/>
        </w:rPr>
        <w:t>podat</w:t>
      </w:r>
      <w:r w:rsidR="00084CF3" w:rsidRPr="00DE2F0A">
        <w:rPr>
          <w:color w:val="000000"/>
        </w:rPr>
        <w:t xml:space="preserve"> </w:t>
      </w:r>
      <w:r w:rsidR="00A22BD0">
        <w:rPr>
          <w:color w:val="000000"/>
        </w:rPr>
        <w:t>podklady k závěrečnému vyhodnocení akce v rozsahu podle příslušné přílohy aktuální Směrnice MŽP.</w:t>
      </w:r>
      <w:r w:rsidR="00084CF3" w:rsidRPr="00DE2F0A">
        <w:rPr>
          <w:lang w:eastAsia="en-US"/>
        </w:rPr>
        <w:t xml:space="preserve"> </w:t>
      </w:r>
    </w:p>
    <w:p w:rsidR="00084CF3" w:rsidRPr="00D47DB8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DE2F0A">
        <w:rPr>
          <w:color w:val="000000"/>
        </w:rPr>
        <w:t xml:space="preserve">Příjemce se zavazuje, že poskytovateli vrátí poskytnutou bezúročnou </w:t>
      </w:r>
      <w:r w:rsidR="002304F9" w:rsidRPr="00DE2F0A">
        <w:rPr>
          <w:color w:val="000000"/>
        </w:rPr>
        <w:t>peněžit</w:t>
      </w:r>
      <w:r w:rsidRPr="00DE2F0A">
        <w:rPr>
          <w:color w:val="000000"/>
        </w:rPr>
        <w:t xml:space="preserve">ou </w:t>
      </w:r>
      <w:r w:rsidR="002304F9" w:rsidRPr="00DE2F0A">
        <w:rPr>
          <w:color w:val="000000"/>
        </w:rPr>
        <w:t>zápůjčku</w:t>
      </w:r>
      <w:r w:rsidR="00084CF3" w:rsidRPr="00DE2F0A">
        <w:rPr>
          <w:color w:val="000000"/>
        </w:rPr>
        <w:t xml:space="preserve"> </w:t>
      </w:r>
      <w:r w:rsidR="002F5AB4" w:rsidRPr="00DE2F0A">
        <w:rPr>
          <w:color w:val="000000"/>
        </w:rPr>
        <w:t>ve výši</w:t>
      </w:r>
      <w:r w:rsidR="00084CF3" w:rsidRPr="00DE2F0A">
        <w:rPr>
          <w:color w:val="000000"/>
        </w:rPr>
        <w:t xml:space="preserve"> 1</w:t>
      </w:r>
      <w:r w:rsidR="00A22BD0">
        <w:rPr>
          <w:color w:val="000000"/>
        </w:rPr>
        <w:t>5</w:t>
      </w:r>
      <w:r w:rsidR="00910507">
        <w:rPr>
          <w:color w:val="000000"/>
        </w:rPr>
        <w:t>.000.000</w:t>
      </w:r>
      <w:r w:rsidR="00A15A0E">
        <w:rPr>
          <w:color w:val="000000"/>
        </w:rPr>
        <w:t> </w:t>
      </w:r>
      <w:r w:rsidR="00084CF3" w:rsidRPr="00DE2F0A">
        <w:rPr>
          <w:color w:val="000000"/>
        </w:rPr>
        <w:t>Kč</w:t>
      </w:r>
      <w:r w:rsidRPr="00DE2F0A">
        <w:rPr>
          <w:color w:val="000000"/>
        </w:rPr>
        <w:t xml:space="preserve"> do </w:t>
      </w:r>
      <w:r w:rsidR="00084CF3" w:rsidRPr="00DE2F0A">
        <w:rPr>
          <w:color w:val="000000"/>
        </w:rPr>
        <w:t>10</w:t>
      </w:r>
      <w:r w:rsidRPr="00DE2F0A">
        <w:rPr>
          <w:color w:val="000000"/>
        </w:rPr>
        <w:t xml:space="preserve"> dnů ode dne, kdy </w:t>
      </w:r>
      <w:r w:rsidR="00084CF3" w:rsidRPr="00DE2F0A">
        <w:rPr>
          <w:color w:val="000000"/>
        </w:rPr>
        <w:t>mu budou převedeny finanční prostředky nebo jejich část na zvláštní účet sloužící pro realizaci projektu</w:t>
      </w:r>
      <w:r w:rsidRPr="00DE2F0A">
        <w:rPr>
          <w:color w:val="000000"/>
        </w:rPr>
        <w:t xml:space="preserve">, </w:t>
      </w:r>
      <w:r w:rsidR="00084CF3" w:rsidRPr="00DE2F0A">
        <w:rPr>
          <w:b/>
          <w:color w:val="000000"/>
        </w:rPr>
        <w:t xml:space="preserve">nejpozději však </w:t>
      </w:r>
      <w:r w:rsidR="00084CF3" w:rsidRPr="001E7846">
        <w:rPr>
          <w:b/>
          <w:color w:val="000000"/>
          <w:highlight w:val="yellow"/>
        </w:rPr>
        <w:t xml:space="preserve">do </w:t>
      </w:r>
      <w:r w:rsidR="00A22BD0" w:rsidRPr="001E7846">
        <w:rPr>
          <w:b/>
          <w:color w:val="000000"/>
          <w:highlight w:val="yellow"/>
        </w:rPr>
        <w:t>1</w:t>
      </w:r>
      <w:r w:rsidR="00641883" w:rsidRPr="001E7846">
        <w:rPr>
          <w:b/>
          <w:color w:val="000000"/>
          <w:highlight w:val="yellow"/>
        </w:rPr>
        <w:t>7</w:t>
      </w:r>
      <w:r w:rsidRPr="001E7846">
        <w:rPr>
          <w:b/>
          <w:color w:val="000000"/>
          <w:highlight w:val="yellow"/>
        </w:rPr>
        <w:t>.</w:t>
      </w:r>
      <w:r w:rsidR="000F7C58" w:rsidRPr="001E7846">
        <w:rPr>
          <w:b/>
          <w:color w:val="000000"/>
          <w:highlight w:val="yellow"/>
        </w:rPr>
        <w:t xml:space="preserve"> prosince</w:t>
      </w:r>
      <w:r w:rsidR="00C96E63" w:rsidRPr="001E7846">
        <w:rPr>
          <w:b/>
          <w:color w:val="000000"/>
          <w:highlight w:val="yellow"/>
        </w:rPr>
        <w:t xml:space="preserve"> </w:t>
      </w:r>
      <w:r w:rsidRPr="001E7846">
        <w:rPr>
          <w:b/>
          <w:color w:val="000000"/>
          <w:highlight w:val="yellow"/>
        </w:rPr>
        <w:t>20</w:t>
      </w:r>
      <w:r w:rsidR="00794D2B" w:rsidRPr="001E7846">
        <w:rPr>
          <w:b/>
          <w:color w:val="000000"/>
          <w:highlight w:val="yellow"/>
        </w:rPr>
        <w:t>1</w:t>
      </w:r>
      <w:r w:rsidR="00830E82" w:rsidRPr="001E7846">
        <w:rPr>
          <w:b/>
          <w:color w:val="000000"/>
          <w:highlight w:val="yellow"/>
        </w:rPr>
        <w:t>4</w:t>
      </w:r>
      <w:r w:rsidRPr="00DE2F0A">
        <w:rPr>
          <w:color w:val="000000"/>
        </w:rPr>
        <w:t xml:space="preserve">. Finanční prostředky převede na účet poskytovatele </w:t>
      </w:r>
      <w:r w:rsidR="00084CF3" w:rsidRPr="00DE2F0A">
        <w:rPr>
          <w:color w:val="000000"/>
        </w:rPr>
        <w:br/>
      </w:r>
      <w:r w:rsidRPr="000B44FE">
        <w:rPr>
          <w:b/>
          <w:color w:val="000000"/>
        </w:rPr>
        <w:t xml:space="preserve">č. </w:t>
      </w:r>
      <w:r w:rsidR="000B44FE" w:rsidRPr="000B44FE">
        <w:rPr>
          <w:b/>
          <w:color w:val="000000"/>
        </w:rPr>
        <w:t>19-7964200287</w:t>
      </w:r>
      <w:r w:rsidR="00FA0D41" w:rsidRPr="000B44FE">
        <w:rPr>
          <w:b/>
          <w:color w:val="000000"/>
        </w:rPr>
        <w:t>0100</w:t>
      </w:r>
      <w:r w:rsidR="002F5AB4" w:rsidRPr="000B44FE">
        <w:rPr>
          <w:b/>
          <w:color w:val="000000"/>
        </w:rPr>
        <w:t xml:space="preserve"> pod variabilním</w:t>
      </w:r>
      <w:r w:rsidR="002F5AB4" w:rsidRPr="00DE2F0A">
        <w:rPr>
          <w:b/>
          <w:color w:val="000000"/>
        </w:rPr>
        <w:t xml:space="preserve"> symbolem</w:t>
      </w:r>
      <w:r w:rsidR="007D4BBE" w:rsidRPr="00DE2F0A">
        <w:rPr>
          <w:b/>
          <w:color w:val="000000"/>
        </w:rPr>
        <w:t xml:space="preserve"> </w:t>
      </w:r>
      <w:r w:rsidR="007D4BBE" w:rsidRPr="00D47DB8">
        <w:rPr>
          <w:b/>
          <w:color w:val="000000"/>
        </w:rPr>
        <w:t>09</w:t>
      </w:r>
      <w:r w:rsidR="00004E59" w:rsidRPr="00D47DB8">
        <w:rPr>
          <w:b/>
          <w:color w:val="000000"/>
        </w:rPr>
        <w:t>80</w:t>
      </w:r>
      <w:r w:rsidR="007D4BBE" w:rsidRPr="00D47DB8">
        <w:rPr>
          <w:b/>
          <w:color w:val="000000"/>
        </w:rPr>
        <w:t>00</w:t>
      </w:r>
      <w:r w:rsidR="00D47DB8" w:rsidRPr="00D47DB8">
        <w:rPr>
          <w:b/>
          <w:color w:val="000000"/>
        </w:rPr>
        <w:t>3</w:t>
      </w:r>
      <w:r w:rsidR="00084CF3" w:rsidRPr="00D47DB8">
        <w:rPr>
          <w:b/>
          <w:color w:val="000000"/>
        </w:rPr>
        <w:t>.</w:t>
      </w:r>
    </w:p>
    <w:p w:rsidR="00E115B2" w:rsidRPr="00B00B03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B00B03">
        <w:rPr>
          <w:color w:val="000000"/>
        </w:rPr>
        <w:t xml:space="preserve">Příjemce je rovněž povinen vrátit poskytnuté finanční prostředky z bezúročné </w:t>
      </w:r>
      <w:r w:rsidR="002304F9" w:rsidRPr="00B00B03">
        <w:rPr>
          <w:color w:val="000000"/>
        </w:rPr>
        <w:t>peněžit</w:t>
      </w:r>
      <w:r w:rsidRPr="00B00B03">
        <w:rPr>
          <w:color w:val="000000"/>
        </w:rPr>
        <w:t xml:space="preserve">é </w:t>
      </w:r>
      <w:r w:rsidR="002304F9" w:rsidRPr="00B00B03">
        <w:rPr>
          <w:color w:val="000000"/>
        </w:rPr>
        <w:t>zápůjčky</w:t>
      </w:r>
      <w:r w:rsidRPr="00B00B03">
        <w:rPr>
          <w:color w:val="000000"/>
        </w:rPr>
        <w:t xml:space="preserve"> na účet poskytovatele</w:t>
      </w:r>
      <w:r w:rsidR="00CC5828" w:rsidRPr="00B00B03">
        <w:rPr>
          <w:color w:val="000000"/>
        </w:rPr>
        <w:t xml:space="preserve"> </w:t>
      </w:r>
      <w:r w:rsidR="002F5AB4" w:rsidRPr="000B44FE">
        <w:rPr>
          <w:b/>
          <w:color w:val="000000"/>
        </w:rPr>
        <w:t xml:space="preserve">č. </w:t>
      </w:r>
      <w:r w:rsidR="000B44FE" w:rsidRPr="000B44FE">
        <w:rPr>
          <w:b/>
          <w:color w:val="000000"/>
        </w:rPr>
        <w:t>19-7964200287</w:t>
      </w:r>
      <w:r w:rsidR="00FA0D41" w:rsidRPr="000B44FE">
        <w:rPr>
          <w:b/>
          <w:color w:val="000000"/>
        </w:rPr>
        <w:t>/0100</w:t>
      </w:r>
      <w:r w:rsidR="00FA0D41" w:rsidRPr="00B00B03">
        <w:rPr>
          <w:b/>
          <w:color w:val="000000"/>
        </w:rPr>
        <w:t xml:space="preserve"> </w:t>
      </w:r>
      <w:r w:rsidR="002F5AB4" w:rsidRPr="00B00B03">
        <w:rPr>
          <w:b/>
          <w:color w:val="000000"/>
        </w:rPr>
        <w:t xml:space="preserve">pod variabilním symbolem </w:t>
      </w:r>
      <w:r w:rsidR="00D47DB8" w:rsidRPr="00D47DB8">
        <w:rPr>
          <w:b/>
          <w:color w:val="000000"/>
        </w:rPr>
        <w:t>0980003</w:t>
      </w:r>
      <w:r w:rsidRPr="00D47DB8">
        <w:rPr>
          <w:color w:val="000000"/>
        </w:rPr>
        <w:t>,</w:t>
      </w:r>
      <w:r w:rsidRPr="00B00B03">
        <w:rPr>
          <w:color w:val="000000"/>
        </w:rPr>
        <w:t xml:space="preserve"> jestliže zanikne účel nebo rozsah, na který jsou finanční prostředky poskytovány,</w:t>
      </w:r>
      <w:r w:rsidR="003F5F55" w:rsidRPr="00B00B03">
        <w:rPr>
          <w:color w:val="000000"/>
        </w:rPr>
        <w:t xml:space="preserve"> </w:t>
      </w:r>
      <w:r w:rsidRPr="00B00B03">
        <w:rPr>
          <w:color w:val="000000"/>
        </w:rPr>
        <w:t>a to do 14 dnů ode dne, kdy se příjemce o této skutečnosti dozví</w:t>
      </w:r>
      <w:r w:rsidR="00DF21A3">
        <w:rPr>
          <w:color w:val="000000"/>
        </w:rPr>
        <w:t>,</w:t>
      </w:r>
      <w:r w:rsidR="00084CF3" w:rsidRPr="00B00B03">
        <w:rPr>
          <w:color w:val="000000"/>
        </w:rPr>
        <w:t xml:space="preserve"> nejpozději však do </w:t>
      </w:r>
      <w:r w:rsidR="00A22BD0" w:rsidRPr="001E7846">
        <w:rPr>
          <w:color w:val="000000"/>
          <w:highlight w:val="yellow"/>
        </w:rPr>
        <w:t>1</w:t>
      </w:r>
      <w:r w:rsidR="00641883" w:rsidRPr="001E7846">
        <w:rPr>
          <w:color w:val="000000"/>
          <w:highlight w:val="yellow"/>
        </w:rPr>
        <w:t>7</w:t>
      </w:r>
      <w:r w:rsidR="00084CF3" w:rsidRPr="001E7846">
        <w:rPr>
          <w:color w:val="000000"/>
          <w:highlight w:val="yellow"/>
        </w:rPr>
        <w:t>.</w:t>
      </w:r>
      <w:r w:rsidR="00C96E63" w:rsidRPr="001E7846">
        <w:rPr>
          <w:color w:val="000000"/>
          <w:highlight w:val="yellow"/>
        </w:rPr>
        <w:t xml:space="preserve"> </w:t>
      </w:r>
      <w:r w:rsidR="000F7C58" w:rsidRPr="001E7846">
        <w:rPr>
          <w:color w:val="000000"/>
          <w:highlight w:val="yellow"/>
        </w:rPr>
        <w:t>prosince</w:t>
      </w:r>
      <w:r w:rsidR="00C96E63" w:rsidRPr="001E7846">
        <w:rPr>
          <w:color w:val="000000"/>
          <w:highlight w:val="yellow"/>
        </w:rPr>
        <w:t xml:space="preserve"> </w:t>
      </w:r>
      <w:r w:rsidR="00084CF3" w:rsidRPr="001E7846">
        <w:rPr>
          <w:color w:val="000000"/>
          <w:highlight w:val="yellow"/>
        </w:rPr>
        <w:t>201</w:t>
      </w:r>
      <w:r w:rsidR="00830E82" w:rsidRPr="001E7846">
        <w:rPr>
          <w:color w:val="000000"/>
          <w:highlight w:val="yellow"/>
        </w:rPr>
        <w:t>4</w:t>
      </w:r>
      <w:r w:rsidRPr="001E7846">
        <w:rPr>
          <w:color w:val="000000"/>
          <w:highlight w:val="yellow"/>
        </w:rPr>
        <w:t>.</w:t>
      </w:r>
    </w:p>
    <w:p w:rsidR="00E115B2" w:rsidRDefault="00E115B2" w:rsidP="00084CF3">
      <w:pPr>
        <w:spacing w:before="120" w:after="120"/>
        <w:jc w:val="center"/>
        <w:rPr>
          <w:b/>
          <w:bCs/>
        </w:rPr>
      </w:pPr>
    </w:p>
    <w:p w:rsidR="00B23002" w:rsidRDefault="00B23002" w:rsidP="00E115B2">
      <w:pPr>
        <w:jc w:val="center"/>
        <w:rPr>
          <w:b/>
          <w:bCs/>
        </w:rPr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E115B2" w:rsidRDefault="00E115B2" w:rsidP="00E115B2">
      <w:pPr>
        <w:jc w:val="center"/>
        <w:rPr>
          <w:b/>
          <w:bCs/>
          <w:color w:val="000000"/>
        </w:rPr>
      </w:pPr>
      <w:r w:rsidRPr="00314167">
        <w:rPr>
          <w:b/>
          <w:bCs/>
          <w:color w:val="000000"/>
        </w:rPr>
        <w:t>Kontrola použití finančních prostředků</w:t>
      </w:r>
    </w:p>
    <w:p w:rsidR="00E115B2" w:rsidRPr="00314167" w:rsidRDefault="00E115B2" w:rsidP="00830E82">
      <w:pPr>
        <w:ind w:hanging="567"/>
        <w:jc w:val="center"/>
        <w:rPr>
          <w:b/>
          <w:bCs/>
          <w:color w:val="000000"/>
        </w:rPr>
      </w:pP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Bezúročná </w:t>
      </w:r>
      <w:r w:rsidR="002304F9" w:rsidRPr="00830E82">
        <w:t>peněžit</w:t>
      </w:r>
      <w:r w:rsidRPr="00830E82">
        <w:t xml:space="preserve">á </w:t>
      </w:r>
      <w:r w:rsidR="002304F9" w:rsidRPr="00830E82">
        <w:t>zápůjčka</w:t>
      </w:r>
      <w:r w:rsidRPr="00830E82">
        <w:t xml:space="preserve"> je příjemci poskytnuta ve smyslu zákona č. 129/2000 Sb., </w:t>
      </w:r>
      <w:r w:rsidR="00794D2B" w:rsidRPr="00830E82">
        <w:br/>
      </w:r>
      <w:r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bezúročná </w:t>
      </w:r>
      <w:r w:rsidR="002304F9" w:rsidRPr="00830E82">
        <w:t>peněžit</w:t>
      </w:r>
      <w:r w:rsidRPr="00830E82">
        <w:t xml:space="preserve">á </w:t>
      </w:r>
      <w:r w:rsidR="002304F9" w:rsidRPr="00830E82">
        <w:t>zápůjčka</w:t>
      </w:r>
      <w:r w:rsidR="00BD7398" w:rsidRPr="00830E82">
        <w:t xml:space="preserve"> poskytnuta</w:t>
      </w:r>
      <w:r w:rsidRPr="00830E82">
        <w:t xml:space="preserve">. </w:t>
      </w:r>
    </w:p>
    <w:p w:rsidR="007522E3" w:rsidRPr="007522E3" w:rsidRDefault="007522E3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7522E3">
        <w:t xml:space="preserve">Porušení povinností příjemcem stanovených touto smlouvou je porušením rozpočtové kázně ve smyslu </w:t>
      </w:r>
      <w:proofErr w:type="spellStart"/>
      <w:r w:rsidRPr="007522E3">
        <w:t>ust</w:t>
      </w:r>
      <w:proofErr w:type="spellEnd"/>
      <w:r w:rsidRPr="007522E3">
        <w:t xml:space="preserve">. § 22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>Příjemce je povinen v rámci výkonu kontrolní činnosti dle odst. 2 tohoto článku předložit kontrolním orgánům poskytovatele k nahlédnutí originály všech účetních dokladů, smluv</w:t>
      </w:r>
      <w:r w:rsidR="002304F9">
        <w:t xml:space="preserve"> </w:t>
      </w:r>
      <w:r w:rsidRPr="00830E82">
        <w:t xml:space="preserve">a dalších dokumentů týkající se daného projektu. </w:t>
      </w:r>
    </w:p>
    <w:p w:rsidR="00E115B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B06D7D">
        <w:t xml:space="preserve">Příjemce je povinen umožnit vstup poskytovateli nebo jím pověřeným osobám </w:t>
      </w:r>
      <w:r w:rsidR="007733D4">
        <w:br/>
      </w:r>
      <w:r w:rsidRPr="00B06D7D">
        <w:t>do objektů a na pozemky související s realizací projektu a zavazuje se umožnit poskytovateli nebo jím pověřeným osobám provést kdykoli (i v průběhu realizace) komplexní kontrolu postupu a výsledků realizace pr</w:t>
      </w:r>
      <w:r>
        <w:t xml:space="preserve">ojektu, včetně použití finančních </w:t>
      </w:r>
      <w:r w:rsidRPr="00314167">
        <w:rPr>
          <w:color w:val="000000"/>
        </w:rPr>
        <w:t>prostředků</w:t>
      </w:r>
      <w:r w:rsidRPr="00B06D7D">
        <w:t xml:space="preserve"> a zpřístupnit na požádání veškeré doklady související s realizací projektů </w:t>
      </w:r>
      <w:r w:rsidR="007733D4">
        <w:br/>
      </w:r>
      <w:r w:rsidRPr="00B06D7D">
        <w:t>a s plněním této smlouvy</w:t>
      </w:r>
      <w:r w:rsidR="00CC5828">
        <w:t>.</w:t>
      </w:r>
      <w:r w:rsidRPr="00B06D7D">
        <w:t xml:space="preserve"> </w:t>
      </w:r>
      <w:r w:rsidR="00CC5828">
        <w:t>T</w:t>
      </w:r>
      <w:r w:rsidRPr="00B06D7D">
        <w:t>ímto ujednáním nejsou dotčena ani omezena práva kontrolních a finančních orgánů České republiky a EU.</w:t>
      </w:r>
    </w:p>
    <w:p w:rsidR="00794D2B" w:rsidRPr="00B06D7D" w:rsidRDefault="00794D2B" w:rsidP="00E115B2">
      <w:pPr>
        <w:widowControl/>
        <w:ind w:left="-60"/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E115B2" w:rsidRPr="00B06D7D" w:rsidRDefault="00E115B2" w:rsidP="00E115B2"/>
    <w:p w:rsidR="00C31DC2" w:rsidRDefault="00C31DC2" w:rsidP="00830E82">
      <w:pPr>
        <w:widowControl/>
        <w:numPr>
          <w:ilvl w:val="0"/>
          <w:numId w:val="4"/>
        </w:numPr>
        <w:tabs>
          <w:tab w:val="clear" w:pos="720"/>
        </w:tabs>
        <w:ind w:left="567" w:hanging="567"/>
      </w:pPr>
      <w:r w:rsidRPr="00E65A94">
        <w:t xml:space="preserve">Jestliže příjemce nesplní některou ze svých povinností stanovených v této smlouvě, </w:t>
      </w:r>
      <w:r>
        <w:t xml:space="preserve">považuje se toto jednání příjemce za neoprávněné použití finančních prostředků dle § 22 odst. 2 zákona č. 250/2000 Sb., o rozpočtových pravidlech územních rozpočtů, ve znění pozdějších předpisů a příjemce je v takovém případě povinen </w:t>
      </w:r>
      <w:r w:rsidRPr="00E65A94">
        <w:t xml:space="preserve">ve lhůtě, kterou </w:t>
      </w:r>
      <w:r>
        <w:t xml:space="preserve">mu stanoví </w:t>
      </w:r>
      <w:r w:rsidRPr="00E65A94">
        <w:t>poskytovate</w:t>
      </w:r>
      <w:r>
        <w:t>l</w:t>
      </w:r>
      <w:r w:rsidRPr="00E65A94">
        <w:t>, poskytnuté finanční prostředky vráti</w:t>
      </w:r>
      <w:r>
        <w:t>t</w:t>
      </w:r>
      <w:r w:rsidRPr="00E65A94">
        <w:t xml:space="preserve">. Pokud příjemce </w:t>
      </w:r>
      <w:r w:rsidR="00D47DB8">
        <w:br/>
      </w:r>
      <w:r w:rsidRPr="00E65A94">
        <w:t xml:space="preserve">ve stanovené lhůtě požadované finanční prostředky nevrátí, považují se tyto prostředky za zadržené ve smyslu § 22 </w:t>
      </w:r>
      <w:r>
        <w:t xml:space="preserve">odst. 3 </w:t>
      </w:r>
      <w:r w:rsidRPr="00E65A94">
        <w:t>zákona č. 250/2000 Sb., o rozpočtových pravidlech územních rozpočtů</w:t>
      </w:r>
      <w:r>
        <w:t>, ve znění pozdějších předpisů</w:t>
      </w:r>
      <w:r w:rsidRPr="00E65A94">
        <w:t xml:space="preserve">. </w:t>
      </w:r>
    </w:p>
    <w:p w:rsidR="00C31DC2" w:rsidRDefault="00C31DC2" w:rsidP="00830E82">
      <w:pPr>
        <w:widowControl/>
        <w:ind w:left="567" w:hanging="567"/>
      </w:pPr>
    </w:p>
    <w:p w:rsidR="00E115B2" w:rsidRPr="00B06D7D" w:rsidRDefault="00C31DC2" w:rsidP="00830E82">
      <w:pPr>
        <w:widowControl/>
        <w:numPr>
          <w:ilvl w:val="0"/>
          <w:numId w:val="4"/>
        </w:numPr>
        <w:tabs>
          <w:tab w:val="clear" w:pos="720"/>
        </w:tabs>
        <w:ind w:left="567" w:hanging="567"/>
      </w:pPr>
      <w:r>
        <w:t>V případě, že se příjemce dopustí porušení rozpočtové kázně, tj. finanční prostředky neoprávněně použije nebo finanční prostředky neoprávněně zadržuje, uloží poskytovatel příjemci odvod včetně penále v souladu s § 22 zákona č. 250/2000 Sb., o rozpočtových pravidlech územních rozpočtů, ve znění pozdějších předpisů.</w:t>
      </w:r>
    </w:p>
    <w:p w:rsidR="00E115B2" w:rsidRPr="00314167" w:rsidRDefault="00E115B2" w:rsidP="00830E82">
      <w:pPr>
        <w:widowControl/>
        <w:ind w:left="567" w:hanging="567"/>
        <w:rPr>
          <w:color w:val="000000"/>
        </w:rPr>
      </w:pPr>
    </w:p>
    <w:p w:rsidR="00E115B2" w:rsidRPr="000B44FE" w:rsidRDefault="00E115B2" w:rsidP="00830E82">
      <w:pPr>
        <w:widowControl/>
        <w:numPr>
          <w:ilvl w:val="0"/>
          <w:numId w:val="4"/>
        </w:numPr>
        <w:tabs>
          <w:tab w:val="clear" w:pos="720"/>
        </w:tabs>
        <w:ind w:left="567" w:hanging="567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19-7964100227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830E82" w:rsidRDefault="00830E82" w:rsidP="00830E82">
      <w:pPr>
        <w:pStyle w:val="Odstavecseseznamem"/>
      </w:pPr>
    </w:p>
    <w:p w:rsidR="00E115B2" w:rsidRPr="00314167" w:rsidRDefault="00E115B2" w:rsidP="00E115B2">
      <w:pPr>
        <w:rPr>
          <w:color w:val="000000"/>
        </w:rPr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Článek VI.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E115B2" w:rsidRPr="00B06D7D" w:rsidRDefault="00E115B2" w:rsidP="00E115B2"/>
    <w:p w:rsidR="00E115B2" w:rsidRDefault="00E115B2" w:rsidP="00B00B03">
      <w:pPr>
        <w:widowControl/>
        <w:numPr>
          <w:ilvl w:val="0"/>
          <w:numId w:val="5"/>
        </w:numPr>
        <w:tabs>
          <w:tab w:val="clear" w:pos="720"/>
        </w:tabs>
        <w:spacing w:before="120" w:after="120"/>
        <w:ind w:left="567" w:hanging="567"/>
        <w:rPr>
          <w:bCs/>
        </w:rPr>
      </w:pPr>
      <w:r w:rsidRPr="00F93B7E">
        <w:rPr>
          <w:bCs/>
        </w:rPr>
        <w:t xml:space="preserve">Příjemce je povinen bez zbytečného prodlení písemně informovat poskytovatele </w:t>
      </w:r>
      <w:r w:rsidR="00455871" w:rsidRPr="00F93B7E">
        <w:rPr>
          <w:bCs/>
        </w:rPr>
        <w:br/>
      </w:r>
      <w:r w:rsidRPr="00F93B7E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E115B2" w:rsidRPr="00830E82" w:rsidRDefault="00E115B2" w:rsidP="00B00B03">
      <w:pPr>
        <w:widowControl/>
        <w:numPr>
          <w:ilvl w:val="0"/>
          <w:numId w:val="5"/>
        </w:numPr>
        <w:tabs>
          <w:tab w:val="clear" w:pos="720"/>
        </w:tabs>
        <w:spacing w:before="120" w:after="120"/>
        <w:ind w:left="567" w:hanging="567"/>
        <w:rPr>
          <w:bCs/>
        </w:rPr>
      </w:pPr>
      <w:r w:rsidRPr="002304F9">
        <w:rPr>
          <w:bCs/>
        </w:rPr>
        <w:t xml:space="preserve">Příjemce dále prohlašuje, že si je vědom </w:t>
      </w:r>
      <w:r w:rsidRPr="00830E82">
        <w:rPr>
          <w:bCs/>
        </w:rPr>
        <w:t>následků vzniklých uvedením nepravdivých údajů, které by vedly k neoprávněnému čerpání finančních prostředků dle této smlouvy.</w:t>
      </w:r>
    </w:p>
    <w:p w:rsidR="00E115B2" w:rsidRPr="004F29BC" w:rsidRDefault="00791743" w:rsidP="00B00B03">
      <w:pPr>
        <w:widowControl/>
        <w:numPr>
          <w:ilvl w:val="0"/>
          <w:numId w:val="5"/>
        </w:numPr>
        <w:tabs>
          <w:tab w:val="clear" w:pos="720"/>
        </w:tabs>
        <w:spacing w:before="120" w:after="120"/>
        <w:ind w:left="567" w:hanging="567"/>
        <w:rPr>
          <w:bCs/>
        </w:rPr>
      </w:pPr>
      <w:r w:rsidRPr="004F29BC">
        <w:rPr>
          <w:bCs/>
        </w:rPr>
        <w:t>Smluvní strany souhlasí, že tato smlouva může být zveřejněna na webových stránkách Libereckého kraje, s výjimkou osobních údajů fyzických osob uvedených v této smlouvě</w:t>
      </w:r>
      <w:r w:rsidR="004F29BC" w:rsidRPr="004F29BC">
        <w:rPr>
          <w:bCs/>
        </w:rPr>
        <w:t xml:space="preserve"> </w:t>
      </w:r>
      <w:r w:rsidRPr="004F29BC">
        <w:rPr>
          <w:bCs/>
        </w:rPr>
        <w:t xml:space="preserve">a dále může být zveřejněna postupem dle </w:t>
      </w:r>
      <w:proofErr w:type="spellStart"/>
      <w:r w:rsidRPr="004F29BC">
        <w:rPr>
          <w:bCs/>
        </w:rPr>
        <w:t>ust</w:t>
      </w:r>
      <w:proofErr w:type="spellEnd"/>
      <w:r w:rsidRPr="004F29BC">
        <w:rPr>
          <w:bCs/>
        </w:rPr>
        <w:t xml:space="preserve">. </w:t>
      </w:r>
      <w:proofErr w:type="gramStart"/>
      <w:r w:rsidRPr="004F29BC">
        <w:rPr>
          <w:bCs/>
        </w:rPr>
        <w:t>zákona</w:t>
      </w:r>
      <w:proofErr w:type="gramEnd"/>
      <w:r w:rsidRPr="004F29BC">
        <w:rPr>
          <w:bCs/>
        </w:rPr>
        <w:t xml:space="preserve"> č. 106/2000 Sb.,</w:t>
      </w:r>
      <w:r w:rsidR="00D065E7">
        <w:rPr>
          <w:bCs/>
        </w:rPr>
        <w:br/>
      </w:r>
      <w:r w:rsidRPr="004F29BC">
        <w:rPr>
          <w:bCs/>
        </w:rPr>
        <w:t>o svobodném přístupu k informacím, ve znění pozdějších právních předpisů.</w:t>
      </w:r>
    </w:p>
    <w:p w:rsidR="00054E4C" w:rsidRPr="00054E4C" w:rsidRDefault="00054E4C" w:rsidP="00B00B03">
      <w:pPr>
        <w:pStyle w:val="Zkladntext"/>
        <w:widowControl/>
        <w:numPr>
          <w:ilvl w:val="0"/>
          <w:numId w:val="4"/>
        </w:numPr>
        <w:tabs>
          <w:tab w:val="clear" w:pos="720"/>
          <w:tab w:val="num" w:pos="567"/>
        </w:tabs>
        <w:spacing w:before="120" w:after="120"/>
        <w:ind w:left="567" w:hanging="567"/>
      </w:pPr>
      <w:r>
        <w:t>Fi</w:t>
      </w:r>
      <w:r w:rsidRPr="00054E4C">
        <w:t xml:space="preserve">nanční prostředky </w:t>
      </w:r>
      <w:r>
        <w:t xml:space="preserve">ve výši </w:t>
      </w:r>
      <w:bookmarkStart w:id="0" w:name="_GoBack"/>
      <w:bookmarkEnd w:id="0"/>
      <w:r w:rsidR="00870620" w:rsidRPr="001E7846">
        <w:rPr>
          <w:highlight w:val="yellow"/>
        </w:rPr>
        <w:t>1</w:t>
      </w:r>
      <w:r w:rsidR="00641883" w:rsidRPr="001E7846">
        <w:rPr>
          <w:highlight w:val="yellow"/>
        </w:rPr>
        <w:t>29</w:t>
      </w:r>
      <w:r w:rsidR="00870620" w:rsidRPr="001E7846">
        <w:rPr>
          <w:highlight w:val="yellow"/>
        </w:rPr>
        <w:t>.</w:t>
      </w:r>
      <w:r w:rsidR="00641883" w:rsidRPr="001E7846">
        <w:rPr>
          <w:highlight w:val="yellow"/>
        </w:rPr>
        <w:t>871</w:t>
      </w:r>
      <w:r w:rsidR="00870620" w:rsidRPr="001E7846">
        <w:rPr>
          <w:highlight w:val="yellow"/>
        </w:rPr>
        <w:t>,</w:t>
      </w:r>
      <w:r w:rsidR="00641883" w:rsidRPr="001E7846">
        <w:rPr>
          <w:highlight w:val="yellow"/>
        </w:rPr>
        <w:t>11</w:t>
      </w:r>
      <w:r w:rsidRPr="001E7846">
        <w:rPr>
          <w:highlight w:val="yellow"/>
        </w:rPr>
        <w:t xml:space="preserve"> Kč</w:t>
      </w:r>
      <w:r>
        <w:t xml:space="preserve"> vypočítané v roce 2014 z referenční </w:t>
      </w:r>
      <w:r w:rsidR="00B00B03">
        <w:t xml:space="preserve">sazby platné pro Českou republiku ve výši 0,58% zvýšené o 4 % </w:t>
      </w:r>
      <w:r w:rsidRPr="00054E4C">
        <w:t>mají charakter podpory</w:t>
      </w:r>
      <w:r w:rsidR="00FD4BC9">
        <w:br/>
      </w:r>
      <w:r w:rsidRPr="00054E4C">
        <w:t xml:space="preserve">de </w:t>
      </w:r>
      <w:proofErr w:type="spellStart"/>
      <w:r w:rsidRPr="00054E4C">
        <w:t>minimis</w:t>
      </w:r>
      <w:proofErr w:type="spellEnd"/>
      <w:r w:rsidRPr="00054E4C">
        <w:t xml:space="preserve"> podle nařízení Evropské komise č. 1407/2013 o po</w:t>
      </w:r>
      <w:r w:rsidR="001600DD">
        <w:t xml:space="preserve">užití článků 107 a 108 Smlouvy </w:t>
      </w:r>
      <w:r w:rsidRPr="00054E4C">
        <w:t xml:space="preserve">o fungování Evropské unie na podporu de </w:t>
      </w:r>
      <w:proofErr w:type="spellStart"/>
      <w:r w:rsidRPr="00054E4C">
        <w:t>minimis</w:t>
      </w:r>
      <w:proofErr w:type="spellEnd"/>
      <w:r w:rsidRPr="00054E4C">
        <w:t xml:space="preserve"> zveřejněného v Úředním věstníku Evropské unie dne 24. prosince 2013. Podpora „de </w:t>
      </w:r>
      <w:proofErr w:type="spellStart"/>
      <w:r w:rsidRPr="00054E4C">
        <w:t>minimis</w:t>
      </w:r>
      <w:proofErr w:type="spellEnd"/>
      <w:r w:rsidRPr="00054E4C">
        <w:t xml:space="preserve">“ poskytnutá jednomu subjektu nesmí za tři po sobě jdoucí jednoletá účetní období používaná příjemcem přesáhnout částku odpovídající 200.000 EUR. Příjemce bere na vědomí, že dle zákona č. 215/2004 Sb. je poskytovatel povinen do 5 pracovních dnů od podpisu této smlouvy zaznamenat údaje o poskytnuté podpoře de </w:t>
      </w:r>
      <w:proofErr w:type="spellStart"/>
      <w:r w:rsidRPr="00054E4C">
        <w:t>minimis</w:t>
      </w:r>
      <w:proofErr w:type="spellEnd"/>
      <w:r w:rsidRPr="00054E4C">
        <w:t xml:space="preserve"> do centrálního registru podpor de </w:t>
      </w:r>
      <w:proofErr w:type="spellStart"/>
      <w:r w:rsidRPr="00054E4C">
        <w:t>minimis</w:t>
      </w:r>
      <w:proofErr w:type="spellEnd"/>
      <w:r w:rsidRPr="00054E4C">
        <w:t xml:space="preserve">. Vyjde-li při zaznamenávání údajů do centrálního registru najevo, že je limit příjemce pro poskytnutí podpory de </w:t>
      </w:r>
      <w:proofErr w:type="spellStart"/>
      <w:r w:rsidRPr="00054E4C">
        <w:t>minimis</w:t>
      </w:r>
      <w:proofErr w:type="spellEnd"/>
      <w:r w:rsidRPr="00054E4C">
        <w:t xml:space="preserve"> vyčerpán, příjemci zaniká nárok na poskytnutí dotace a tato smlouva se od počátku ruší. </w:t>
      </w:r>
    </w:p>
    <w:p w:rsidR="00054E4C" w:rsidRPr="00054E4C" w:rsidRDefault="00054E4C" w:rsidP="00B00B03">
      <w:pPr>
        <w:pStyle w:val="Zkladntext"/>
        <w:widowControl/>
        <w:numPr>
          <w:ilvl w:val="0"/>
          <w:numId w:val="4"/>
        </w:numPr>
        <w:tabs>
          <w:tab w:val="clear" w:pos="720"/>
          <w:tab w:val="num" w:pos="567"/>
        </w:tabs>
        <w:spacing w:before="120" w:after="120"/>
        <w:ind w:left="567" w:hanging="567"/>
      </w:pPr>
      <w:r w:rsidRPr="00054E4C">
        <w:t xml:space="preserve">Příjemce prohlašuje, že mu nejsou známy překážky, které by bránily poskytnutí podpory de </w:t>
      </w:r>
      <w:proofErr w:type="spellStart"/>
      <w:r w:rsidRPr="00054E4C">
        <w:t>minimis</w:t>
      </w:r>
      <w:proofErr w:type="spellEnd"/>
      <w:r w:rsidRPr="00054E4C">
        <w:t xml:space="preserve"> dle výše uvedeného nařízení Evropské komise. Pokud se později </w:t>
      </w:r>
      <w:r w:rsidRPr="00054E4C">
        <w:lastRenderedPageBreak/>
        <w:t>ukáže toto prohlášení jako nepravdivé, příjemci zaniká nárok na dotaci a tato smlouva se od počátku ruší.</w:t>
      </w:r>
    </w:p>
    <w:p w:rsidR="00054E4C" w:rsidRPr="00B00B03" w:rsidRDefault="00054E4C" w:rsidP="00B00B03">
      <w:pPr>
        <w:pStyle w:val="Zkladntext"/>
        <w:widowControl/>
        <w:numPr>
          <w:ilvl w:val="0"/>
          <w:numId w:val="9"/>
        </w:numPr>
        <w:tabs>
          <w:tab w:val="clear" w:pos="720"/>
          <w:tab w:val="num" w:pos="567"/>
        </w:tabs>
        <w:spacing w:before="120" w:after="120"/>
        <w:ind w:left="567" w:hanging="567"/>
      </w:pPr>
      <w:r w:rsidRPr="00B00B03">
        <w:t>V</w:t>
      </w:r>
      <w:r w:rsidRPr="00054E4C">
        <w:t xml:space="preserve"> případě rozdělení příjemce podpory na dva či více samostatné podniky v období 3 let </w:t>
      </w:r>
      <w:r w:rsidRPr="00054E4C">
        <w:br/>
        <w:t xml:space="preserve">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054E4C">
        <w:t>minimis</w:t>
      </w:r>
      <w:proofErr w:type="spellEnd"/>
      <w:r w:rsidRPr="00054E4C">
        <w:t xml:space="preserve"> poskytn</w:t>
      </w:r>
      <w:r w:rsidR="0021283D">
        <w:t xml:space="preserve">utou dle této smlouvy rozdělit </w:t>
      </w:r>
      <w:r w:rsidRPr="00054E4C">
        <w:t>v Centrálním registru podpor malého rozsahu. Smlouvu</w:t>
      </w:r>
      <w:r w:rsidR="0021283D">
        <w:t xml:space="preserve"> lze rovněž z důvodů uvedených </w:t>
      </w:r>
      <w:r w:rsidRPr="00054E4C">
        <w:t>v § 167 odst. 1) zákona č. 500/2004 Sb., správní řád v platném znění, zrušit. Taková dohoda musí být písemná a musí v ní být uvedeny důvody, které vedly k ukončení Smlouvy včetně vzájemného vypořádání práv a závazků.</w:t>
      </w:r>
    </w:p>
    <w:p w:rsidR="00E115B2" w:rsidRPr="00830E82" w:rsidRDefault="00E115B2" w:rsidP="00B00B03">
      <w:pPr>
        <w:widowControl/>
        <w:numPr>
          <w:ilvl w:val="0"/>
          <w:numId w:val="9"/>
        </w:numPr>
        <w:tabs>
          <w:tab w:val="clear" w:pos="720"/>
          <w:tab w:val="num" w:pos="567"/>
        </w:tabs>
        <w:spacing w:before="120" w:after="120"/>
        <w:ind w:left="567" w:hanging="567"/>
        <w:rPr>
          <w:bCs/>
        </w:rPr>
      </w:pPr>
      <w:r w:rsidRPr="002304F9">
        <w:rPr>
          <w:bCs/>
        </w:rPr>
        <w:t>Tato smlouva nabývá platnosti a účinnosti podpisem oprávněných zástupců smluvních stran. Smlouva je vyhotovena v</w:t>
      </w:r>
      <w:r w:rsidR="00506E92" w:rsidRPr="001E094F">
        <w:rPr>
          <w:bCs/>
        </w:rPr>
        <w:t>e</w:t>
      </w:r>
      <w:r w:rsidRPr="0090607F">
        <w:rPr>
          <w:bCs/>
        </w:rPr>
        <w:t xml:space="preserve"> </w:t>
      </w:r>
      <w:r w:rsidR="00F30CFC" w:rsidRPr="00830E82">
        <w:rPr>
          <w:bCs/>
        </w:rPr>
        <w:t>čtyřech</w:t>
      </w:r>
      <w:r w:rsidRPr="00830E82">
        <w:rPr>
          <w:bCs/>
        </w:rPr>
        <w:t xml:space="preserve"> stejnopisech, z toho </w:t>
      </w:r>
      <w:r w:rsidR="00506E92" w:rsidRPr="00830E82">
        <w:rPr>
          <w:bCs/>
        </w:rPr>
        <w:t>2</w:t>
      </w:r>
      <w:r w:rsidRPr="00830E82">
        <w:rPr>
          <w:bCs/>
        </w:rPr>
        <w:t xml:space="preserve"> stejnopisy </w:t>
      </w:r>
      <w:r w:rsidR="00BD7398" w:rsidRPr="00830E82">
        <w:rPr>
          <w:bCs/>
        </w:rPr>
        <w:t>obdrží poskytovatel</w:t>
      </w:r>
      <w:r w:rsidR="00506E92" w:rsidRPr="00830E82">
        <w:rPr>
          <w:bCs/>
        </w:rPr>
        <w:t xml:space="preserve"> a</w:t>
      </w:r>
      <w:r w:rsidRPr="00830E82">
        <w:rPr>
          <w:bCs/>
        </w:rPr>
        <w:t xml:space="preserve"> </w:t>
      </w:r>
      <w:r w:rsidR="00506E92" w:rsidRPr="00830E82">
        <w:rPr>
          <w:bCs/>
        </w:rPr>
        <w:t>dva</w:t>
      </w:r>
      <w:r w:rsidRPr="00830E82">
        <w:rPr>
          <w:bCs/>
        </w:rPr>
        <w:t xml:space="preserve"> stejnopis</w:t>
      </w:r>
      <w:r w:rsidR="00506E92" w:rsidRPr="00830E82">
        <w:rPr>
          <w:bCs/>
        </w:rPr>
        <w:t>y</w:t>
      </w:r>
      <w:r w:rsidRPr="00830E82">
        <w:rPr>
          <w:bCs/>
        </w:rPr>
        <w:t xml:space="preserve"> příjemce. Všechna vyhotovení smlouvy mají platnost originálu.</w:t>
      </w:r>
    </w:p>
    <w:p w:rsidR="002304F9" w:rsidRDefault="002304F9" w:rsidP="00B00B03">
      <w:pPr>
        <w:widowControl/>
        <w:numPr>
          <w:ilvl w:val="0"/>
          <w:numId w:val="9"/>
        </w:numPr>
        <w:tabs>
          <w:tab w:val="clear" w:pos="720"/>
          <w:tab w:val="num" w:pos="567"/>
        </w:tabs>
        <w:spacing w:before="120" w:after="120"/>
        <w:ind w:left="567" w:hanging="567"/>
        <w:rPr>
          <w:bCs/>
        </w:rPr>
      </w:pPr>
      <w:r w:rsidRPr="00830E82">
        <w:rPr>
          <w:bCs/>
        </w:rPr>
        <w:t>Tato smlouva byla schválena</w:t>
      </w:r>
      <w:r w:rsidRPr="002304F9">
        <w:rPr>
          <w:bCs/>
        </w:rPr>
        <w:t xml:space="preserve"> Zastupitelstvem Libereckého kraje dne </w:t>
      </w:r>
      <w:r w:rsidRPr="000F7C58">
        <w:rPr>
          <w:bCs/>
        </w:rPr>
        <w:t>2</w:t>
      </w:r>
      <w:r w:rsidR="000F7C58" w:rsidRPr="000F7C58">
        <w:rPr>
          <w:bCs/>
        </w:rPr>
        <w:t>3</w:t>
      </w:r>
      <w:r w:rsidRPr="000F7C58">
        <w:rPr>
          <w:bCs/>
        </w:rPr>
        <w:t>.</w:t>
      </w:r>
      <w:r w:rsidR="000F7C58" w:rsidRPr="000F7C58">
        <w:rPr>
          <w:bCs/>
        </w:rPr>
        <w:t xml:space="preserve"> září</w:t>
      </w:r>
      <w:r w:rsidR="00910507" w:rsidRPr="000F7C58">
        <w:rPr>
          <w:bCs/>
        </w:rPr>
        <w:t xml:space="preserve"> </w:t>
      </w:r>
      <w:r w:rsidRPr="000F7C58">
        <w:rPr>
          <w:bCs/>
        </w:rPr>
        <w:t>201</w:t>
      </w:r>
      <w:r w:rsidR="00830E82" w:rsidRPr="000F7C58">
        <w:rPr>
          <w:bCs/>
        </w:rPr>
        <w:t>4</w:t>
      </w:r>
      <w:r w:rsidRPr="002304F9">
        <w:rPr>
          <w:bCs/>
        </w:rPr>
        <w:t xml:space="preserve"> usnesením č. …/14/ZK na předfinancování projektu „Z</w:t>
      </w:r>
      <w:r w:rsidR="00401A3F">
        <w:rPr>
          <w:bCs/>
        </w:rPr>
        <w:t>ateplení vybraných objektů Nemocnice s poliklinikou Česká Lípa</w:t>
      </w:r>
      <w:r w:rsidR="00910507">
        <w:rPr>
          <w:bCs/>
        </w:rPr>
        <w:t>,</w:t>
      </w:r>
      <w:r w:rsidRPr="002304F9">
        <w:rPr>
          <w:bCs/>
        </w:rPr>
        <w:t xml:space="preserve"> a.s.“</w:t>
      </w:r>
    </w:p>
    <w:p w:rsidR="002304F9" w:rsidRPr="002304F9" w:rsidRDefault="002304F9" w:rsidP="00B00B03">
      <w:pPr>
        <w:widowControl/>
        <w:numPr>
          <w:ilvl w:val="0"/>
          <w:numId w:val="9"/>
        </w:numPr>
        <w:tabs>
          <w:tab w:val="clear" w:pos="720"/>
          <w:tab w:val="num" w:pos="567"/>
        </w:tabs>
        <w:spacing w:before="120" w:after="120"/>
        <w:ind w:left="567" w:hanging="567"/>
        <w:rPr>
          <w:bCs/>
        </w:rPr>
      </w:pPr>
      <w:r>
        <w:rPr>
          <w:bCs/>
        </w:rPr>
        <w:t xml:space="preserve">Záležitosti touto smlouvou výslovně neřešené se řídí ustanoveními zákona č. 89/2012 Sb., občanský zákoník, zejména </w:t>
      </w:r>
      <w:proofErr w:type="spellStart"/>
      <w:r>
        <w:rPr>
          <w:bCs/>
        </w:rPr>
        <w:t>ust</w:t>
      </w:r>
      <w:proofErr w:type="spellEnd"/>
      <w:r>
        <w:rPr>
          <w:bCs/>
        </w:rPr>
        <w:t>. §§ 2390 – 2394.</w:t>
      </w:r>
    </w:p>
    <w:p w:rsidR="002304F9" w:rsidRDefault="002304F9" w:rsidP="00B00B03">
      <w:pPr>
        <w:widowControl/>
        <w:tabs>
          <w:tab w:val="num" w:pos="567"/>
        </w:tabs>
        <w:spacing w:before="120" w:after="120"/>
        <w:ind w:left="567" w:hanging="567"/>
      </w:pPr>
    </w:p>
    <w:p w:rsidR="00E115B2" w:rsidRDefault="00E115B2" w:rsidP="00E115B2">
      <w:pPr>
        <w:widowControl/>
        <w:ind w:left="-60"/>
      </w:pPr>
    </w:p>
    <w:p w:rsidR="00E115B2" w:rsidRPr="00B06D7D" w:rsidRDefault="00E115B2" w:rsidP="00E115B2"/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 xml:space="preserve">V Liberci </w:t>
            </w:r>
            <w:proofErr w:type="gramStart"/>
            <w:r w:rsidRPr="00791743">
              <w:t>dne  …</w:t>
            </w:r>
            <w:proofErr w:type="gramEnd"/>
            <w:r w:rsidRPr="00791743">
              <w:t>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357"/>
            </w:pPr>
            <w:r w:rsidRPr="00791743">
              <w:t>V </w:t>
            </w:r>
            <w:r>
              <w:t xml:space="preserve">České Lípě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</w:t>
      </w:r>
      <w:proofErr w:type="gramStart"/>
      <w:r w:rsidR="00791743" w:rsidRPr="00791743">
        <w:t>Příjemce :</w:t>
      </w:r>
      <w:proofErr w:type="gramEnd"/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>MUDr. Radek Havlas</w:t>
            </w:r>
          </w:p>
          <w:p w:rsidR="00791743" w:rsidRPr="00791743" w:rsidRDefault="003F5F55" w:rsidP="003F5F55">
            <w:pPr>
              <w:widowControl/>
              <w:ind w:firstLine="12"/>
              <w:jc w:val="center"/>
              <w:rPr>
                <w:color w:val="FF0000"/>
              </w:rPr>
            </w:pPr>
            <w:r>
              <w:t>předseda představenstva</w:t>
            </w:r>
          </w:p>
        </w:tc>
      </w:tr>
    </w:tbl>
    <w:p w:rsidR="007522E3" w:rsidRDefault="007522E3" w:rsidP="00791743">
      <w:pPr>
        <w:jc w:val="left"/>
        <w:rPr>
          <w:color w:val="000000"/>
        </w:rPr>
      </w:pPr>
    </w:p>
    <w:sectPr w:rsidR="007522E3" w:rsidSect="007522E3">
      <w:headerReference w:type="default" r:id="rId8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FB" w:rsidRDefault="00B869FB">
      <w:r>
        <w:separator/>
      </w:r>
    </w:p>
  </w:endnote>
  <w:endnote w:type="continuationSeparator" w:id="0">
    <w:p w:rsidR="00B869FB" w:rsidRDefault="00B8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FB" w:rsidRDefault="00B869FB">
      <w:r>
        <w:separator/>
      </w:r>
    </w:p>
  </w:footnote>
  <w:footnote w:type="continuationSeparator" w:id="0">
    <w:p w:rsidR="00B869FB" w:rsidRDefault="00B86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r>
      <w:tab/>
    </w:r>
    <w:r>
      <w:tab/>
    </w:r>
    <w:r>
      <w:rPr>
        <w:b/>
      </w:rPr>
      <w:t xml:space="preserve"> </w:t>
    </w: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D2A94"/>
    <w:multiLevelType w:val="hybridMultilevel"/>
    <w:tmpl w:val="E7B6F502"/>
    <w:lvl w:ilvl="0" w:tplc="A94C6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5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E59"/>
    <w:rsid w:val="0001320C"/>
    <w:rsid w:val="000244C2"/>
    <w:rsid w:val="00054E4C"/>
    <w:rsid w:val="00056C49"/>
    <w:rsid w:val="00070C72"/>
    <w:rsid w:val="0008259E"/>
    <w:rsid w:val="00084CF3"/>
    <w:rsid w:val="00097397"/>
    <w:rsid w:val="000B2F65"/>
    <w:rsid w:val="000B44FE"/>
    <w:rsid w:val="000E7BFC"/>
    <w:rsid w:val="000F7C58"/>
    <w:rsid w:val="00130D4A"/>
    <w:rsid w:val="00131A15"/>
    <w:rsid w:val="00154153"/>
    <w:rsid w:val="001600DD"/>
    <w:rsid w:val="00181061"/>
    <w:rsid w:val="001A5D70"/>
    <w:rsid w:val="001D19FE"/>
    <w:rsid w:val="001D5E52"/>
    <w:rsid w:val="001E094F"/>
    <w:rsid w:val="001E7846"/>
    <w:rsid w:val="0021283D"/>
    <w:rsid w:val="00217F3A"/>
    <w:rsid w:val="00220CA7"/>
    <w:rsid w:val="0022253C"/>
    <w:rsid w:val="002304F9"/>
    <w:rsid w:val="00262547"/>
    <w:rsid w:val="002745C9"/>
    <w:rsid w:val="002753F1"/>
    <w:rsid w:val="002E3B7B"/>
    <w:rsid w:val="002F1A01"/>
    <w:rsid w:val="002F1DD1"/>
    <w:rsid w:val="002F570D"/>
    <w:rsid w:val="002F5AB4"/>
    <w:rsid w:val="003345E9"/>
    <w:rsid w:val="00346E66"/>
    <w:rsid w:val="0039346D"/>
    <w:rsid w:val="00394F26"/>
    <w:rsid w:val="003956B1"/>
    <w:rsid w:val="003D6715"/>
    <w:rsid w:val="003E0B8A"/>
    <w:rsid w:val="003E4FCD"/>
    <w:rsid w:val="003F5F55"/>
    <w:rsid w:val="00401A3F"/>
    <w:rsid w:val="004175E4"/>
    <w:rsid w:val="004438A7"/>
    <w:rsid w:val="00455871"/>
    <w:rsid w:val="00461932"/>
    <w:rsid w:val="00491A6E"/>
    <w:rsid w:val="00492A90"/>
    <w:rsid w:val="004A71A2"/>
    <w:rsid w:val="004F29BC"/>
    <w:rsid w:val="00502151"/>
    <w:rsid w:val="00506E92"/>
    <w:rsid w:val="00563E92"/>
    <w:rsid w:val="005A4A15"/>
    <w:rsid w:val="005E489A"/>
    <w:rsid w:val="005E59E5"/>
    <w:rsid w:val="005F6529"/>
    <w:rsid w:val="005F73D0"/>
    <w:rsid w:val="00603549"/>
    <w:rsid w:val="00622C73"/>
    <w:rsid w:val="0062664F"/>
    <w:rsid w:val="00641883"/>
    <w:rsid w:val="00651332"/>
    <w:rsid w:val="00651B39"/>
    <w:rsid w:val="006752BE"/>
    <w:rsid w:val="00694EE2"/>
    <w:rsid w:val="0069647E"/>
    <w:rsid w:val="006A0F08"/>
    <w:rsid w:val="006C405B"/>
    <w:rsid w:val="007522E3"/>
    <w:rsid w:val="007733D4"/>
    <w:rsid w:val="00790334"/>
    <w:rsid w:val="00791743"/>
    <w:rsid w:val="00793688"/>
    <w:rsid w:val="00794D2B"/>
    <w:rsid w:val="007D36EF"/>
    <w:rsid w:val="007D4BBE"/>
    <w:rsid w:val="00825153"/>
    <w:rsid w:val="00830E82"/>
    <w:rsid w:val="008313F1"/>
    <w:rsid w:val="00832C17"/>
    <w:rsid w:val="00846EEA"/>
    <w:rsid w:val="00855809"/>
    <w:rsid w:val="00863B0D"/>
    <w:rsid w:val="00870620"/>
    <w:rsid w:val="008715B4"/>
    <w:rsid w:val="00890CE3"/>
    <w:rsid w:val="00893202"/>
    <w:rsid w:val="008C2C00"/>
    <w:rsid w:val="008C59E9"/>
    <w:rsid w:val="008F3230"/>
    <w:rsid w:val="0090607F"/>
    <w:rsid w:val="00910507"/>
    <w:rsid w:val="00915D61"/>
    <w:rsid w:val="009323DA"/>
    <w:rsid w:val="00936191"/>
    <w:rsid w:val="0093620F"/>
    <w:rsid w:val="009419CD"/>
    <w:rsid w:val="009476B5"/>
    <w:rsid w:val="00950462"/>
    <w:rsid w:val="00954B1F"/>
    <w:rsid w:val="00971CD8"/>
    <w:rsid w:val="00973237"/>
    <w:rsid w:val="00992B5A"/>
    <w:rsid w:val="009933CF"/>
    <w:rsid w:val="009F1C8F"/>
    <w:rsid w:val="00A15A0E"/>
    <w:rsid w:val="00A22BD0"/>
    <w:rsid w:val="00A30A17"/>
    <w:rsid w:val="00A40882"/>
    <w:rsid w:val="00A4645D"/>
    <w:rsid w:val="00A551BA"/>
    <w:rsid w:val="00A55455"/>
    <w:rsid w:val="00A764E0"/>
    <w:rsid w:val="00A923F3"/>
    <w:rsid w:val="00A94B1C"/>
    <w:rsid w:val="00AA2CE9"/>
    <w:rsid w:val="00AB4F3B"/>
    <w:rsid w:val="00AC49DD"/>
    <w:rsid w:val="00B00B03"/>
    <w:rsid w:val="00B23002"/>
    <w:rsid w:val="00B23C83"/>
    <w:rsid w:val="00B421B2"/>
    <w:rsid w:val="00B55A77"/>
    <w:rsid w:val="00B61415"/>
    <w:rsid w:val="00B72022"/>
    <w:rsid w:val="00B8291F"/>
    <w:rsid w:val="00B82BEB"/>
    <w:rsid w:val="00B869FB"/>
    <w:rsid w:val="00BA195A"/>
    <w:rsid w:val="00BA4E2F"/>
    <w:rsid w:val="00BC59B7"/>
    <w:rsid w:val="00BD0369"/>
    <w:rsid w:val="00BD4AF1"/>
    <w:rsid w:val="00BD7398"/>
    <w:rsid w:val="00BF503B"/>
    <w:rsid w:val="00C31DC2"/>
    <w:rsid w:val="00C32360"/>
    <w:rsid w:val="00C42A0F"/>
    <w:rsid w:val="00C61318"/>
    <w:rsid w:val="00C72F78"/>
    <w:rsid w:val="00C96E63"/>
    <w:rsid w:val="00CA544E"/>
    <w:rsid w:val="00CC5828"/>
    <w:rsid w:val="00CD369B"/>
    <w:rsid w:val="00CE5130"/>
    <w:rsid w:val="00CE5A00"/>
    <w:rsid w:val="00CE6D7C"/>
    <w:rsid w:val="00D05634"/>
    <w:rsid w:val="00D065E7"/>
    <w:rsid w:val="00D103AF"/>
    <w:rsid w:val="00D47DB8"/>
    <w:rsid w:val="00D51229"/>
    <w:rsid w:val="00D55CD8"/>
    <w:rsid w:val="00D714EE"/>
    <w:rsid w:val="00D72A78"/>
    <w:rsid w:val="00D74494"/>
    <w:rsid w:val="00DB048C"/>
    <w:rsid w:val="00DB4074"/>
    <w:rsid w:val="00DB4F8D"/>
    <w:rsid w:val="00DE2F0A"/>
    <w:rsid w:val="00DF21A3"/>
    <w:rsid w:val="00E021E0"/>
    <w:rsid w:val="00E0225F"/>
    <w:rsid w:val="00E115B2"/>
    <w:rsid w:val="00E32F05"/>
    <w:rsid w:val="00E714FB"/>
    <w:rsid w:val="00E80E0F"/>
    <w:rsid w:val="00E861AA"/>
    <w:rsid w:val="00E97785"/>
    <w:rsid w:val="00EA2B52"/>
    <w:rsid w:val="00EC7C3E"/>
    <w:rsid w:val="00EE4A90"/>
    <w:rsid w:val="00F02122"/>
    <w:rsid w:val="00F30CFC"/>
    <w:rsid w:val="00F35170"/>
    <w:rsid w:val="00F3635C"/>
    <w:rsid w:val="00F70A0C"/>
    <w:rsid w:val="00F84BD4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1314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Riegerova Alena</cp:lastModifiedBy>
  <cp:revision>4</cp:revision>
  <cp:lastPrinted>2013-07-31T12:24:00Z</cp:lastPrinted>
  <dcterms:created xsi:type="dcterms:W3CDTF">2014-09-08T14:40:00Z</dcterms:created>
  <dcterms:modified xsi:type="dcterms:W3CDTF">2014-09-08T14:51:00Z</dcterms:modified>
</cp:coreProperties>
</file>