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46" w:rsidRPr="001704E7" w:rsidRDefault="00DE6346" w:rsidP="00DE6346">
      <w:pPr>
        <w:tabs>
          <w:tab w:val="left" w:pos="2400"/>
        </w:tabs>
        <w:jc w:val="center"/>
        <w:outlineLvl w:val="0"/>
        <w:rPr>
          <w:b/>
          <w:sz w:val="32"/>
          <w:szCs w:val="32"/>
        </w:rPr>
      </w:pPr>
      <w:r w:rsidRPr="001704E7">
        <w:rPr>
          <w:b/>
          <w:sz w:val="32"/>
          <w:szCs w:val="32"/>
        </w:rPr>
        <w:t xml:space="preserve">PÍSEMNÁ INFORMACE pro </w:t>
      </w:r>
      <w:r>
        <w:rPr>
          <w:b/>
          <w:sz w:val="32"/>
          <w:szCs w:val="32"/>
        </w:rPr>
        <w:t>9</w:t>
      </w:r>
      <w:r w:rsidRPr="007E01EF">
        <w:rPr>
          <w:b/>
          <w:i/>
          <w:sz w:val="32"/>
          <w:szCs w:val="32"/>
        </w:rPr>
        <w:t>.</w:t>
      </w:r>
      <w:r w:rsidRPr="001704E7">
        <w:rPr>
          <w:b/>
          <w:sz w:val="32"/>
          <w:szCs w:val="32"/>
        </w:rPr>
        <w:t xml:space="preserve"> zasedání </w:t>
      </w:r>
      <w:r>
        <w:rPr>
          <w:b/>
          <w:sz w:val="32"/>
          <w:szCs w:val="32"/>
        </w:rPr>
        <w:t>Zastupitelstva</w:t>
      </w:r>
    </w:p>
    <w:p w:rsidR="00DE6346" w:rsidRPr="001704E7" w:rsidRDefault="00DE6346" w:rsidP="00DE6346">
      <w:pPr>
        <w:pBdr>
          <w:bottom w:val="single" w:sz="12" w:space="1" w:color="auto"/>
        </w:pBdr>
        <w:jc w:val="center"/>
        <w:outlineLvl w:val="0"/>
        <w:rPr>
          <w:b/>
          <w:sz w:val="32"/>
          <w:szCs w:val="32"/>
        </w:rPr>
      </w:pPr>
      <w:r w:rsidRPr="001704E7">
        <w:rPr>
          <w:b/>
          <w:sz w:val="32"/>
          <w:szCs w:val="32"/>
        </w:rPr>
        <w:t xml:space="preserve">Libereckého kraje dne </w:t>
      </w:r>
      <w:r>
        <w:rPr>
          <w:b/>
          <w:sz w:val="32"/>
          <w:szCs w:val="32"/>
        </w:rPr>
        <w:t>21. 10</w:t>
      </w:r>
      <w:r w:rsidRPr="009F4EFE">
        <w:rPr>
          <w:b/>
          <w:sz w:val="32"/>
          <w:szCs w:val="32"/>
        </w:rPr>
        <w:t>. 2014</w:t>
      </w:r>
    </w:p>
    <w:p w:rsidR="00DE6346" w:rsidRDefault="00DE6346" w:rsidP="00DE6346">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tabs>
          <w:tab w:val="left" w:pos="2310"/>
        </w:tabs>
        <w:jc w:val="both"/>
      </w:pPr>
      <w:r>
        <w:tab/>
      </w:r>
    </w:p>
    <w:p w:rsidR="00DE6346" w:rsidRDefault="00DE6346" w:rsidP="00DE6346">
      <w:pPr>
        <w:jc w:val="both"/>
      </w:pPr>
    </w:p>
    <w:p w:rsidR="00DE6346" w:rsidRDefault="00DE6346" w:rsidP="00DE6346">
      <w:pPr>
        <w:jc w:val="both"/>
      </w:pPr>
    </w:p>
    <w:p w:rsidR="00DE6346" w:rsidRPr="00DC4A88" w:rsidRDefault="00BB2CBC" w:rsidP="00DE6346">
      <w:pPr>
        <w:ind w:left="3540" w:firstLine="708"/>
        <w:jc w:val="both"/>
        <w:rPr>
          <w:b/>
        </w:rPr>
      </w:pPr>
      <w:r w:rsidRPr="00DC4A88">
        <w:rPr>
          <w:b/>
        </w:rPr>
        <w:t>055.</w:t>
      </w:r>
    </w:p>
    <w:p w:rsidR="00BB2CBC" w:rsidRPr="00DC4A88" w:rsidRDefault="00BB2CBC" w:rsidP="00DE6346">
      <w:pPr>
        <w:ind w:left="3540" w:firstLine="708"/>
        <w:jc w:val="both"/>
        <w:rPr>
          <w:b/>
        </w:rPr>
      </w:pPr>
      <w:r w:rsidRPr="00DC4A88">
        <w:rPr>
          <w:b/>
        </w:rPr>
        <w:t xml:space="preserve">  </w:t>
      </w:r>
      <w:r w:rsidR="00495BE6">
        <w:rPr>
          <w:b/>
        </w:rPr>
        <w:t>j)</w:t>
      </w:r>
      <w:bookmarkStart w:id="0" w:name="_GoBack"/>
      <w:bookmarkEnd w:id="0"/>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504CFD" w:rsidRDefault="00504CFD" w:rsidP="00504CFD">
      <w:pPr>
        <w:jc w:val="center"/>
        <w:rPr>
          <w:b/>
          <w:bCs/>
          <w:lang w:eastAsia="ar-SA"/>
        </w:rPr>
      </w:pPr>
      <w:r w:rsidRPr="005F2F72">
        <w:rPr>
          <w:b/>
          <w:bCs/>
          <w:lang w:eastAsia="ar-SA"/>
        </w:rPr>
        <w:t>Přechodné zabezpečení stanoveného rozsahu dopravní obslužnosti Libereckého kraje</w:t>
      </w:r>
      <w:r>
        <w:rPr>
          <w:b/>
          <w:bCs/>
          <w:lang w:eastAsia="ar-SA"/>
        </w:rPr>
        <w:t xml:space="preserve"> </w:t>
      </w:r>
    </w:p>
    <w:p w:rsidR="00DE6346" w:rsidRDefault="00504CFD" w:rsidP="00504CFD">
      <w:pPr>
        <w:jc w:val="center"/>
        <w:rPr>
          <w:b/>
        </w:rPr>
      </w:pPr>
      <w:r>
        <w:rPr>
          <w:b/>
          <w:bCs/>
          <w:lang w:eastAsia="ar-SA"/>
        </w:rPr>
        <w:t>po 1. 1. 2015</w:t>
      </w:r>
    </w:p>
    <w:p w:rsidR="00DE6346" w:rsidRDefault="00DE6346" w:rsidP="00DE6346">
      <w:pPr>
        <w:jc w:val="both"/>
        <w:rPr>
          <w:b/>
        </w:rPr>
      </w:pPr>
    </w:p>
    <w:p w:rsidR="00DE6346" w:rsidRDefault="00DE6346" w:rsidP="00DE6346">
      <w:pPr>
        <w:jc w:val="both"/>
        <w:rPr>
          <w:b/>
        </w:rPr>
      </w:pPr>
    </w:p>
    <w:p w:rsidR="00DE6346" w:rsidRDefault="00DE6346" w:rsidP="00DE6346">
      <w:pPr>
        <w:jc w:val="both"/>
        <w:rPr>
          <w:b/>
        </w:rPr>
      </w:pPr>
    </w:p>
    <w:p w:rsidR="00DE6346" w:rsidRDefault="00DE6346" w:rsidP="00DE6346">
      <w:pPr>
        <w:jc w:val="both"/>
        <w:rPr>
          <w:b/>
        </w:rPr>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r w:rsidRPr="008F455E">
        <w:t xml:space="preserve">Zpracoval: </w:t>
      </w:r>
      <w:r w:rsidRPr="008F455E">
        <w:tab/>
      </w:r>
      <w:r>
        <w:t>Ing. Jan Čáp</w:t>
      </w:r>
    </w:p>
    <w:p w:rsidR="00DE6346" w:rsidRDefault="00DE6346" w:rsidP="00DE6346">
      <w:r>
        <w:tab/>
      </w:r>
      <w:r>
        <w:tab/>
        <w:t xml:space="preserve">Vedoucí odboru dopravy </w:t>
      </w:r>
    </w:p>
    <w:p w:rsidR="00DE6346" w:rsidRDefault="00DE6346" w:rsidP="00DE6346"/>
    <w:p w:rsidR="00DE6346" w:rsidRDefault="00DE6346" w:rsidP="00DE6346">
      <w:r>
        <w:t xml:space="preserve">Předkládá: </w:t>
      </w:r>
      <w:r>
        <w:tab/>
        <w:t>Vladimír Mastník</w:t>
      </w:r>
    </w:p>
    <w:p w:rsidR="00DE6346" w:rsidRDefault="00DE6346" w:rsidP="00DE6346">
      <w:r>
        <w:tab/>
      </w:r>
      <w:r>
        <w:tab/>
        <w:t xml:space="preserve">Člen rady kraje, pověřený řízením resortu dopravy  </w:t>
      </w:r>
    </w:p>
    <w:p w:rsidR="00DE6346" w:rsidRDefault="00DE6346" w:rsidP="00DE6346">
      <w:pPr>
        <w:jc w:val="both"/>
      </w:pPr>
    </w:p>
    <w:p w:rsidR="00F000DE" w:rsidRPr="00BB2CBC" w:rsidRDefault="00BB2CBC" w:rsidP="00BB2CBC">
      <w:pPr>
        <w:jc w:val="both"/>
      </w:pPr>
      <w:r>
        <w:t xml:space="preserve">  </w:t>
      </w:r>
    </w:p>
    <w:p w:rsidR="00F000DE" w:rsidRDefault="00F000DE" w:rsidP="00F000DE">
      <w:pPr>
        <w:pStyle w:val="Zhlav"/>
        <w:tabs>
          <w:tab w:val="left" w:pos="708"/>
          <w:tab w:val="left" w:pos="5580"/>
        </w:tabs>
        <w:spacing w:before="120" w:after="120"/>
        <w:ind w:left="357" w:hanging="357"/>
        <w:jc w:val="center"/>
        <w:outlineLvl w:val="0"/>
        <w:rPr>
          <w:rFonts w:ascii="Times New Roman" w:eastAsia="MS Mincho" w:hAnsi="Times New Roman" w:cs="Times New Roman"/>
          <w:b/>
          <w:sz w:val="32"/>
          <w:szCs w:val="32"/>
          <w:lang w:eastAsia="cs-CZ"/>
        </w:rPr>
      </w:pPr>
      <w:r w:rsidRPr="00BB2CBC">
        <w:rPr>
          <w:rFonts w:ascii="Times New Roman" w:eastAsia="MS Mincho" w:hAnsi="Times New Roman" w:cs="Times New Roman"/>
          <w:b/>
          <w:sz w:val="32"/>
          <w:szCs w:val="32"/>
          <w:lang w:eastAsia="cs-CZ"/>
        </w:rPr>
        <w:lastRenderedPageBreak/>
        <w:t>Důvodová zpráva</w:t>
      </w:r>
    </w:p>
    <w:p w:rsidR="00BB2CBC" w:rsidRPr="00BB2CBC" w:rsidRDefault="00BB2CBC" w:rsidP="00F000DE">
      <w:pPr>
        <w:pStyle w:val="Zhlav"/>
        <w:tabs>
          <w:tab w:val="left" w:pos="708"/>
          <w:tab w:val="left" w:pos="5580"/>
        </w:tabs>
        <w:spacing w:before="120" w:after="120"/>
        <w:ind w:left="357" w:hanging="357"/>
        <w:jc w:val="center"/>
        <w:outlineLvl w:val="0"/>
        <w:rPr>
          <w:rFonts w:ascii="Times New Roman" w:eastAsia="MS Mincho" w:hAnsi="Times New Roman" w:cs="Times New Roman"/>
          <w:b/>
          <w:sz w:val="32"/>
          <w:szCs w:val="32"/>
          <w:lang w:eastAsia="cs-CZ"/>
        </w:rPr>
      </w:pPr>
    </w:p>
    <w:p w:rsidR="00504CFD" w:rsidRDefault="00504CFD" w:rsidP="00504CFD">
      <w:pPr>
        <w:spacing w:before="120"/>
        <w:jc w:val="both"/>
      </w:pPr>
      <w:r>
        <w:t xml:space="preserve">Rada Libereckého kraje na mimořádných zasedáních dne 6. 10. 2014 a dne 20. 10. 2014 rozhodla </w:t>
      </w:r>
      <w:r w:rsidRPr="00582546">
        <w:t xml:space="preserve">o zadání veřejné zakázky „Přechodné zabezpečení stanoveného rozsahu dopravní obslužnosti Libereckého kraje – oblast </w:t>
      </w:r>
      <w:r>
        <w:t xml:space="preserve">Západ, Sever a </w:t>
      </w:r>
      <w:r w:rsidRPr="00582546">
        <w:t>Východ</w:t>
      </w:r>
      <w:r>
        <w:t xml:space="preserve">. </w:t>
      </w:r>
    </w:p>
    <w:p w:rsidR="00504CFD" w:rsidRPr="00582546" w:rsidRDefault="00504CFD" w:rsidP="00504CFD">
      <w:pPr>
        <w:spacing w:before="120"/>
        <w:jc w:val="both"/>
      </w:pPr>
      <w:r w:rsidRPr="00582546">
        <w:t>Rada kraje usnesením č. 1578/14/mRK schválila:</w:t>
      </w:r>
    </w:p>
    <w:p w:rsidR="00504CFD" w:rsidRPr="00582546" w:rsidRDefault="00504CFD" w:rsidP="00504CFD">
      <w:pPr>
        <w:numPr>
          <w:ilvl w:val="0"/>
          <w:numId w:val="10"/>
        </w:numPr>
        <w:spacing w:before="120"/>
        <w:jc w:val="both"/>
      </w:pPr>
      <w:r w:rsidRPr="00582546">
        <w:t xml:space="preserve">Smlouvu o veřejných službách v přepravě cestujících ve veřejné linkové osobní dopravě pro přechodné zabezpečení stanoveného rozsahu dopravní obslužnosti Libereckého kraje pro oblast Sever, č. OLP/1766/2014 mezi Libereckým krajem a ČSAD Liberec, a.s., IČ: 25045504, se sídlem České mládeže 594/33, 460 06 Liberec 6 a </w:t>
      </w:r>
    </w:p>
    <w:p w:rsidR="00504CFD" w:rsidRPr="00582546" w:rsidRDefault="00504CFD" w:rsidP="00504CFD">
      <w:pPr>
        <w:numPr>
          <w:ilvl w:val="0"/>
          <w:numId w:val="10"/>
        </w:numPr>
        <w:spacing w:after="60"/>
        <w:jc w:val="both"/>
      </w:pPr>
      <w:r w:rsidRPr="00582546">
        <w:t>Smlouvu o veřejných službách v přepravě cestujících ve veřejné linkové osobní dopravě pro přechodné zabezpečení stanoveného rozsahu dopravní obslužnosti Libereckého kraje pro oblast Západ, č. OLP/1768/2014 mezi Libereckým krajem a ČSAD Česká Lípa a.s., IČ: 25497987, se sídlem Lumiérů 181/41, 152 00 Praha 5.</w:t>
      </w:r>
    </w:p>
    <w:p w:rsidR="00504CFD" w:rsidRPr="00582546" w:rsidRDefault="00504CFD" w:rsidP="00504CFD">
      <w:pPr>
        <w:spacing w:after="60"/>
        <w:jc w:val="both"/>
        <w:rPr>
          <w:sz w:val="8"/>
          <w:szCs w:val="8"/>
        </w:rPr>
      </w:pPr>
    </w:p>
    <w:p w:rsidR="00504CFD" w:rsidRPr="00582546" w:rsidRDefault="00504CFD" w:rsidP="00504CFD">
      <w:pPr>
        <w:spacing w:after="60"/>
        <w:jc w:val="both"/>
      </w:pPr>
      <w:r w:rsidRPr="00582546">
        <w:t xml:space="preserve">Obě výše uvedené smlouvy byly podepsány 6. října 2014. </w:t>
      </w:r>
    </w:p>
    <w:p w:rsidR="00504CFD" w:rsidRDefault="00504CFD" w:rsidP="00504CFD">
      <w:pPr>
        <w:spacing w:before="120"/>
        <w:jc w:val="both"/>
      </w:pPr>
      <w:r w:rsidRPr="00582546">
        <w:t xml:space="preserve">Rada kraje usnesením č. </w:t>
      </w:r>
      <w:r>
        <w:t>1641</w:t>
      </w:r>
      <w:r w:rsidRPr="00582546">
        <w:t>/14/mRK schválila:</w:t>
      </w:r>
    </w:p>
    <w:p w:rsidR="00504CFD" w:rsidRDefault="00504CFD" w:rsidP="00504CFD">
      <w:pPr>
        <w:numPr>
          <w:ilvl w:val="0"/>
          <w:numId w:val="11"/>
        </w:numPr>
        <w:spacing w:before="120"/>
        <w:ind w:left="714" w:hanging="357"/>
        <w:jc w:val="both"/>
      </w:pPr>
      <w:r>
        <w:t>Smlouvu o veřejných službách v přepravě cestujících ve veřejné linkové osobní dopravě pro přechodné zabezpečení stanoveného rozsahu dopravní obslužnosti Libereckého kraje pro oblast Východ, č. OLP/1767/2014 mezi Libereckým krajem a BusLine a.s., IČ: 28360010, se sídlem Na rovinkách 211, 513 25 Semily;</w:t>
      </w:r>
    </w:p>
    <w:p w:rsidR="00504CFD" w:rsidRDefault="00504CFD" w:rsidP="00504CFD">
      <w:pPr>
        <w:numPr>
          <w:ilvl w:val="0"/>
          <w:numId w:val="11"/>
        </w:numPr>
        <w:spacing w:before="120"/>
        <w:ind w:left="714" w:hanging="357"/>
        <w:jc w:val="both"/>
      </w:pPr>
      <w:r>
        <w:t>D</w:t>
      </w:r>
      <w:r w:rsidRPr="00C777E4">
        <w:t>odatek č. 1 ke Smlouvě o veřejných službách v přepravě cestujících ve veřejné linkové osobní dopravě pro přechodné zabezpečení stanoveného rozsahu dopravní obslužnosti Libereckého kraje pro oblast Východ, č. OLP/1767/2014</w:t>
      </w:r>
      <w:r>
        <w:t xml:space="preserve"> mezi Libereckým krajem a BusLine a.s., IČ: 28360010, se sídlem Na rovinkách 211, 513 25 Semily</w:t>
      </w:r>
      <w:r w:rsidRPr="00C777E4">
        <w:t>, kterým se mění a nahrazuje příloha č. 1 Smlouvy novou přílohou obsahující nižší ceny některých cenových položek za plnění veřejné zakázky</w:t>
      </w:r>
    </w:p>
    <w:p w:rsidR="00504CFD" w:rsidRDefault="00504CFD" w:rsidP="00504CFD">
      <w:pPr>
        <w:spacing w:after="60"/>
        <w:jc w:val="both"/>
      </w:pPr>
      <w:r>
        <w:t xml:space="preserve">Smlouva i dodatek byly podepsány 20. října 2014. </w:t>
      </w:r>
    </w:p>
    <w:p w:rsidR="00504CFD" w:rsidRPr="00666F58" w:rsidRDefault="00504CFD" w:rsidP="00504CFD">
      <w:pPr>
        <w:autoSpaceDE w:val="0"/>
        <w:autoSpaceDN w:val="0"/>
        <w:adjustRightInd w:val="0"/>
        <w:jc w:val="both"/>
        <w:rPr>
          <w:u w:val="single"/>
        </w:rPr>
      </w:pPr>
      <w:r w:rsidRPr="00666F58">
        <w:rPr>
          <w:u w:val="single"/>
        </w:rPr>
        <w:t>Porovnání nabídkových cen JŘBU s cenou dopravního výkonu dle „starých“ smluv uzavřených s dopravci s platností do 31. prosince 2014</w:t>
      </w:r>
    </w:p>
    <w:p w:rsidR="00504CFD" w:rsidRPr="00666F58" w:rsidRDefault="00504CFD" w:rsidP="00504CFD">
      <w:pPr>
        <w:autoSpaceDE w:val="0"/>
        <w:autoSpaceDN w:val="0"/>
        <w:adjustRightInd w:val="0"/>
        <w:jc w:val="both"/>
        <w:rPr>
          <w:sz w:val="8"/>
          <w:szCs w:val="8"/>
        </w:rPr>
      </w:pPr>
    </w:p>
    <w:p w:rsidR="00504CFD" w:rsidRPr="00666F58" w:rsidRDefault="00504CFD" w:rsidP="00504CFD">
      <w:pPr>
        <w:autoSpaceDE w:val="0"/>
        <w:autoSpaceDN w:val="0"/>
        <w:adjustRightInd w:val="0"/>
        <w:jc w:val="both"/>
      </w:pPr>
      <w:r w:rsidRPr="00666F58">
        <w:t xml:space="preserve">V níže uvedené tabulce je vyčíslena úspora, ke které dojde uzavřením nových smluv s dopravci na základě nabídek předložených v rámci JŘBU. Úspora je vyčíslena rozdílem stávající jednotkové ceny dopravního výkony ve výši 32 Kč/km dle „starých“ smluv platných do 31. prosince 2014 a průměrné nabídkové ceny dopravního výkonu dle nabídky v JŘBU. Kilometrický rozsah je počítán v rozsahu zadání v rámci JŘBU (předpokládaný dopravní výkon/rok). </w:t>
      </w:r>
    </w:p>
    <w:p w:rsidR="00504CFD" w:rsidRPr="00FD6113" w:rsidRDefault="00504CFD" w:rsidP="00504CFD">
      <w:pPr>
        <w:autoSpaceDE w:val="0"/>
        <w:autoSpaceDN w:val="0"/>
        <w:adjustRightInd w:val="0"/>
        <w:jc w:val="both"/>
        <w:rPr>
          <w:highlight w:val="yellow"/>
        </w:rPr>
      </w:pPr>
    </w:p>
    <w:p w:rsidR="00504CFD" w:rsidRPr="00FD6113" w:rsidRDefault="00504CFD" w:rsidP="00504CFD">
      <w:pPr>
        <w:autoSpaceDE w:val="0"/>
        <w:autoSpaceDN w:val="0"/>
        <w:adjustRightInd w:val="0"/>
        <w:rPr>
          <w:sz w:val="8"/>
          <w:szCs w:val="8"/>
          <w:highlight w:val="yellow"/>
        </w:rPr>
      </w:pPr>
    </w:p>
    <w:tbl>
      <w:tblPr>
        <w:tblW w:w="9087" w:type="dxa"/>
        <w:tblInd w:w="55" w:type="dxa"/>
        <w:tblCellMar>
          <w:left w:w="70" w:type="dxa"/>
          <w:right w:w="70" w:type="dxa"/>
        </w:tblCellMar>
        <w:tblLook w:val="04A0" w:firstRow="1" w:lastRow="0" w:firstColumn="1" w:lastColumn="0" w:noHBand="0" w:noVBand="1"/>
      </w:tblPr>
      <w:tblGrid>
        <w:gridCol w:w="1118"/>
        <w:gridCol w:w="1672"/>
        <w:gridCol w:w="1620"/>
        <w:gridCol w:w="1417"/>
        <w:gridCol w:w="1559"/>
        <w:gridCol w:w="1701"/>
      </w:tblGrid>
      <w:tr w:rsidR="00504CFD" w:rsidRPr="00504CFD" w:rsidTr="0044244B">
        <w:trPr>
          <w:trHeight w:val="828"/>
        </w:trPr>
        <w:tc>
          <w:tcPr>
            <w:tcW w:w="1118" w:type="dxa"/>
            <w:tcBorders>
              <w:top w:val="single" w:sz="8" w:space="0" w:color="auto"/>
              <w:left w:val="single" w:sz="8" w:space="0" w:color="auto"/>
              <w:bottom w:val="single" w:sz="8" w:space="0" w:color="auto"/>
              <w:right w:val="single" w:sz="4" w:space="0" w:color="auto"/>
            </w:tcBorders>
            <w:vAlign w:val="center"/>
            <w:hideMark/>
          </w:tcPr>
          <w:p w:rsidR="00504CFD" w:rsidRPr="00666F58" w:rsidRDefault="00504CFD" w:rsidP="0044244B">
            <w:pPr>
              <w:jc w:val="center"/>
              <w:rPr>
                <w:b/>
                <w:bCs/>
                <w:color w:val="000000"/>
                <w:sz w:val="22"/>
                <w:szCs w:val="22"/>
              </w:rPr>
            </w:pPr>
            <w:r w:rsidRPr="00666F58">
              <w:rPr>
                <w:b/>
                <w:bCs/>
                <w:color w:val="000000"/>
                <w:sz w:val="22"/>
                <w:szCs w:val="22"/>
              </w:rPr>
              <w:t>Oblast</w:t>
            </w:r>
          </w:p>
        </w:tc>
        <w:tc>
          <w:tcPr>
            <w:tcW w:w="1672" w:type="dxa"/>
            <w:tcBorders>
              <w:top w:val="single" w:sz="8" w:space="0" w:color="auto"/>
              <w:left w:val="nil"/>
              <w:bottom w:val="single" w:sz="8" w:space="0" w:color="auto"/>
              <w:right w:val="single" w:sz="4" w:space="0" w:color="auto"/>
            </w:tcBorders>
            <w:vAlign w:val="center"/>
            <w:hideMark/>
          </w:tcPr>
          <w:p w:rsidR="00504CFD" w:rsidRPr="00666F58" w:rsidRDefault="00504CFD" w:rsidP="0044244B">
            <w:pPr>
              <w:jc w:val="center"/>
              <w:rPr>
                <w:b/>
                <w:bCs/>
                <w:color w:val="000000"/>
                <w:sz w:val="22"/>
                <w:szCs w:val="22"/>
              </w:rPr>
            </w:pPr>
            <w:r w:rsidRPr="00666F58">
              <w:rPr>
                <w:b/>
                <w:bCs/>
                <w:color w:val="000000"/>
                <w:sz w:val="22"/>
                <w:szCs w:val="22"/>
              </w:rPr>
              <w:t>předpokládaný dopravní výkon (km/rok)</w:t>
            </w:r>
          </w:p>
        </w:tc>
        <w:tc>
          <w:tcPr>
            <w:tcW w:w="1620" w:type="dxa"/>
            <w:tcBorders>
              <w:top w:val="single" w:sz="8" w:space="0" w:color="auto"/>
              <w:left w:val="nil"/>
              <w:bottom w:val="single" w:sz="8" w:space="0" w:color="auto"/>
              <w:right w:val="single" w:sz="4" w:space="0" w:color="auto"/>
            </w:tcBorders>
            <w:vAlign w:val="center"/>
            <w:hideMark/>
          </w:tcPr>
          <w:p w:rsidR="00504CFD" w:rsidRPr="00666F58" w:rsidRDefault="00504CFD" w:rsidP="0044244B">
            <w:pPr>
              <w:jc w:val="center"/>
              <w:rPr>
                <w:b/>
                <w:bCs/>
                <w:color w:val="000000"/>
                <w:sz w:val="22"/>
                <w:szCs w:val="22"/>
              </w:rPr>
            </w:pPr>
            <w:r w:rsidRPr="00666F58">
              <w:rPr>
                <w:b/>
                <w:bCs/>
                <w:color w:val="000000"/>
                <w:sz w:val="22"/>
                <w:szCs w:val="22"/>
              </w:rPr>
              <w:t>CDV dle stávajících smluv o ZVS (Kč/km)</w:t>
            </w:r>
          </w:p>
        </w:tc>
        <w:tc>
          <w:tcPr>
            <w:tcW w:w="1417" w:type="dxa"/>
            <w:tcBorders>
              <w:top w:val="single" w:sz="8" w:space="0" w:color="auto"/>
              <w:left w:val="nil"/>
              <w:bottom w:val="single" w:sz="8" w:space="0" w:color="auto"/>
              <w:right w:val="single" w:sz="4" w:space="0" w:color="auto"/>
            </w:tcBorders>
            <w:vAlign w:val="center"/>
            <w:hideMark/>
          </w:tcPr>
          <w:p w:rsidR="00504CFD" w:rsidRPr="00666F58" w:rsidRDefault="00504CFD" w:rsidP="0044244B">
            <w:pPr>
              <w:jc w:val="center"/>
              <w:rPr>
                <w:b/>
                <w:bCs/>
                <w:color w:val="000000"/>
                <w:sz w:val="22"/>
                <w:szCs w:val="22"/>
              </w:rPr>
            </w:pPr>
            <w:r w:rsidRPr="00666F58">
              <w:rPr>
                <w:b/>
                <w:bCs/>
                <w:color w:val="000000"/>
                <w:sz w:val="22"/>
                <w:szCs w:val="22"/>
              </w:rPr>
              <w:t>nabídka JŘBU (Kč/km)</w:t>
            </w:r>
          </w:p>
        </w:tc>
        <w:tc>
          <w:tcPr>
            <w:tcW w:w="1559" w:type="dxa"/>
            <w:tcBorders>
              <w:top w:val="single" w:sz="8" w:space="0" w:color="auto"/>
              <w:left w:val="nil"/>
              <w:bottom w:val="single" w:sz="8" w:space="0" w:color="auto"/>
              <w:right w:val="single" w:sz="4" w:space="0" w:color="auto"/>
            </w:tcBorders>
            <w:vAlign w:val="center"/>
            <w:hideMark/>
          </w:tcPr>
          <w:p w:rsidR="00504CFD" w:rsidRPr="00666F58" w:rsidRDefault="00504CFD" w:rsidP="0044244B">
            <w:pPr>
              <w:jc w:val="center"/>
              <w:rPr>
                <w:b/>
                <w:bCs/>
                <w:color w:val="000000"/>
                <w:sz w:val="22"/>
                <w:szCs w:val="22"/>
              </w:rPr>
            </w:pPr>
            <w:r w:rsidRPr="00666F58">
              <w:rPr>
                <w:b/>
                <w:bCs/>
                <w:color w:val="000000"/>
                <w:sz w:val="22"/>
                <w:szCs w:val="22"/>
              </w:rPr>
              <w:t>úspora (Kč/km)</w:t>
            </w:r>
          </w:p>
        </w:tc>
        <w:tc>
          <w:tcPr>
            <w:tcW w:w="1701" w:type="dxa"/>
            <w:tcBorders>
              <w:top w:val="single" w:sz="8" w:space="0" w:color="auto"/>
              <w:left w:val="nil"/>
              <w:bottom w:val="single" w:sz="8" w:space="0" w:color="auto"/>
              <w:right w:val="single" w:sz="8" w:space="0" w:color="auto"/>
            </w:tcBorders>
            <w:vAlign w:val="center"/>
            <w:hideMark/>
          </w:tcPr>
          <w:p w:rsidR="00504CFD" w:rsidRPr="00504CFD" w:rsidRDefault="00504CFD" w:rsidP="0044244B">
            <w:pPr>
              <w:jc w:val="center"/>
              <w:rPr>
                <w:b/>
                <w:bCs/>
                <w:sz w:val="22"/>
                <w:szCs w:val="22"/>
              </w:rPr>
            </w:pPr>
            <w:r w:rsidRPr="00504CFD">
              <w:rPr>
                <w:b/>
                <w:bCs/>
                <w:sz w:val="22"/>
                <w:szCs w:val="22"/>
              </w:rPr>
              <w:t>úspora celkem (Kč/rok)</w:t>
            </w:r>
          </w:p>
        </w:tc>
      </w:tr>
      <w:tr w:rsidR="00504CFD" w:rsidRPr="00504CFD" w:rsidTr="0044244B">
        <w:trPr>
          <w:trHeight w:val="288"/>
        </w:trPr>
        <w:tc>
          <w:tcPr>
            <w:tcW w:w="1118" w:type="dxa"/>
            <w:tcBorders>
              <w:top w:val="nil"/>
              <w:left w:val="single" w:sz="8" w:space="0" w:color="auto"/>
              <w:bottom w:val="single" w:sz="4" w:space="0" w:color="auto"/>
              <w:right w:val="single" w:sz="4" w:space="0" w:color="auto"/>
            </w:tcBorders>
            <w:noWrap/>
            <w:vAlign w:val="bottom"/>
            <w:hideMark/>
          </w:tcPr>
          <w:p w:rsidR="00504CFD" w:rsidRPr="00666F58" w:rsidRDefault="00504CFD" w:rsidP="0044244B">
            <w:pPr>
              <w:rPr>
                <w:b/>
                <w:bCs/>
                <w:color w:val="000000"/>
                <w:sz w:val="22"/>
                <w:szCs w:val="22"/>
              </w:rPr>
            </w:pPr>
            <w:r w:rsidRPr="00666F58">
              <w:rPr>
                <w:b/>
                <w:bCs/>
                <w:color w:val="000000"/>
                <w:sz w:val="22"/>
                <w:szCs w:val="22"/>
              </w:rPr>
              <w:t>Sever</w:t>
            </w:r>
          </w:p>
        </w:tc>
        <w:tc>
          <w:tcPr>
            <w:tcW w:w="1672"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3 502 923</w:t>
            </w:r>
          </w:p>
        </w:tc>
        <w:tc>
          <w:tcPr>
            <w:tcW w:w="1620"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32,00</w:t>
            </w:r>
          </w:p>
        </w:tc>
        <w:tc>
          <w:tcPr>
            <w:tcW w:w="1417"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b/>
                <w:color w:val="000000"/>
                <w:sz w:val="22"/>
                <w:szCs w:val="22"/>
              </w:rPr>
            </w:pPr>
            <w:r w:rsidRPr="00666F58">
              <w:rPr>
                <w:b/>
                <w:color w:val="000000"/>
                <w:sz w:val="22"/>
                <w:szCs w:val="22"/>
              </w:rPr>
              <w:t>29,30</w:t>
            </w:r>
          </w:p>
        </w:tc>
        <w:tc>
          <w:tcPr>
            <w:tcW w:w="1559"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2,70</w:t>
            </w:r>
          </w:p>
        </w:tc>
        <w:tc>
          <w:tcPr>
            <w:tcW w:w="1701" w:type="dxa"/>
            <w:tcBorders>
              <w:top w:val="nil"/>
              <w:left w:val="nil"/>
              <w:bottom w:val="single" w:sz="4" w:space="0" w:color="auto"/>
              <w:right w:val="single" w:sz="8" w:space="0" w:color="auto"/>
            </w:tcBorders>
            <w:noWrap/>
            <w:vAlign w:val="bottom"/>
            <w:hideMark/>
          </w:tcPr>
          <w:p w:rsidR="00504CFD" w:rsidRPr="00504CFD" w:rsidRDefault="00504CFD" w:rsidP="0044244B">
            <w:pPr>
              <w:jc w:val="right"/>
              <w:rPr>
                <w:sz w:val="22"/>
                <w:szCs w:val="22"/>
              </w:rPr>
            </w:pPr>
            <w:r w:rsidRPr="00504CFD">
              <w:rPr>
                <w:sz w:val="22"/>
                <w:szCs w:val="22"/>
              </w:rPr>
              <w:t>9 457 892</w:t>
            </w:r>
          </w:p>
        </w:tc>
      </w:tr>
      <w:tr w:rsidR="00504CFD" w:rsidRPr="00504CFD" w:rsidTr="0044244B">
        <w:trPr>
          <w:trHeight w:val="288"/>
        </w:trPr>
        <w:tc>
          <w:tcPr>
            <w:tcW w:w="1118" w:type="dxa"/>
            <w:tcBorders>
              <w:top w:val="nil"/>
              <w:left w:val="single" w:sz="8" w:space="0" w:color="auto"/>
              <w:bottom w:val="single" w:sz="4" w:space="0" w:color="auto"/>
              <w:right w:val="single" w:sz="4" w:space="0" w:color="auto"/>
            </w:tcBorders>
            <w:noWrap/>
            <w:vAlign w:val="bottom"/>
            <w:hideMark/>
          </w:tcPr>
          <w:p w:rsidR="00504CFD" w:rsidRPr="00FD6113" w:rsidRDefault="00504CFD" w:rsidP="0044244B">
            <w:pPr>
              <w:rPr>
                <w:b/>
                <w:bCs/>
                <w:color w:val="000000"/>
                <w:sz w:val="22"/>
                <w:szCs w:val="22"/>
                <w:highlight w:val="yellow"/>
              </w:rPr>
            </w:pPr>
            <w:r w:rsidRPr="00666F58">
              <w:rPr>
                <w:b/>
                <w:bCs/>
                <w:color w:val="000000"/>
                <w:sz w:val="22"/>
                <w:szCs w:val="22"/>
              </w:rPr>
              <w:t>Východ</w:t>
            </w:r>
          </w:p>
        </w:tc>
        <w:tc>
          <w:tcPr>
            <w:tcW w:w="1672" w:type="dxa"/>
            <w:tcBorders>
              <w:top w:val="nil"/>
              <w:left w:val="nil"/>
              <w:bottom w:val="single" w:sz="4" w:space="0" w:color="auto"/>
              <w:right w:val="single" w:sz="4" w:space="0" w:color="auto"/>
            </w:tcBorders>
            <w:noWrap/>
            <w:vAlign w:val="bottom"/>
            <w:hideMark/>
          </w:tcPr>
          <w:p w:rsidR="00504CFD" w:rsidRPr="00FD6113" w:rsidRDefault="00504CFD" w:rsidP="0044244B">
            <w:pPr>
              <w:jc w:val="right"/>
              <w:rPr>
                <w:color w:val="000000"/>
                <w:sz w:val="22"/>
                <w:szCs w:val="22"/>
                <w:highlight w:val="yellow"/>
              </w:rPr>
            </w:pPr>
            <w:r w:rsidRPr="00666F58">
              <w:rPr>
                <w:color w:val="000000"/>
                <w:sz w:val="22"/>
                <w:szCs w:val="22"/>
              </w:rPr>
              <w:t>5 401 920</w:t>
            </w:r>
          </w:p>
        </w:tc>
        <w:tc>
          <w:tcPr>
            <w:tcW w:w="1620" w:type="dxa"/>
            <w:tcBorders>
              <w:top w:val="nil"/>
              <w:left w:val="nil"/>
              <w:bottom w:val="single" w:sz="4" w:space="0" w:color="auto"/>
              <w:right w:val="single" w:sz="4" w:space="0" w:color="auto"/>
            </w:tcBorders>
            <w:noWrap/>
            <w:vAlign w:val="bottom"/>
            <w:hideMark/>
          </w:tcPr>
          <w:p w:rsidR="00504CFD" w:rsidRPr="00FD6113" w:rsidRDefault="00504CFD" w:rsidP="0044244B">
            <w:pPr>
              <w:jc w:val="right"/>
              <w:rPr>
                <w:color w:val="000000"/>
                <w:sz w:val="22"/>
                <w:szCs w:val="22"/>
                <w:highlight w:val="yellow"/>
              </w:rPr>
            </w:pPr>
            <w:r w:rsidRPr="00666F58">
              <w:rPr>
                <w:color w:val="000000"/>
                <w:sz w:val="22"/>
                <w:szCs w:val="22"/>
              </w:rPr>
              <w:t>32,00</w:t>
            </w:r>
          </w:p>
        </w:tc>
        <w:tc>
          <w:tcPr>
            <w:tcW w:w="1417"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b/>
                <w:color w:val="000000"/>
                <w:sz w:val="22"/>
                <w:szCs w:val="22"/>
              </w:rPr>
            </w:pPr>
            <w:r w:rsidRPr="00666F58">
              <w:rPr>
                <w:b/>
                <w:color w:val="000000"/>
                <w:sz w:val="22"/>
                <w:szCs w:val="22"/>
              </w:rPr>
              <w:t>30,30</w:t>
            </w:r>
          </w:p>
        </w:tc>
        <w:tc>
          <w:tcPr>
            <w:tcW w:w="1559" w:type="dxa"/>
            <w:tcBorders>
              <w:top w:val="nil"/>
              <w:left w:val="nil"/>
              <w:bottom w:val="single" w:sz="4"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1,70</w:t>
            </w:r>
          </w:p>
        </w:tc>
        <w:tc>
          <w:tcPr>
            <w:tcW w:w="1701" w:type="dxa"/>
            <w:tcBorders>
              <w:top w:val="nil"/>
              <w:left w:val="nil"/>
              <w:bottom w:val="single" w:sz="4" w:space="0" w:color="auto"/>
              <w:right w:val="single" w:sz="8" w:space="0" w:color="auto"/>
            </w:tcBorders>
            <w:noWrap/>
            <w:vAlign w:val="bottom"/>
            <w:hideMark/>
          </w:tcPr>
          <w:p w:rsidR="00504CFD" w:rsidRPr="00504CFD" w:rsidRDefault="00504CFD" w:rsidP="0044244B">
            <w:pPr>
              <w:jc w:val="right"/>
              <w:rPr>
                <w:sz w:val="22"/>
                <w:szCs w:val="22"/>
              </w:rPr>
            </w:pPr>
            <w:r w:rsidRPr="00504CFD">
              <w:rPr>
                <w:sz w:val="22"/>
                <w:szCs w:val="22"/>
              </w:rPr>
              <w:t>9 183 264</w:t>
            </w:r>
          </w:p>
        </w:tc>
      </w:tr>
      <w:tr w:rsidR="00504CFD" w:rsidRPr="00504CFD" w:rsidTr="0044244B">
        <w:trPr>
          <w:trHeight w:val="300"/>
        </w:trPr>
        <w:tc>
          <w:tcPr>
            <w:tcW w:w="1118" w:type="dxa"/>
            <w:tcBorders>
              <w:top w:val="nil"/>
              <w:left w:val="single" w:sz="8" w:space="0" w:color="auto"/>
              <w:bottom w:val="single" w:sz="8" w:space="0" w:color="auto"/>
              <w:right w:val="single" w:sz="4" w:space="0" w:color="auto"/>
            </w:tcBorders>
            <w:noWrap/>
            <w:vAlign w:val="bottom"/>
            <w:hideMark/>
          </w:tcPr>
          <w:p w:rsidR="00504CFD" w:rsidRPr="00666F58" w:rsidRDefault="00504CFD" w:rsidP="0044244B">
            <w:pPr>
              <w:rPr>
                <w:b/>
                <w:bCs/>
                <w:color w:val="000000"/>
                <w:sz w:val="22"/>
                <w:szCs w:val="22"/>
              </w:rPr>
            </w:pPr>
            <w:r w:rsidRPr="00666F58">
              <w:rPr>
                <w:b/>
                <w:bCs/>
                <w:color w:val="000000"/>
                <w:sz w:val="22"/>
                <w:szCs w:val="22"/>
              </w:rPr>
              <w:t>Západ</w:t>
            </w:r>
          </w:p>
        </w:tc>
        <w:tc>
          <w:tcPr>
            <w:tcW w:w="1672" w:type="dxa"/>
            <w:tcBorders>
              <w:top w:val="nil"/>
              <w:left w:val="nil"/>
              <w:bottom w:val="single" w:sz="8"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3 299 845</w:t>
            </w:r>
          </w:p>
        </w:tc>
        <w:tc>
          <w:tcPr>
            <w:tcW w:w="1620" w:type="dxa"/>
            <w:tcBorders>
              <w:top w:val="nil"/>
              <w:left w:val="nil"/>
              <w:bottom w:val="single" w:sz="8"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32,00</w:t>
            </w:r>
          </w:p>
        </w:tc>
        <w:tc>
          <w:tcPr>
            <w:tcW w:w="1417" w:type="dxa"/>
            <w:tcBorders>
              <w:top w:val="nil"/>
              <w:left w:val="nil"/>
              <w:bottom w:val="single" w:sz="8" w:space="0" w:color="auto"/>
              <w:right w:val="single" w:sz="4" w:space="0" w:color="auto"/>
            </w:tcBorders>
            <w:noWrap/>
            <w:vAlign w:val="bottom"/>
            <w:hideMark/>
          </w:tcPr>
          <w:p w:rsidR="00504CFD" w:rsidRPr="00666F58" w:rsidRDefault="00504CFD" w:rsidP="0044244B">
            <w:pPr>
              <w:jc w:val="right"/>
              <w:rPr>
                <w:b/>
                <w:color w:val="000000"/>
                <w:sz w:val="22"/>
                <w:szCs w:val="22"/>
              </w:rPr>
            </w:pPr>
            <w:r w:rsidRPr="00666F58">
              <w:rPr>
                <w:b/>
                <w:color w:val="000000"/>
                <w:sz w:val="22"/>
                <w:szCs w:val="22"/>
              </w:rPr>
              <w:t>29,50</w:t>
            </w:r>
          </w:p>
        </w:tc>
        <w:tc>
          <w:tcPr>
            <w:tcW w:w="1559" w:type="dxa"/>
            <w:tcBorders>
              <w:top w:val="nil"/>
              <w:left w:val="nil"/>
              <w:bottom w:val="single" w:sz="8" w:space="0" w:color="auto"/>
              <w:right w:val="single" w:sz="4" w:space="0" w:color="auto"/>
            </w:tcBorders>
            <w:noWrap/>
            <w:vAlign w:val="bottom"/>
            <w:hideMark/>
          </w:tcPr>
          <w:p w:rsidR="00504CFD" w:rsidRPr="00666F58" w:rsidRDefault="00504CFD" w:rsidP="0044244B">
            <w:pPr>
              <w:jc w:val="right"/>
              <w:rPr>
                <w:color w:val="000000"/>
                <w:sz w:val="22"/>
                <w:szCs w:val="22"/>
              </w:rPr>
            </w:pPr>
            <w:r w:rsidRPr="00666F58">
              <w:rPr>
                <w:color w:val="000000"/>
                <w:sz w:val="22"/>
                <w:szCs w:val="22"/>
              </w:rPr>
              <w:t>2,50</w:t>
            </w:r>
          </w:p>
        </w:tc>
        <w:tc>
          <w:tcPr>
            <w:tcW w:w="1701" w:type="dxa"/>
            <w:tcBorders>
              <w:top w:val="nil"/>
              <w:left w:val="nil"/>
              <w:bottom w:val="single" w:sz="8" w:space="0" w:color="auto"/>
              <w:right w:val="single" w:sz="8" w:space="0" w:color="auto"/>
            </w:tcBorders>
            <w:noWrap/>
            <w:vAlign w:val="bottom"/>
            <w:hideMark/>
          </w:tcPr>
          <w:p w:rsidR="00504CFD" w:rsidRPr="00504CFD" w:rsidRDefault="00504CFD" w:rsidP="0044244B">
            <w:pPr>
              <w:jc w:val="right"/>
              <w:rPr>
                <w:sz w:val="22"/>
                <w:szCs w:val="22"/>
              </w:rPr>
            </w:pPr>
            <w:r w:rsidRPr="00504CFD">
              <w:rPr>
                <w:sz w:val="22"/>
                <w:szCs w:val="22"/>
              </w:rPr>
              <w:t>8 249 613</w:t>
            </w:r>
          </w:p>
        </w:tc>
      </w:tr>
      <w:tr w:rsidR="00504CFD" w:rsidRPr="00504CFD" w:rsidTr="0044244B">
        <w:trPr>
          <w:trHeight w:val="300"/>
        </w:trPr>
        <w:tc>
          <w:tcPr>
            <w:tcW w:w="1118" w:type="dxa"/>
            <w:tcBorders>
              <w:top w:val="nil"/>
              <w:left w:val="single" w:sz="8" w:space="0" w:color="auto"/>
              <w:bottom w:val="single" w:sz="8" w:space="0" w:color="auto"/>
              <w:right w:val="single" w:sz="4" w:space="0" w:color="auto"/>
            </w:tcBorders>
            <w:noWrap/>
            <w:vAlign w:val="bottom"/>
            <w:hideMark/>
          </w:tcPr>
          <w:p w:rsidR="00504CFD" w:rsidRPr="00666F58" w:rsidRDefault="00504CFD" w:rsidP="0044244B">
            <w:pPr>
              <w:rPr>
                <w:b/>
                <w:bCs/>
                <w:color w:val="000000"/>
                <w:sz w:val="22"/>
                <w:szCs w:val="22"/>
              </w:rPr>
            </w:pPr>
            <w:r w:rsidRPr="00666F58">
              <w:rPr>
                <w:b/>
                <w:bCs/>
                <w:color w:val="000000"/>
                <w:sz w:val="22"/>
                <w:szCs w:val="22"/>
              </w:rPr>
              <w:t>CELKEM</w:t>
            </w:r>
          </w:p>
        </w:tc>
        <w:tc>
          <w:tcPr>
            <w:tcW w:w="1672" w:type="dxa"/>
            <w:tcBorders>
              <w:top w:val="nil"/>
              <w:left w:val="nil"/>
              <w:bottom w:val="single" w:sz="8" w:space="0" w:color="auto"/>
              <w:right w:val="single" w:sz="4" w:space="0" w:color="auto"/>
            </w:tcBorders>
            <w:noWrap/>
            <w:vAlign w:val="bottom"/>
            <w:hideMark/>
          </w:tcPr>
          <w:p w:rsidR="00504CFD" w:rsidRPr="00666F58" w:rsidRDefault="00504CFD" w:rsidP="0044244B">
            <w:pPr>
              <w:jc w:val="right"/>
              <w:rPr>
                <w:b/>
                <w:bCs/>
                <w:color w:val="000000"/>
                <w:sz w:val="22"/>
                <w:szCs w:val="22"/>
              </w:rPr>
            </w:pPr>
            <w:r w:rsidRPr="00666F58">
              <w:rPr>
                <w:b/>
                <w:bCs/>
                <w:color w:val="000000"/>
                <w:sz w:val="22"/>
                <w:szCs w:val="22"/>
              </w:rPr>
              <w:t>12 204 688</w:t>
            </w:r>
          </w:p>
        </w:tc>
        <w:tc>
          <w:tcPr>
            <w:tcW w:w="4596" w:type="dxa"/>
            <w:gridSpan w:val="3"/>
            <w:tcBorders>
              <w:top w:val="single" w:sz="8" w:space="0" w:color="auto"/>
              <w:left w:val="nil"/>
              <w:bottom w:val="single" w:sz="8" w:space="0" w:color="auto"/>
              <w:right w:val="single" w:sz="4" w:space="0" w:color="000000"/>
            </w:tcBorders>
            <w:noWrap/>
            <w:vAlign w:val="bottom"/>
            <w:hideMark/>
          </w:tcPr>
          <w:p w:rsidR="00504CFD" w:rsidRPr="00666F58" w:rsidRDefault="00504CFD" w:rsidP="0044244B">
            <w:pPr>
              <w:jc w:val="center"/>
              <w:rPr>
                <w:color w:val="000000"/>
                <w:sz w:val="22"/>
                <w:szCs w:val="22"/>
              </w:rPr>
            </w:pPr>
            <w:r w:rsidRPr="00666F58">
              <w:rPr>
                <w:color w:val="000000"/>
                <w:sz w:val="22"/>
                <w:szCs w:val="22"/>
              </w:rPr>
              <w:t> </w:t>
            </w:r>
          </w:p>
        </w:tc>
        <w:tc>
          <w:tcPr>
            <w:tcW w:w="1701" w:type="dxa"/>
            <w:tcBorders>
              <w:top w:val="nil"/>
              <w:left w:val="nil"/>
              <w:bottom w:val="single" w:sz="8" w:space="0" w:color="auto"/>
              <w:right w:val="single" w:sz="8" w:space="0" w:color="auto"/>
            </w:tcBorders>
            <w:noWrap/>
            <w:vAlign w:val="bottom"/>
            <w:hideMark/>
          </w:tcPr>
          <w:p w:rsidR="00504CFD" w:rsidRPr="00504CFD" w:rsidRDefault="00504CFD" w:rsidP="0044244B">
            <w:pPr>
              <w:jc w:val="right"/>
              <w:rPr>
                <w:b/>
                <w:bCs/>
                <w:sz w:val="22"/>
                <w:szCs w:val="22"/>
              </w:rPr>
            </w:pPr>
            <w:r w:rsidRPr="00504CFD">
              <w:rPr>
                <w:b/>
                <w:bCs/>
                <w:sz w:val="22"/>
                <w:szCs w:val="22"/>
              </w:rPr>
              <w:t>26 890 769</w:t>
            </w:r>
          </w:p>
        </w:tc>
      </w:tr>
    </w:tbl>
    <w:p w:rsidR="00504CFD" w:rsidRPr="00666F58" w:rsidRDefault="00504CFD" w:rsidP="00504CFD">
      <w:pPr>
        <w:autoSpaceDE w:val="0"/>
        <w:autoSpaceDN w:val="0"/>
        <w:adjustRightInd w:val="0"/>
        <w:spacing w:after="120"/>
        <w:rPr>
          <w:u w:val="single"/>
        </w:rPr>
      </w:pPr>
      <w:r w:rsidRPr="00666F58">
        <w:rPr>
          <w:u w:val="single"/>
        </w:rPr>
        <w:lastRenderedPageBreak/>
        <w:t>Srovnání průměrné výše ceny dopravního výkonu (CDV) v krajích České republiky pro rok 2013</w:t>
      </w:r>
    </w:p>
    <w:p w:rsidR="00504CFD" w:rsidRPr="00666F58" w:rsidRDefault="00504CFD" w:rsidP="00504CFD">
      <w:pPr>
        <w:autoSpaceDE w:val="0"/>
        <w:autoSpaceDN w:val="0"/>
        <w:adjustRightInd w:val="0"/>
        <w:jc w:val="both"/>
      </w:pPr>
      <w:r w:rsidRPr="00666F58">
        <w:t xml:space="preserve">Porovnání výše CDV v předmětných oblastech Libereckého kraje s hodnotami průměrných CDV v jednotlivých krajích České republiky je řadí do levnější poloviny. Výše CDV v oblasti Sever a Západ patří mezi 3. a 4. nejnižší CDV ze 13 krajů (Prahu nelze srovnávat), čili mezi hodnotu jakou udává za rok 2013 Pardubický kraj (cca 29 Kč/km) a Středočeský kraj (30,27 Kč/km). Výše CDV pro oblast Východ je mezi 4. a 5. nejnižší ze 13 krajů, čili mezi CDV jakou pro rok 2013 udává Kraj Středočeský (30,27 Kč) a Kraj Vysočina (30,36 Kč/km). Nejnižší průměrné CDV v České republice uvádí Královéhradecký kraj (26,95 Kč/km) a Jihomoravský kraj (27,41 Kč/km), naopak nejvyšší CDV uvádí Plzeňský kraj (přes 36 Kč/km). </w:t>
      </w:r>
    </w:p>
    <w:p w:rsidR="00504CFD" w:rsidRPr="00FD6113" w:rsidRDefault="00504CFD" w:rsidP="00504CFD">
      <w:pPr>
        <w:autoSpaceDE w:val="0"/>
        <w:autoSpaceDN w:val="0"/>
        <w:adjustRightInd w:val="0"/>
        <w:jc w:val="both"/>
        <w:rPr>
          <w:sz w:val="8"/>
          <w:szCs w:val="8"/>
          <w:highlight w:val="yellow"/>
        </w:rPr>
      </w:pPr>
    </w:p>
    <w:p w:rsidR="00504CFD" w:rsidRPr="00666F58" w:rsidRDefault="00504CFD" w:rsidP="00504CFD">
      <w:pPr>
        <w:autoSpaceDE w:val="0"/>
        <w:autoSpaceDN w:val="0"/>
        <w:adjustRightInd w:val="0"/>
        <w:jc w:val="both"/>
      </w:pPr>
      <w:r w:rsidRPr="00666F58">
        <w:t>Tabulka: Srovnání průměrné výše CDV v krajích České republiky pro rok 2013</w:t>
      </w:r>
    </w:p>
    <w:p w:rsidR="00504CFD" w:rsidRPr="00666F58" w:rsidRDefault="00504CFD" w:rsidP="00504CFD">
      <w:pPr>
        <w:autoSpaceDE w:val="0"/>
        <w:autoSpaceDN w:val="0"/>
        <w:adjustRightInd w:val="0"/>
        <w:jc w:val="both"/>
        <w:rPr>
          <w:sz w:val="8"/>
          <w:szCs w:val="8"/>
        </w:rPr>
      </w:pPr>
    </w:p>
    <w:tbl>
      <w:tblPr>
        <w:tblW w:w="8898" w:type="dxa"/>
        <w:jc w:val="center"/>
        <w:tblInd w:w="-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3011"/>
        <w:gridCol w:w="1721"/>
        <w:gridCol w:w="1876"/>
        <w:gridCol w:w="1809"/>
      </w:tblGrid>
      <w:tr w:rsidR="00504CFD" w:rsidRPr="00666F58" w:rsidTr="0044244B">
        <w:trPr>
          <w:trHeight w:val="300"/>
          <w:jc w:val="center"/>
        </w:trPr>
        <w:tc>
          <w:tcPr>
            <w:tcW w:w="3492" w:type="dxa"/>
            <w:gridSpan w:val="2"/>
            <w:vMerge w:val="restart"/>
            <w:noWrap/>
            <w:vAlign w:val="bottom"/>
            <w:hideMark/>
          </w:tcPr>
          <w:p w:rsidR="00504CFD" w:rsidRPr="00666F58" w:rsidRDefault="00504CFD" w:rsidP="0044244B">
            <w:pPr>
              <w:jc w:val="center"/>
              <w:rPr>
                <w:sz w:val="20"/>
                <w:szCs w:val="20"/>
              </w:rPr>
            </w:pPr>
            <w:r w:rsidRPr="00666F58">
              <w:rPr>
                <w:b/>
                <w:color w:val="000000"/>
                <w:sz w:val="22"/>
                <w:szCs w:val="22"/>
              </w:rPr>
              <w:t>Kraj</w:t>
            </w:r>
          </w:p>
        </w:tc>
        <w:tc>
          <w:tcPr>
            <w:tcW w:w="1721" w:type="dxa"/>
            <w:noWrap/>
            <w:vAlign w:val="bottom"/>
            <w:hideMark/>
          </w:tcPr>
          <w:p w:rsidR="00504CFD" w:rsidRPr="00666F58" w:rsidRDefault="00504CFD" w:rsidP="0044244B">
            <w:pPr>
              <w:jc w:val="center"/>
              <w:rPr>
                <w:b/>
                <w:color w:val="000000"/>
                <w:sz w:val="22"/>
                <w:szCs w:val="22"/>
              </w:rPr>
            </w:pPr>
            <w:r w:rsidRPr="00666F58">
              <w:rPr>
                <w:b/>
                <w:color w:val="000000"/>
                <w:sz w:val="22"/>
                <w:szCs w:val="22"/>
              </w:rPr>
              <w:t>CDV</w:t>
            </w:r>
          </w:p>
        </w:tc>
        <w:tc>
          <w:tcPr>
            <w:tcW w:w="1876" w:type="dxa"/>
            <w:noWrap/>
            <w:vAlign w:val="bottom"/>
            <w:hideMark/>
          </w:tcPr>
          <w:p w:rsidR="00504CFD" w:rsidRPr="00666F58" w:rsidRDefault="00504CFD" w:rsidP="0044244B">
            <w:pPr>
              <w:jc w:val="center"/>
              <w:rPr>
                <w:b/>
                <w:color w:val="000000"/>
                <w:sz w:val="22"/>
                <w:szCs w:val="22"/>
              </w:rPr>
            </w:pPr>
            <w:r w:rsidRPr="00666F58">
              <w:rPr>
                <w:b/>
                <w:color w:val="000000"/>
                <w:sz w:val="22"/>
                <w:szCs w:val="22"/>
              </w:rPr>
              <w:t>Tržby</w:t>
            </w:r>
          </w:p>
        </w:tc>
        <w:tc>
          <w:tcPr>
            <w:tcW w:w="1809" w:type="dxa"/>
            <w:noWrap/>
            <w:vAlign w:val="bottom"/>
            <w:hideMark/>
          </w:tcPr>
          <w:p w:rsidR="00504CFD" w:rsidRPr="00666F58" w:rsidRDefault="00504CFD" w:rsidP="0044244B">
            <w:pPr>
              <w:jc w:val="center"/>
              <w:rPr>
                <w:b/>
                <w:color w:val="000000"/>
                <w:sz w:val="22"/>
                <w:szCs w:val="22"/>
              </w:rPr>
            </w:pPr>
            <w:r w:rsidRPr="00666F58">
              <w:rPr>
                <w:b/>
                <w:color w:val="000000"/>
                <w:sz w:val="22"/>
                <w:szCs w:val="22"/>
              </w:rPr>
              <w:t>Kompenzace*</w:t>
            </w:r>
          </w:p>
        </w:tc>
      </w:tr>
      <w:tr w:rsidR="00504CFD" w:rsidRPr="00666F58" w:rsidTr="0044244B">
        <w:trPr>
          <w:trHeight w:val="315"/>
          <w:jc w:val="center"/>
        </w:trPr>
        <w:tc>
          <w:tcPr>
            <w:tcW w:w="3492" w:type="dxa"/>
            <w:gridSpan w:val="2"/>
            <w:vMerge/>
            <w:noWrap/>
            <w:vAlign w:val="bottom"/>
            <w:hideMark/>
          </w:tcPr>
          <w:p w:rsidR="00504CFD" w:rsidRPr="00666F58" w:rsidRDefault="00504CFD" w:rsidP="0044244B">
            <w:pPr>
              <w:rPr>
                <w:b/>
                <w:color w:val="000000"/>
                <w:sz w:val="22"/>
                <w:szCs w:val="22"/>
              </w:rPr>
            </w:pPr>
          </w:p>
        </w:tc>
        <w:tc>
          <w:tcPr>
            <w:tcW w:w="1721" w:type="dxa"/>
            <w:noWrap/>
            <w:vAlign w:val="bottom"/>
            <w:hideMark/>
          </w:tcPr>
          <w:p w:rsidR="00504CFD" w:rsidRPr="00666F58" w:rsidRDefault="00504CFD" w:rsidP="0044244B">
            <w:pPr>
              <w:jc w:val="center"/>
              <w:rPr>
                <w:color w:val="000000"/>
                <w:sz w:val="22"/>
                <w:szCs w:val="22"/>
              </w:rPr>
            </w:pPr>
            <w:r w:rsidRPr="00666F58">
              <w:rPr>
                <w:color w:val="000000"/>
                <w:sz w:val="22"/>
                <w:szCs w:val="22"/>
              </w:rPr>
              <w:t>(Kč/km)</w:t>
            </w:r>
          </w:p>
        </w:tc>
        <w:tc>
          <w:tcPr>
            <w:tcW w:w="1876" w:type="dxa"/>
            <w:noWrap/>
            <w:vAlign w:val="bottom"/>
            <w:hideMark/>
          </w:tcPr>
          <w:p w:rsidR="00504CFD" w:rsidRPr="00666F58" w:rsidRDefault="00504CFD" w:rsidP="0044244B">
            <w:pPr>
              <w:jc w:val="center"/>
              <w:rPr>
                <w:color w:val="000000"/>
                <w:sz w:val="22"/>
                <w:szCs w:val="22"/>
              </w:rPr>
            </w:pPr>
            <w:r w:rsidRPr="00666F58">
              <w:rPr>
                <w:color w:val="000000"/>
                <w:sz w:val="22"/>
                <w:szCs w:val="22"/>
              </w:rPr>
              <w:t>(Kč/km)</w:t>
            </w:r>
          </w:p>
        </w:tc>
        <w:tc>
          <w:tcPr>
            <w:tcW w:w="1809" w:type="dxa"/>
            <w:noWrap/>
            <w:vAlign w:val="bottom"/>
            <w:hideMark/>
          </w:tcPr>
          <w:p w:rsidR="00504CFD" w:rsidRPr="00666F58" w:rsidRDefault="00504CFD" w:rsidP="0044244B">
            <w:pPr>
              <w:jc w:val="center"/>
              <w:rPr>
                <w:color w:val="000000"/>
                <w:sz w:val="22"/>
                <w:szCs w:val="22"/>
              </w:rPr>
            </w:pPr>
            <w:r w:rsidRPr="00666F58">
              <w:rPr>
                <w:color w:val="000000"/>
                <w:sz w:val="22"/>
                <w:szCs w:val="22"/>
              </w:rPr>
              <w:t>(Kč/km)</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Královéhradecký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26,95</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10,67</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16,28</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2</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Jihomoravský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27,41</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13,65</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13,76</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3</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Pardubický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29,00</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10,57</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18,43</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4</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Středočeský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30,27</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15,41</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14,85</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5</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Vysočina</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30,36</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10,91</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17,57</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6</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Liberecký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31,79</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12,70</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19,09</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7</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Olomoucký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33,00</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13,00</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21,21</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8</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Jihočeský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33,70</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12,45</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21,25</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9</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Zlínský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33,70</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17,00</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14,53</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10</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Karlovarský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34,31</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13,32</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21,21</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11</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Moravskoslezský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34,71</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16,02</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17,85</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12</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Ústecký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36,00</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10,00</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26,00</w:t>
            </w:r>
          </w:p>
        </w:tc>
      </w:tr>
      <w:tr w:rsidR="00504CFD" w:rsidRPr="00666F58" w:rsidTr="0044244B">
        <w:trPr>
          <w:trHeight w:val="300"/>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13</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Plzeňský</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36,43</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9,45</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26,97</w:t>
            </w:r>
          </w:p>
        </w:tc>
      </w:tr>
      <w:tr w:rsidR="00504CFD" w:rsidRPr="00666F58" w:rsidTr="0044244B">
        <w:trPr>
          <w:trHeight w:val="315"/>
          <w:jc w:val="center"/>
        </w:trPr>
        <w:tc>
          <w:tcPr>
            <w:tcW w:w="481" w:type="dxa"/>
            <w:noWrap/>
            <w:vAlign w:val="bottom"/>
            <w:hideMark/>
          </w:tcPr>
          <w:p w:rsidR="00504CFD" w:rsidRPr="00666F58" w:rsidRDefault="00504CFD" w:rsidP="0044244B">
            <w:pPr>
              <w:jc w:val="right"/>
              <w:rPr>
                <w:color w:val="000000"/>
                <w:sz w:val="22"/>
                <w:szCs w:val="22"/>
              </w:rPr>
            </w:pPr>
            <w:r w:rsidRPr="00666F58">
              <w:rPr>
                <w:color w:val="000000"/>
                <w:sz w:val="22"/>
                <w:szCs w:val="22"/>
              </w:rPr>
              <w:t>14</w:t>
            </w:r>
          </w:p>
        </w:tc>
        <w:tc>
          <w:tcPr>
            <w:tcW w:w="3011" w:type="dxa"/>
            <w:noWrap/>
            <w:vAlign w:val="bottom"/>
            <w:hideMark/>
          </w:tcPr>
          <w:p w:rsidR="00504CFD" w:rsidRPr="00666F58" w:rsidRDefault="00504CFD" w:rsidP="0044244B">
            <w:pPr>
              <w:rPr>
                <w:b/>
                <w:bCs/>
                <w:color w:val="000000"/>
                <w:sz w:val="22"/>
                <w:szCs w:val="22"/>
              </w:rPr>
            </w:pPr>
            <w:r w:rsidRPr="00666F58">
              <w:rPr>
                <w:b/>
                <w:bCs/>
                <w:color w:val="000000"/>
                <w:sz w:val="22"/>
                <w:szCs w:val="22"/>
              </w:rPr>
              <w:t>Praha</w:t>
            </w:r>
          </w:p>
        </w:tc>
        <w:tc>
          <w:tcPr>
            <w:tcW w:w="1721" w:type="dxa"/>
            <w:noWrap/>
            <w:vAlign w:val="bottom"/>
            <w:hideMark/>
          </w:tcPr>
          <w:p w:rsidR="00504CFD" w:rsidRPr="00666F58" w:rsidRDefault="00504CFD" w:rsidP="0044244B">
            <w:pPr>
              <w:jc w:val="right"/>
              <w:rPr>
                <w:color w:val="000000"/>
                <w:sz w:val="22"/>
                <w:szCs w:val="22"/>
              </w:rPr>
            </w:pPr>
            <w:r w:rsidRPr="00666F58">
              <w:rPr>
                <w:color w:val="000000"/>
                <w:sz w:val="22"/>
                <w:szCs w:val="22"/>
              </w:rPr>
              <w:t>-</w:t>
            </w:r>
          </w:p>
        </w:tc>
        <w:tc>
          <w:tcPr>
            <w:tcW w:w="1876" w:type="dxa"/>
            <w:noWrap/>
            <w:vAlign w:val="bottom"/>
            <w:hideMark/>
          </w:tcPr>
          <w:p w:rsidR="00504CFD" w:rsidRPr="00666F58" w:rsidRDefault="00504CFD" w:rsidP="0044244B">
            <w:pPr>
              <w:jc w:val="right"/>
              <w:rPr>
                <w:color w:val="000000"/>
                <w:sz w:val="22"/>
                <w:szCs w:val="22"/>
              </w:rPr>
            </w:pPr>
            <w:r w:rsidRPr="00666F58">
              <w:rPr>
                <w:color w:val="000000"/>
                <w:sz w:val="22"/>
                <w:szCs w:val="22"/>
              </w:rPr>
              <w:t>-</w:t>
            </w:r>
          </w:p>
        </w:tc>
        <w:tc>
          <w:tcPr>
            <w:tcW w:w="1809" w:type="dxa"/>
            <w:noWrap/>
            <w:vAlign w:val="bottom"/>
            <w:hideMark/>
          </w:tcPr>
          <w:p w:rsidR="00504CFD" w:rsidRPr="00666F58" w:rsidRDefault="00504CFD" w:rsidP="0044244B">
            <w:pPr>
              <w:jc w:val="right"/>
              <w:rPr>
                <w:color w:val="000000"/>
                <w:sz w:val="22"/>
                <w:szCs w:val="22"/>
              </w:rPr>
            </w:pPr>
            <w:r w:rsidRPr="00666F58">
              <w:rPr>
                <w:color w:val="000000"/>
                <w:sz w:val="22"/>
                <w:szCs w:val="22"/>
              </w:rPr>
              <w:t>-</w:t>
            </w:r>
          </w:p>
        </w:tc>
      </w:tr>
    </w:tbl>
    <w:p w:rsidR="00504CFD" w:rsidRPr="00FD6113" w:rsidRDefault="00504CFD" w:rsidP="00504CFD">
      <w:pPr>
        <w:autoSpaceDE w:val="0"/>
        <w:autoSpaceDN w:val="0"/>
        <w:adjustRightInd w:val="0"/>
        <w:jc w:val="both"/>
        <w:rPr>
          <w:sz w:val="8"/>
          <w:szCs w:val="8"/>
          <w:highlight w:val="yellow"/>
        </w:rPr>
      </w:pPr>
    </w:p>
    <w:p w:rsidR="00504CFD" w:rsidRPr="00666F58" w:rsidRDefault="00504CFD" w:rsidP="00504CFD">
      <w:pPr>
        <w:autoSpaceDE w:val="0"/>
        <w:autoSpaceDN w:val="0"/>
        <w:adjustRightInd w:val="0"/>
        <w:jc w:val="both"/>
        <w:rPr>
          <w:sz w:val="20"/>
          <w:szCs w:val="20"/>
        </w:rPr>
      </w:pPr>
      <w:r w:rsidRPr="00666F58">
        <w:rPr>
          <w:sz w:val="20"/>
          <w:szCs w:val="20"/>
        </w:rPr>
        <w:t>Zpracoval: KORID LK, spol. s r.o. a odbor dopravy KÚLK na základě údajů od jednotlivých krajských úřadů</w:t>
      </w:r>
    </w:p>
    <w:p w:rsidR="00504CFD" w:rsidRPr="00FD6113" w:rsidRDefault="00504CFD" w:rsidP="00504CFD">
      <w:pPr>
        <w:autoSpaceDE w:val="0"/>
        <w:autoSpaceDN w:val="0"/>
        <w:adjustRightInd w:val="0"/>
        <w:jc w:val="both"/>
        <w:rPr>
          <w:i/>
          <w:sz w:val="8"/>
          <w:szCs w:val="8"/>
          <w:highlight w:val="yellow"/>
          <w:u w:val="single"/>
        </w:rPr>
      </w:pPr>
    </w:p>
    <w:p w:rsidR="00504CFD" w:rsidRPr="00666F58" w:rsidRDefault="00504CFD" w:rsidP="00504CFD">
      <w:pPr>
        <w:autoSpaceDE w:val="0"/>
        <w:autoSpaceDN w:val="0"/>
        <w:adjustRightInd w:val="0"/>
        <w:jc w:val="both"/>
        <w:rPr>
          <w:i/>
          <w:sz w:val="20"/>
          <w:szCs w:val="20"/>
        </w:rPr>
      </w:pPr>
      <w:r w:rsidRPr="00666F58">
        <w:rPr>
          <w:i/>
          <w:sz w:val="20"/>
          <w:szCs w:val="20"/>
          <w:u w:val="single"/>
        </w:rPr>
        <w:t>Poznámka:</w:t>
      </w:r>
      <w:r w:rsidRPr="00666F58">
        <w:rPr>
          <w:i/>
          <w:sz w:val="20"/>
          <w:szCs w:val="20"/>
        </w:rPr>
        <w:t xml:space="preserve"> Do výpočtu průměrné CDV v Libereckém kraji byli zahrnuti všichni dopravci, kteří zajišťují výkony v závazku veřejné služby, tedy i dopravci OSNADO spol. s.r.o., Okresní autobusová doprava Kolín, s.r.o.; KAD, spol. s r.o. Krkonošská automobilová doprava Vrchlabí; TRANSCENTRUM bus s.r.o. a COMPAG CZ s.r.o. a dále výkony se sníženou smluvní cenou dopravního výkonu zajištěné nízkokapacitním vozidlem </w:t>
      </w:r>
    </w:p>
    <w:p w:rsidR="00504CFD" w:rsidRPr="00666F58" w:rsidRDefault="00504CFD" w:rsidP="00504CFD">
      <w:pPr>
        <w:autoSpaceDE w:val="0"/>
        <w:autoSpaceDN w:val="0"/>
        <w:adjustRightInd w:val="0"/>
        <w:jc w:val="both"/>
      </w:pPr>
    </w:p>
    <w:p w:rsidR="00504CFD" w:rsidRPr="00666F58" w:rsidRDefault="00504CFD" w:rsidP="00504CFD">
      <w:pPr>
        <w:autoSpaceDE w:val="0"/>
        <w:autoSpaceDN w:val="0"/>
        <w:adjustRightInd w:val="0"/>
        <w:spacing w:after="120"/>
        <w:jc w:val="both"/>
      </w:pPr>
      <w:r w:rsidRPr="00666F58">
        <w:t>Údaje uvedené v této tabulce je nutné brát jako orientační, protože konkrétní podmínky smluvního zajištění příměstské autobusové dopravy jsou v jednotlivých krajích odlišné. Nejvíce výkonů příměstské autobusové dopravy zajištěných na základě úspěšných výběrových řízení mají kraje Jihomoravský a Ústecký. Ostatní kraje zatím zajišťují dopravní obslužnost podle „starých“ smluv o závazku veřejné služby.</w:t>
      </w:r>
    </w:p>
    <w:p w:rsidR="00504CFD" w:rsidRPr="00666F58" w:rsidRDefault="00504CFD" w:rsidP="00504CFD">
      <w:pPr>
        <w:autoSpaceDE w:val="0"/>
        <w:autoSpaceDN w:val="0"/>
        <w:adjustRightInd w:val="0"/>
        <w:jc w:val="both"/>
      </w:pPr>
      <w:r w:rsidRPr="00666F58">
        <w:t>Ve výše uvedeném srovnání se liší také průměrná výše tržeb na km, kdy výsledná kompenzace vychází velmi příznivě pro Zlínský kraj, který má až 9. nejnižší CDV.</w:t>
      </w:r>
    </w:p>
    <w:p w:rsidR="00504CFD" w:rsidRPr="00666F58" w:rsidRDefault="00504CFD" w:rsidP="00504CFD">
      <w:pPr>
        <w:autoSpaceDE w:val="0"/>
        <w:autoSpaceDN w:val="0"/>
        <w:adjustRightInd w:val="0"/>
        <w:jc w:val="both"/>
      </w:pPr>
      <w:r w:rsidRPr="00666F58">
        <w:t>Hodnoty odhadu průměrné výše CDV v jednotlivých krajích pro rok 2014 odpovídají hodnotám CDV pro rok 2013, nejsou však kompletní, proto jsou zde uvedeny hodnoty roku 2013. Největší změnu plánuje od 1. 1. 2015 Ústecký kraj, který díky dalším proběhlým výběrovým řízením sníží odhadovanou průměrnou výši CDV pro celý kraj na 26,98 Kč/km a posune se tím mezi kraje s nejnižší CDV.</w:t>
      </w:r>
    </w:p>
    <w:p w:rsidR="00504CFD" w:rsidRDefault="00504CFD" w:rsidP="00504CFD">
      <w:pPr>
        <w:spacing w:after="60"/>
        <w:jc w:val="both"/>
      </w:pPr>
    </w:p>
    <w:sectPr w:rsidR="00504C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EA" w:rsidRDefault="001D5CEA" w:rsidP="00DE6346">
      <w:r>
        <w:separator/>
      </w:r>
    </w:p>
  </w:endnote>
  <w:endnote w:type="continuationSeparator" w:id="0">
    <w:p w:rsidR="001D5CEA" w:rsidRDefault="001D5CEA" w:rsidP="00D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EA" w:rsidRDefault="001D5CEA" w:rsidP="00DE6346">
      <w:r>
        <w:separator/>
      </w:r>
    </w:p>
  </w:footnote>
  <w:footnote w:type="continuationSeparator" w:id="0">
    <w:p w:rsidR="001D5CEA" w:rsidRDefault="001D5CEA" w:rsidP="00DE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13" w:rsidRDefault="00DE6346">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83E"/>
    <w:multiLevelType w:val="hybridMultilevel"/>
    <w:tmpl w:val="F8CEA9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6250E8C"/>
    <w:multiLevelType w:val="hybridMultilevel"/>
    <w:tmpl w:val="8B5CC69A"/>
    <w:lvl w:ilvl="0" w:tplc="04050001">
      <w:start w:val="1"/>
      <w:numFmt w:val="bullet"/>
      <w:lvlText w:val=""/>
      <w:lvlJc w:val="left"/>
      <w:pPr>
        <w:ind w:left="4608" w:hanging="360"/>
      </w:pPr>
      <w:rPr>
        <w:rFonts w:ascii="Symbol" w:hAnsi="Symbol" w:hint="default"/>
      </w:rPr>
    </w:lvl>
    <w:lvl w:ilvl="1" w:tplc="04050001">
      <w:start w:val="1"/>
      <w:numFmt w:val="bullet"/>
      <w:lvlText w:val=""/>
      <w:lvlJc w:val="left"/>
      <w:pPr>
        <w:ind w:left="5328" w:hanging="360"/>
      </w:pPr>
      <w:rPr>
        <w:rFonts w:ascii="Symbol" w:hAnsi="Symbol"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2">
    <w:nsid w:val="28A91DDF"/>
    <w:multiLevelType w:val="hybridMultilevel"/>
    <w:tmpl w:val="F7B0AC4C"/>
    <w:lvl w:ilvl="0" w:tplc="1DE8C01A">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5F2A2980">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99738A1"/>
    <w:multiLevelType w:val="hybridMultilevel"/>
    <w:tmpl w:val="832A443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30AC6C6F"/>
    <w:multiLevelType w:val="hybridMultilevel"/>
    <w:tmpl w:val="A8A8DCEC"/>
    <w:lvl w:ilvl="0" w:tplc="8EC482DC">
      <w:start w:val="1"/>
      <w:numFmt w:val="lowerLetter"/>
      <w:lvlText w:val="%1)"/>
      <w:lvlJc w:val="left"/>
      <w:pPr>
        <w:ind w:left="720" w:hanging="360"/>
      </w:pPr>
      <w:rPr>
        <w:rFonts w:cs="Times New Roman"/>
        <w:b w:val="0"/>
      </w:rPr>
    </w:lvl>
    <w:lvl w:ilvl="1" w:tplc="04A8FD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12064A0"/>
    <w:multiLevelType w:val="hybridMultilevel"/>
    <w:tmpl w:val="5F9A28F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AD65307"/>
    <w:multiLevelType w:val="hybridMultilevel"/>
    <w:tmpl w:val="0F4E9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43E10D1"/>
    <w:multiLevelType w:val="hybridMultilevel"/>
    <w:tmpl w:val="0AC2F428"/>
    <w:lvl w:ilvl="0" w:tplc="2C84491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8D8211A"/>
    <w:multiLevelType w:val="hybridMultilevel"/>
    <w:tmpl w:val="BE3A5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B9A540E"/>
    <w:multiLevelType w:val="hybridMultilevel"/>
    <w:tmpl w:val="4E661F4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74721486"/>
    <w:multiLevelType w:val="hybridMultilevel"/>
    <w:tmpl w:val="DE329EBC"/>
    <w:lvl w:ilvl="0" w:tplc="04050017">
      <w:start w:val="1"/>
      <w:numFmt w:val="lowerLetter"/>
      <w:lvlText w:val="%1)"/>
      <w:lvlJc w:val="left"/>
      <w:pPr>
        <w:ind w:left="720" w:hanging="360"/>
      </w:pPr>
      <w:rPr>
        <w:rFonts w:cs="Times New Roman"/>
      </w:rPr>
    </w:lvl>
    <w:lvl w:ilvl="1" w:tplc="279279AC">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10"/>
  </w:num>
  <w:num w:numId="5">
    <w:abstractNumId w:val="0"/>
  </w:num>
  <w:num w:numId="6">
    <w:abstractNumId w:val="6"/>
  </w:num>
  <w:num w:numId="7">
    <w:abstractNumId w:val="3"/>
  </w:num>
  <w:num w:numId="8">
    <w:abstractNumId w:val="1"/>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CD"/>
    <w:rsid w:val="001D5CEA"/>
    <w:rsid w:val="00495BE6"/>
    <w:rsid w:val="00504CFD"/>
    <w:rsid w:val="007D5DCD"/>
    <w:rsid w:val="00920798"/>
    <w:rsid w:val="00BB2CBC"/>
    <w:rsid w:val="00CF6843"/>
    <w:rsid w:val="00DC4A88"/>
    <w:rsid w:val="00DE6346"/>
    <w:rsid w:val="00F000DE"/>
    <w:rsid w:val="00F27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000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 w:type="paragraph" w:styleId="Zkladntext">
    <w:name w:val="Body Text"/>
    <w:basedOn w:val="Normln"/>
    <w:link w:val="ZkladntextChar"/>
    <w:rsid w:val="00F000DE"/>
    <w:pPr>
      <w:spacing w:after="120"/>
    </w:pPr>
  </w:style>
  <w:style w:type="character" w:customStyle="1" w:styleId="ZkladntextChar">
    <w:name w:val="Základní text Char"/>
    <w:basedOn w:val="Standardnpsmoodstavce"/>
    <w:link w:val="Zkladntext"/>
    <w:rsid w:val="00F000DE"/>
    <w:rPr>
      <w:rFonts w:ascii="Times New Roman" w:eastAsia="Times New Roman" w:hAnsi="Times New Roman" w:cs="Times New Roman"/>
      <w:sz w:val="24"/>
      <w:szCs w:val="24"/>
      <w:lang w:eastAsia="cs-CZ"/>
    </w:rPr>
  </w:style>
  <w:style w:type="character" w:styleId="Hypertextovodkaz">
    <w:name w:val="Hyperlink"/>
    <w:uiPriority w:val="99"/>
    <w:rsid w:val="00F000DE"/>
    <w:rPr>
      <w:rFonts w:cs="Times New Roman"/>
      <w:color w:val="0000FF"/>
      <w:u w:val="single"/>
    </w:rPr>
  </w:style>
  <w:style w:type="character" w:customStyle="1" w:styleId="Nadpis1Char">
    <w:name w:val="Nadpis 1 Char"/>
    <w:basedOn w:val="Standardnpsmoodstavce"/>
    <w:link w:val="Nadpis1"/>
    <w:uiPriority w:val="9"/>
    <w:rsid w:val="00F000D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99"/>
    <w:qFormat/>
    <w:rsid w:val="00F000DE"/>
    <w:pPr>
      <w:spacing w:line="276" w:lineRule="auto"/>
      <w:outlineLvl w:val="9"/>
    </w:pPr>
    <w:rPr>
      <w:rFonts w:ascii="Cambria" w:eastAsia="Times New Roman" w:hAnsi="Cambria" w:cs="Times New Roman"/>
      <w:color w:val="365F91"/>
      <w:lang w:eastAsia="en-US"/>
    </w:rPr>
  </w:style>
  <w:style w:type="paragraph" w:styleId="Textbubliny">
    <w:name w:val="Balloon Text"/>
    <w:basedOn w:val="Normln"/>
    <w:link w:val="TextbublinyChar"/>
    <w:uiPriority w:val="99"/>
    <w:semiHidden/>
    <w:unhideWhenUsed/>
    <w:rsid w:val="00495BE6"/>
    <w:rPr>
      <w:rFonts w:ascii="Tahoma" w:hAnsi="Tahoma" w:cs="Tahoma"/>
      <w:sz w:val="16"/>
      <w:szCs w:val="16"/>
    </w:rPr>
  </w:style>
  <w:style w:type="character" w:customStyle="1" w:styleId="TextbublinyChar">
    <w:name w:val="Text bubliny Char"/>
    <w:basedOn w:val="Standardnpsmoodstavce"/>
    <w:link w:val="Textbubliny"/>
    <w:uiPriority w:val="99"/>
    <w:semiHidden/>
    <w:rsid w:val="00495BE6"/>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000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 w:type="paragraph" w:styleId="Zkladntext">
    <w:name w:val="Body Text"/>
    <w:basedOn w:val="Normln"/>
    <w:link w:val="ZkladntextChar"/>
    <w:rsid w:val="00F000DE"/>
    <w:pPr>
      <w:spacing w:after="120"/>
    </w:pPr>
  </w:style>
  <w:style w:type="character" w:customStyle="1" w:styleId="ZkladntextChar">
    <w:name w:val="Základní text Char"/>
    <w:basedOn w:val="Standardnpsmoodstavce"/>
    <w:link w:val="Zkladntext"/>
    <w:rsid w:val="00F000DE"/>
    <w:rPr>
      <w:rFonts w:ascii="Times New Roman" w:eastAsia="Times New Roman" w:hAnsi="Times New Roman" w:cs="Times New Roman"/>
      <w:sz w:val="24"/>
      <w:szCs w:val="24"/>
      <w:lang w:eastAsia="cs-CZ"/>
    </w:rPr>
  </w:style>
  <w:style w:type="character" w:styleId="Hypertextovodkaz">
    <w:name w:val="Hyperlink"/>
    <w:uiPriority w:val="99"/>
    <w:rsid w:val="00F000DE"/>
    <w:rPr>
      <w:rFonts w:cs="Times New Roman"/>
      <w:color w:val="0000FF"/>
      <w:u w:val="single"/>
    </w:rPr>
  </w:style>
  <w:style w:type="character" w:customStyle="1" w:styleId="Nadpis1Char">
    <w:name w:val="Nadpis 1 Char"/>
    <w:basedOn w:val="Standardnpsmoodstavce"/>
    <w:link w:val="Nadpis1"/>
    <w:uiPriority w:val="9"/>
    <w:rsid w:val="00F000D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99"/>
    <w:qFormat/>
    <w:rsid w:val="00F000DE"/>
    <w:pPr>
      <w:spacing w:line="276" w:lineRule="auto"/>
      <w:outlineLvl w:val="9"/>
    </w:pPr>
    <w:rPr>
      <w:rFonts w:ascii="Cambria" w:eastAsia="Times New Roman" w:hAnsi="Cambria" w:cs="Times New Roman"/>
      <w:color w:val="365F91"/>
      <w:lang w:eastAsia="en-US"/>
    </w:rPr>
  </w:style>
  <w:style w:type="paragraph" w:styleId="Textbubliny">
    <w:name w:val="Balloon Text"/>
    <w:basedOn w:val="Normln"/>
    <w:link w:val="TextbublinyChar"/>
    <w:uiPriority w:val="99"/>
    <w:semiHidden/>
    <w:unhideWhenUsed/>
    <w:rsid w:val="00495BE6"/>
    <w:rPr>
      <w:rFonts w:ascii="Tahoma" w:hAnsi="Tahoma" w:cs="Tahoma"/>
      <w:sz w:val="16"/>
      <w:szCs w:val="16"/>
    </w:rPr>
  </w:style>
  <w:style w:type="character" w:customStyle="1" w:styleId="TextbublinyChar">
    <w:name w:val="Text bubliny Char"/>
    <w:basedOn w:val="Standardnpsmoodstavce"/>
    <w:link w:val="Textbubliny"/>
    <w:uiPriority w:val="99"/>
    <w:semiHidden/>
    <w:rsid w:val="00495BE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5065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Vyhlidalova Dagmar</dc:creator>
  <cp:keywords/>
  <dc:description/>
  <cp:lastModifiedBy>Vyhlidalova Dagmar</cp:lastModifiedBy>
  <cp:revision>8</cp:revision>
  <cp:lastPrinted>2014-10-20T09:56:00Z</cp:lastPrinted>
  <dcterms:created xsi:type="dcterms:W3CDTF">2014-09-23T12:49:00Z</dcterms:created>
  <dcterms:modified xsi:type="dcterms:W3CDTF">2014-10-20T09:56:00Z</dcterms:modified>
</cp:coreProperties>
</file>