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B73CC8">
        <w:t>1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</w:t>
      </w:r>
      <w:r w:rsidR="00153818">
        <w:rPr>
          <w:b/>
          <w:bCs/>
        </w:rPr>
        <w:t>8</w:t>
      </w:r>
      <w:r w:rsidR="004B4991">
        <w:rPr>
          <w:b/>
          <w:bCs/>
        </w:rPr>
        <w:t>79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7848DB">
        <w:rPr>
          <w:b/>
        </w:rPr>
        <w:t>R</w:t>
      </w:r>
      <w:r w:rsidR="007848DB">
        <w:rPr>
          <w:rStyle w:val="Siln"/>
        </w:rPr>
        <w:t xml:space="preserve">ealizace </w:t>
      </w:r>
      <w:r w:rsidR="007848DB" w:rsidRPr="00A06151">
        <w:rPr>
          <w:b/>
        </w:rPr>
        <w:t>přístavby objektu výjezdové základny na letišti</w:t>
      </w:r>
      <w:r w:rsidR="007848DB">
        <w:rPr>
          <w:b/>
        </w:rPr>
        <w:t xml:space="preserve"> v Liberci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/15/ZK ze dne </w:t>
      </w:r>
      <w:proofErr w:type="gramStart"/>
      <w:r>
        <w:t>24.11.2015</w:t>
      </w:r>
      <w:proofErr w:type="gramEnd"/>
      <w:r>
        <w:t>.</w:t>
      </w:r>
    </w:p>
    <w:p w:rsidR="00681BF7" w:rsidRDefault="00DA3C98" w:rsidP="007848DB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7848DB">
        <w:t>přístavba objektu, kde budou vybudovány dvě garáže pro vozidla RLP a bude rozšířeno zázemí pro poskytování zdravotnické záchranné služby – záchranářů, lékařů, řidičů a letce.</w:t>
      </w:r>
    </w:p>
    <w:p w:rsidR="007848DB" w:rsidRDefault="007848DB" w:rsidP="007848DB">
      <w:pPr>
        <w:tabs>
          <w:tab w:val="num" w:pos="426"/>
        </w:tabs>
        <w:spacing w:before="120"/>
        <w:ind w:left="426" w:hanging="36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Pokud je uplatňován režim revers </w:t>
      </w:r>
      <w:proofErr w:type="spellStart"/>
      <w:r w:rsidRPr="00C31538">
        <w:t>charge</w:t>
      </w:r>
      <w:proofErr w:type="spellEnd"/>
      <w:r w:rsidRPr="00C31538">
        <w:t xml:space="preserve"> musí příjemce současně doložit i náležitosti uvedené </w:t>
      </w:r>
      <w:r w:rsidRPr="00475A1F">
        <w:t xml:space="preserve">v čl. III odst. </w:t>
      </w:r>
      <w:r w:rsidR="00A110D2" w:rsidRPr="00475A1F">
        <w:t>8</w:t>
      </w:r>
      <w:r w:rsidRPr="00475A1F">
        <w:t>.</w:t>
      </w:r>
      <w:r w:rsidRPr="00C31538">
        <w:t xml:space="preserve"> </w:t>
      </w:r>
      <w:r>
        <w:t>Z dotace nelze hradit výdaje za alkohol a tabák a výrobky z nich.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371C57" w:rsidRPr="00371C57">
        <w:rPr>
          <w:b/>
        </w:rPr>
        <w:t>1</w:t>
      </w:r>
      <w:r w:rsidRPr="00371C57">
        <w:rPr>
          <w:b/>
        </w:rPr>
        <w:t xml:space="preserve">. </w:t>
      </w:r>
      <w:r w:rsidR="00371C57" w:rsidRPr="00371C57">
        <w:rPr>
          <w:b/>
        </w:rPr>
        <w:t>12</w:t>
      </w:r>
      <w:r w:rsidRPr="00371C57">
        <w:rPr>
          <w:b/>
        </w:rPr>
        <w:t xml:space="preserve">. </w:t>
      </w:r>
      <w:r w:rsidR="00371C57" w:rsidRPr="00371C57">
        <w:rPr>
          <w:b/>
        </w:rPr>
        <w:t>2015</w:t>
      </w:r>
      <w:r>
        <w:t xml:space="preserve"> a termín ukončení realizace projektu je nejpozději </w:t>
      </w:r>
      <w:r w:rsidRPr="00371C57">
        <w:rPr>
          <w:b/>
        </w:rPr>
        <w:t>31.</w:t>
      </w:r>
      <w:r w:rsidR="00475A1F" w:rsidRPr="00371C57">
        <w:rPr>
          <w:b/>
        </w:rPr>
        <w:t xml:space="preserve"> </w:t>
      </w:r>
      <w:r w:rsidRPr="00371C57">
        <w:rPr>
          <w:b/>
        </w:rPr>
        <w:t>12.</w:t>
      </w:r>
      <w:r w:rsidR="00475A1F" w:rsidRPr="00371C57">
        <w:rPr>
          <w:b/>
        </w:rPr>
        <w:t xml:space="preserve"> </w:t>
      </w:r>
      <w:r w:rsidRPr="00371C57">
        <w:rPr>
          <w:b/>
        </w:rPr>
        <w:t>201</w:t>
      </w:r>
      <w:r w:rsidR="007848DB" w:rsidRPr="00371C57">
        <w:rPr>
          <w:b/>
        </w:rPr>
        <w:t>7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371C57">
        <w:rPr>
          <w:b/>
        </w:rPr>
        <w:t>do 19.</w:t>
      </w:r>
      <w:r w:rsidR="00475A1F" w:rsidRPr="00371C57">
        <w:rPr>
          <w:b/>
        </w:rPr>
        <w:t xml:space="preserve"> </w:t>
      </w:r>
      <w:r w:rsidRPr="00371C57">
        <w:rPr>
          <w:b/>
        </w:rPr>
        <w:t>2.</w:t>
      </w:r>
      <w:r w:rsidR="00475A1F" w:rsidRPr="00371C57">
        <w:rPr>
          <w:b/>
        </w:rPr>
        <w:t xml:space="preserve"> </w:t>
      </w:r>
      <w:r w:rsidRPr="00371C57">
        <w:rPr>
          <w:b/>
        </w:rPr>
        <w:t>201</w:t>
      </w:r>
      <w:r w:rsidR="007848DB" w:rsidRPr="00371C57">
        <w:rPr>
          <w:b/>
        </w:rPr>
        <w:t>8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31538" w:rsidRP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Pokud má být způsobilým výdajem i DPH dle čl. </w:t>
      </w:r>
      <w:r w:rsidRPr="00A110D2">
        <w:lastRenderedPageBreak/>
        <w:t xml:space="preserve">III. odst. 3. a je uplatněn režim revers </w:t>
      </w:r>
      <w:proofErr w:type="spellStart"/>
      <w:r w:rsidRPr="00A110D2">
        <w:t>charge</w:t>
      </w:r>
      <w:proofErr w:type="spellEnd"/>
      <w:r w:rsidRPr="00A110D2">
        <w:t xml:space="preserve"> musí být příjemcem předloženy následující podklady: 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daňového přiznání k DPH podle § 101 zákona o DPH,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evidence pro daňové účely podle § 100 zákona o DPH (s náležitostmi dle § 92a),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doklad o úhradě daňové povinnosti FÚ - kopie výpisu z bankovního účtu.</w:t>
      </w:r>
    </w:p>
    <w:p w:rsidR="00475A1F" w:rsidRDefault="00C31538" w:rsidP="00475A1F">
      <w:pPr>
        <w:spacing w:before="120"/>
        <w:ind w:left="567"/>
      </w:pPr>
      <w:r>
        <w:t>Zálohové faktury, směnky, úvěrové smlouvy a jim podobné doklady se nepovažují za podklad k závěrečnému vyúčtování a nejsou považovány za způsobilé výdaje.</w:t>
      </w:r>
    </w:p>
    <w:p w:rsidR="00040453" w:rsidRDefault="00C31538" w:rsidP="0009618F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7848DB">
        <w:t>19-796400027</w:t>
      </w:r>
      <w:r w:rsidRPr="007848DB">
        <w:t>7/0100,</w:t>
      </w:r>
      <w:r>
        <w:t xml:space="preserve"> s variabilním symbolem č. </w:t>
      </w:r>
      <w:r w:rsidR="007848DB" w:rsidRPr="007848DB">
        <w:t>0990481910</w:t>
      </w:r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Default="00F02C3A" w:rsidP="00F02C3A">
            <w:pPr>
              <w:widowControl/>
              <w:ind w:firstLine="12"/>
              <w:jc w:val="center"/>
            </w:pPr>
            <w:r>
              <w:t>ředitel ZZS LK</w:t>
            </w:r>
          </w:p>
          <w:p w:rsidR="00371C57" w:rsidRPr="00791743" w:rsidRDefault="00371C57" w:rsidP="00F02C3A">
            <w:pPr>
              <w:widowControl/>
              <w:ind w:firstLine="12"/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lastRenderedPageBreak/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05" w:rsidRDefault="007D0105">
      <w:r>
        <w:separator/>
      </w:r>
    </w:p>
  </w:endnote>
  <w:endnote w:type="continuationSeparator" w:id="0">
    <w:p w:rsidR="007D0105" w:rsidRDefault="007D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71C57" w:rsidRPr="00371C5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71C57" w:rsidRPr="00371C57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05" w:rsidRDefault="007D0105">
      <w:r>
        <w:separator/>
      </w:r>
    </w:p>
  </w:footnote>
  <w:footnote w:type="continuationSeparator" w:id="0">
    <w:p w:rsidR="007D0105" w:rsidRDefault="007D0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259E"/>
    <w:rsid w:val="00084CF3"/>
    <w:rsid w:val="0009618F"/>
    <w:rsid w:val="00097397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71C57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B4991"/>
    <w:rsid w:val="004F29BC"/>
    <w:rsid w:val="00502151"/>
    <w:rsid w:val="00506E92"/>
    <w:rsid w:val="00516A31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C405B"/>
    <w:rsid w:val="00700FF8"/>
    <w:rsid w:val="007522E3"/>
    <w:rsid w:val="007733D4"/>
    <w:rsid w:val="007848DB"/>
    <w:rsid w:val="007871DC"/>
    <w:rsid w:val="00790334"/>
    <w:rsid w:val="00791743"/>
    <w:rsid w:val="00793688"/>
    <w:rsid w:val="00794D2B"/>
    <w:rsid w:val="007B7F41"/>
    <w:rsid w:val="007D0105"/>
    <w:rsid w:val="007D36EF"/>
    <w:rsid w:val="007D4BBE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0908"/>
    <w:rsid w:val="00B421B2"/>
    <w:rsid w:val="00B55A77"/>
    <w:rsid w:val="00B61415"/>
    <w:rsid w:val="00B643C9"/>
    <w:rsid w:val="00B72022"/>
    <w:rsid w:val="00B73CC8"/>
    <w:rsid w:val="00B8291F"/>
    <w:rsid w:val="00B82BEB"/>
    <w:rsid w:val="00B869FB"/>
    <w:rsid w:val="00BA195A"/>
    <w:rsid w:val="00BA4E2F"/>
    <w:rsid w:val="00BC59B7"/>
    <w:rsid w:val="00BD0369"/>
    <w:rsid w:val="00BD0F8C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1444A"/>
    <w:rsid w:val="00E32F05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1FBA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  <w:style w:type="character" w:styleId="Siln">
    <w:name w:val="Strong"/>
    <w:basedOn w:val="Standardnpsmoodstavce"/>
    <w:qFormat/>
    <w:rsid w:val="00784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  <w:style w:type="character" w:styleId="Siln">
    <w:name w:val="Strong"/>
    <w:basedOn w:val="Standardnpsmoodstavce"/>
    <w:qFormat/>
    <w:rsid w:val="0078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5</cp:revision>
  <cp:lastPrinted>2015-09-29T08:22:00Z</cp:lastPrinted>
  <dcterms:created xsi:type="dcterms:W3CDTF">2015-10-14T09:17:00Z</dcterms:created>
  <dcterms:modified xsi:type="dcterms:W3CDTF">2015-10-14T09:39:00Z</dcterms:modified>
</cp:coreProperties>
</file>