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700FF8">
        <w:t>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90E1F">
        <w:rPr>
          <w:b/>
          <w:bCs/>
        </w:rPr>
        <w:t>3142/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</w:t>
      </w:r>
      <w:r w:rsidR="00AE0582">
        <w:rPr>
          <w:b/>
        </w:rPr>
        <w:t>Vozidlo technologické a komunikační připravenosti</w:t>
      </w:r>
      <w:r>
        <w:rPr>
          <w:b/>
        </w:rPr>
        <w:t>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 xml:space="preserve">který byl schválen usnesením Zastupitelstva Libereckého kraje č. /15/ZK ze dne </w:t>
      </w:r>
      <w:proofErr w:type="gramStart"/>
      <w:r>
        <w:t>24.11.2015</w:t>
      </w:r>
      <w:proofErr w:type="gramEnd"/>
      <w:r>
        <w:t>.</w:t>
      </w:r>
    </w:p>
    <w:p w:rsidR="00681BF7" w:rsidRDefault="00DA3C98" w:rsidP="00DA3C98">
      <w:pPr>
        <w:tabs>
          <w:tab w:val="num" w:pos="426"/>
        </w:tabs>
        <w:spacing w:before="120"/>
        <w:ind w:left="426" w:hanging="360"/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</w:t>
      </w:r>
      <w:r w:rsidR="00AE0582">
        <w:t>nákup vozidla technologické a komunikační připravenosti pro zajištění po</w:t>
      </w:r>
      <w:r w:rsidR="00910A9B">
        <w:t>krytí oblasti nežádoucí událostí</w:t>
      </w:r>
      <w:r w:rsidR="00AE0582">
        <w:t>.</w:t>
      </w:r>
    </w:p>
    <w:p w:rsidR="00AE0582" w:rsidRDefault="00AE0582" w:rsidP="00DA3C98">
      <w:pPr>
        <w:tabs>
          <w:tab w:val="num" w:pos="426"/>
        </w:tabs>
        <w:spacing w:before="120"/>
        <w:ind w:left="426" w:hanging="360"/>
        <w:rPr>
          <w:highlight w:val="yellow"/>
          <w:shd w:val="clear" w:color="auto" w:fill="C0C0C1"/>
        </w:rPr>
      </w:pPr>
    </w:p>
    <w:p w:rsidR="00681BF7" w:rsidRDefault="00681BF7" w:rsidP="00681BF7">
      <w:pPr>
        <w:jc w:val="center"/>
        <w:outlineLvl w:val="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097952" w:rsidRDefault="00097952" w:rsidP="00097952">
      <w:pPr>
        <w:widowControl/>
        <w:spacing w:before="120" w:after="120"/>
      </w:pPr>
      <w:r w:rsidRPr="002D2DAB">
        <w:t>Celková výše investiční účelové dotace z rozpočtu Libereckého kraje činí maximálně 500.000 Kč (slovy: pět set tisíc korun českých).</w:t>
      </w:r>
      <w:r>
        <w:t xml:space="preserve">  </w:t>
      </w: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080C89" w:rsidRPr="00080C89">
        <w:rPr>
          <w:b/>
        </w:rPr>
        <w:t>1</w:t>
      </w:r>
      <w:r w:rsidRPr="00080C89">
        <w:rPr>
          <w:b/>
        </w:rPr>
        <w:t xml:space="preserve">. </w:t>
      </w:r>
      <w:r w:rsidR="00080C89" w:rsidRPr="00080C89">
        <w:rPr>
          <w:b/>
        </w:rPr>
        <w:t>12</w:t>
      </w:r>
      <w:r w:rsidRPr="00080C89">
        <w:rPr>
          <w:b/>
        </w:rPr>
        <w:t xml:space="preserve">. </w:t>
      </w:r>
      <w:r w:rsidR="00080C89" w:rsidRPr="00080C89">
        <w:rPr>
          <w:b/>
        </w:rPr>
        <w:t>2015</w:t>
      </w:r>
      <w:r>
        <w:t xml:space="preserve"> a termín ukončení realizace projektu je nejpozději </w:t>
      </w:r>
      <w:r w:rsidRPr="00080C89">
        <w:rPr>
          <w:b/>
        </w:rPr>
        <w:t>31.</w:t>
      </w:r>
      <w:r w:rsidR="00475A1F" w:rsidRPr="00080C89">
        <w:rPr>
          <w:b/>
        </w:rPr>
        <w:t xml:space="preserve"> </w:t>
      </w:r>
      <w:r w:rsidR="00BD1E94">
        <w:rPr>
          <w:b/>
        </w:rPr>
        <w:t>5</w:t>
      </w:r>
      <w:r w:rsidR="00475A1F" w:rsidRPr="00080C89">
        <w:rPr>
          <w:b/>
        </w:rPr>
        <w:t xml:space="preserve"> </w:t>
      </w:r>
      <w:r w:rsidRPr="00080C89">
        <w:rPr>
          <w:b/>
        </w:rPr>
        <w:t>2016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080C89">
        <w:rPr>
          <w:b/>
        </w:rPr>
        <w:t xml:space="preserve">do </w:t>
      </w:r>
      <w:r w:rsidR="00BD1E94">
        <w:rPr>
          <w:b/>
        </w:rPr>
        <w:t>20.</w:t>
      </w:r>
      <w:r w:rsidR="00475A1F" w:rsidRPr="00080C89">
        <w:rPr>
          <w:b/>
        </w:rPr>
        <w:t xml:space="preserve"> </w:t>
      </w:r>
      <w:r w:rsidR="00BD1E94">
        <w:rPr>
          <w:b/>
        </w:rPr>
        <w:t>7</w:t>
      </w:r>
      <w:r w:rsidRPr="00080C89">
        <w:rPr>
          <w:b/>
        </w:rPr>
        <w:t>.</w:t>
      </w:r>
      <w:r w:rsidR="00475A1F" w:rsidRPr="00080C89">
        <w:rPr>
          <w:b/>
        </w:rPr>
        <w:t xml:space="preserve"> </w:t>
      </w:r>
      <w:r w:rsidRPr="00080C89">
        <w:rPr>
          <w:b/>
        </w:rPr>
        <w:t>201</w:t>
      </w:r>
      <w:r w:rsidR="00E8437E">
        <w:rPr>
          <w:b/>
        </w:rPr>
        <w:t>6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75A1F" w:rsidRDefault="00C31538" w:rsidP="00AE058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>výpisy z účtu prokazující úhradu jednotlivých účetních resp. prvotních daňových dokladů nebo zjednodušených daňových dokladů, ze kterých bude zřejmý účel a způsob využití poskytnutých finančních prostředků poskytovatele</w:t>
      </w:r>
      <w:r w:rsidRPr="00A110D2">
        <w:t xml:space="preserve">. </w:t>
      </w:r>
      <w:r>
        <w:t xml:space="preserve">Zálohové faktury, směnky, úvěrové smlouvy a jim </w:t>
      </w:r>
      <w:r>
        <w:lastRenderedPageBreak/>
        <w:t>podobné doklady se nepovažují za podklad k závěrečnému vyúčtování a nejsou považovány za způsobilé výdaje.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221FA9">
        <w:t>19-796400027</w:t>
      </w:r>
      <w:r w:rsidRPr="00221FA9">
        <w:t>7/0100,</w:t>
      </w:r>
      <w:r>
        <w:t xml:space="preserve"> s variabilním symbolem č. </w:t>
      </w:r>
      <w:r w:rsidR="00A110D2" w:rsidRPr="00090E1F">
        <w:t>09905</w:t>
      </w:r>
      <w:r w:rsidR="00090E1F" w:rsidRPr="00090E1F">
        <w:t>2</w:t>
      </w:r>
      <w:r w:rsidR="00A110D2" w:rsidRPr="00090E1F">
        <w:t>1910</w:t>
      </w:r>
      <w:r w:rsidR="00A110D2">
        <w:t xml:space="preserve">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lastRenderedPageBreak/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Default="00F02C3A" w:rsidP="00F02C3A">
            <w:pPr>
              <w:widowControl/>
              <w:ind w:firstLine="12"/>
              <w:jc w:val="center"/>
            </w:pPr>
            <w:r>
              <w:t>ředitel ZZS LK</w:t>
            </w: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Pr="00791743" w:rsidRDefault="00AE0582" w:rsidP="00F02C3A">
            <w:pPr>
              <w:widowControl/>
              <w:ind w:firstLine="12"/>
              <w:jc w:val="center"/>
              <w:rPr>
                <w:color w:val="FF0000"/>
              </w:rPr>
            </w:pPr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proofErr w:type="gramStart"/>
      <w:r>
        <w:t>V .................  dne</w:t>
      </w:r>
      <w:proofErr w:type="gramEnd"/>
      <w:r>
        <w:t xml:space="preserve">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 xml:space="preserve">Podpis osoby zodpovědné za vyúčtování dotace a popř. razítko </w:t>
      </w:r>
      <w:proofErr w:type="gramStart"/>
      <w:r>
        <w:t>organizace................................</w:t>
      </w:r>
      <w:proofErr w:type="gramEnd"/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lastRenderedPageBreak/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 xml:space="preserve">a) obchodní firmu nebo jméno a příjmení, případně název, dodatek jména a příjmení nebo názvu, sídlo nebo místo podnikání, </w:t>
      </w:r>
      <w:proofErr w:type="gramStart"/>
      <w:r>
        <w:t>popřípadě  trvalý</w:t>
      </w:r>
      <w:proofErr w:type="gramEnd"/>
      <w:r>
        <w:t xml:space="preserve">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221FA9" w:rsidRDefault="00221FA9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</w:t>
            </w:r>
            <w:proofErr w:type="gramStart"/>
            <w:r>
              <w:t>….Kč</w:t>
            </w:r>
            <w:proofErr w:type="gramEnd"/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</w:t>
            </w:r>
            <w:proofErr w:type="gramStart"/>
            <w:r>
              <w:t>….Kč</w:t>
            </w:r>
            <w:proofErr w:type="gram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</w:t>
            </w:r>
            <w:proofErr w:type="gramStart"/>
            <w:r>
              <w:t>nákladech</w:t>
            </w:r>
            <w:proofErr w:type="gramEnd"/>
            <w:r>
              <w:t xml:space="preserve">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>
        <w:rPr>
          <w:i/>
          <w:iCs/>
          <w:sz w:val="20"/>
          <w:szCs w:val="20"/>
        </w:rPr>
        <w:t>zprávy a jak</w:t>
      </w:r>
      <w:proofErr w:type="gramEnd"/>
      <w:r>
        <w:rPr>
          <w:i/>
          <w:iCs/>
          <w:sz w:val="20"/>
          <w:szCs w:val="20"/>
        </w:rPr>
        <w:t xml:space="preserve">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F4" w:rsidRDefault="008D28F4">
      <w:r>
        <w:separator/>
      </w:r>
    </w:p>
  </w:endnote>
  <w:endnote w:type="continuationSeparator" w:id="0">
    <w:p w:rsidR="008D28F4" w:rsidRDefault="008D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58" w:rsidRDefault="002347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34758" w:rsidRPr="0023475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34758" w:rsidRPr="00234758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58" w:rsidRDefault="002347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F4" w:rsidRDefault="008D28F4">
      <w:r>
        <w:separator/>
      </w:r>
    </w:p>
  </w:footnote>
  <w:footnote w:type="continuationSeparator" w:id="0">
    <w:p w:rsidR="008D28F4" w:rsidRDefault="008D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58" w:rsidRDefault="002347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Pr="00234758" w:rsidRDefault="00234758" w:rsidP="00234758">
    <w:pPr>
      <w:jc w:val="center"/>
      <w:rPr>
        <w:b/>
        <w:sz w:val="28"/>
        <w:szCs w:val="28"/>
      </w:rPr>
    </w:pPr>
    <w:r w:rsidRPr="00234758">
      <w:rPr>
        <w:b/>
        <w:sz w:val="28"/>
        <w:szCs w:val="28"/>
      </w:rPr>
      <w:t>Upraveno po projednání k bodu č. 25</w:t>
    </w:r>
  </w:p>
  <w:p w:rsidR="00BD4AF1" w:rsidRDefault="00BD4AF1" w:rsidP="00794D2B">
    <w:pPr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58" w:rsidRDefault="002347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0C89"/>
    <w:rsid w:val="0008259E"/>
    <w:rsid w:val="00084CF3"/>
    <w:rsid w:val="00090E1F"/>
    <w:rsid w:val="00097397"/>
    <w:rsid w:val="00097952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1FA9"/>
    <w:rsid w:val="0022253C"/>
    <w:rsid w:val="002304F9"/>
    <w:rsid w:val="00234758"/>
    <w:rsid w:val="00262547"/>
    <w:rsid w:val="00273625"/>
    <w:rsid w:val="002745C9"/>
    <w:rsid w:val="002753F1"/>
    <w:rsid w:val="002765D4"/>
    <w:rsid w:val="002B1B43"/>
    <w:rsid w:val="002C77FA"/>
    <w:rsid w:val="002D2DAB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3222B"/>
    <w:rsid w:val="004438A7"/>
    <w:rsid w:val="00455871"/>
    <w:rsid w:val="00461932"/>
    <w:rsid w:val="00475A1F"/>
    <w:rsid w:val="00477F28"/>
    <w:rsid w:val="00491A6E"/>
    <w:rsid w:val="00492A90"/>
    <w:rsid w:val="00493020"/>
    <w:rsid w:val="004A4DB6"/>
    <w:rsid w:val="004A71A2"/>
    <w:rsid w:val="004F29BC"/>
    <w:rsid w:val="00502151"/>
    <w:rsid w:val="00506E92"/>
    <w:rsid w:val="00516A31"/>
    <w:rsid w:val="00554538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4306"/>
    <w:rsid w:val="00694EE2"/>
    <w:rsid w:val="0069647E"/>
    <w:rsid w:val="006A0F08"/>
    <w:rsid w:val="006C405B"/>
    <w:rsid w:val="00700FF8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E257C"/>
    <w:rsid w:val="00814879"/>
    <w:rsid w:val="00825153"/>
    <w:rsid w:val="00830E82"/>
    <w:rsid w:val="008313F1"/>
    <w:rsid w:val="00832C17"/>
    <w:rsid w:val="00846EEA"/>
    <w:rsid w:val="00855809"/>
    <w:rsid w:val="00855EDE"/>
    <w:rsid w:val="00863B0D"/>
    <w:rsid w:val="00870620"/>
    <w:rsid w:val="008715B4"/>
    <w:rsid w:val="00890CE3"/>
    <w:rsid w:val="00893202"/>
    <w:rsid w:val="008B3F29"/>
    <w:rsid w:val="008C2C00"/>
    <w:rsid w:val="008C59E9"/>
    <w:rsid w:val="008D28F4"/>
    <w:rsid w:val="008E1438"/>
    <w:rsid w:val="008F3230"/>
    <w:rsid w:val="0090607F"/>
    <w:rsid w:val="00910507"/>
    <w:rsid w:val="00910A9B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0582"/>
    <w:rsid w:val="00AE36D3"/>
    <w:rsid w:val="00B00B03"/>
    <w:rsid w:val="00B23002"/>
    <w:rsid w:val="00B23C83"/>
    <w:rsid w:val="00B27630"/>
    <w:rsid w:val="00B409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0F8C"/>
    <w:rsid w:val="00BD1E94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6641E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56B67"/>
    <w:rsid w:val="00E714FB"/>
    <w:rsid w:val="00E80E0F"/>
    <w:rsid w:val="00E8437E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320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11912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Bubenikova Lucie</cp:lastModifiedBy>
  <cp:revision>2</cp:revision>
  <cp:lastPrinted>2015-09-29T08:22:00Z</cp:lastPrinted>
  <dcterms:created xsi:type="dcterms:W3CDTF">2015-11-26T08:48:00Z</dcterms:created>
  <dcterms:modified xsi:type="dcterms:W3CDTF">2015-11-26T08:48:00Z</dcterms:modified>
</cp:coreProperties>
</file>