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DB" w:rsidRPr="007608DB" w:rsidRDefault="00F040DB">
      <w:pPr>
        <w:rPr>
          <w:rFonts w:ascii="Times New Roman" w:hAnsi="Times New Roman" w:cs="Times New Roman"/>
          <w:b/>
          <w:sz w:val="28"/>
          <w:szCs w:val="28"/>
          <w:u w:val="single"/>
        </w:rPr>
      </w:pPr>
      <w:bookmarkStart w:id="0" w:name="_GoBack"/>
      <w:bookmarkEnd w:id="0"/>
      <w:r w:rsidRPr="007608DB">
        <w:rPr>
          <w:rFonts w:ascii="Times New Roman" w:hAnsi="Times New Roman" w:cs="Times New Roman"/>
          <w:b/>
          <w:sz w:val="28"/>
          <w:szCs w:val="28"/>
          <w:u w:val="single"/>
        </w:rPr>
        <w:t xml:space="preserve">Souhrn stanovisek oslovených odborů KÚ LK </w:t>
      </w:r>
    </w:p>
    <w:p w:rsidR="001F55EE" w:rsidRDefault="00F040DB">
      <w:pPr>
        <w:rPr>
          <w:rFonts w:ascii="Times New Roman" w:hAnsi="Times New Roman" w:cs="Times New Roman"/>
          <w:sz w:val="24"/>
          <w:szCs w:val="24"/>
        </w:rPr>
      </w:pPr>
      <w:r>
        <w:rPr>
          <w:rFonts w:ascii="Times New Roman" w:hAnsi="Times New Roman" w:cs="Times New Roman"/>
          <w:sz w:val="24"/>
          <w:szCs w:val="24"/>
        </w:rPr>
        <w:t>ve věci žádosti o stanovisko k navrhovaným kompenzačním plochám – územní dluh ČR vůči Polské republice z roku 1958 – dopis MV ČR č.j. MV-173782-3/VS-20154 z</w:t>
      </w:r>
      <w:r w:rsidR="00EA4202">
        <w:rPr>
          <w:rFonts w:ascii="Times New Roman" w:hAnsi="Times New Roman" w:cs="Times New Roman"/>
          <w:sz w:val="24"/>
          <w:szCs w:val="24"/>
        </w:rPr>
        <w:t>e dne</w:t>
      </w:r>
      <w:r>
        <w:rPr>
          <w:rFonts w:ascii="Times New Roman" w:hAnsi="Times New Roman" w:cs="Times New Roman"/>
          <w:sz w:val="24"/>
          <w:szCs w:val="24"/>
        </w:rPr>
        <w:t> 1. 12. 2015</w:t>
      </w:r>
    </w:p>
    <w:p w:rsidR="007608DB" w:rsidRDefault="007608DB">
      <w:pPr>
        <w:rPr>
          <w:rFonts w:ascii="Times New Roman" w:hAnsi="Times New Roman" w:cs="Times New Roman"/>
          <w:sz w:val="24"/>
          <w:szCs w:val="24"/>
        </w:rPr>
      </w:pPr>
    </w:p>
    <w:p w:rsidR="00F040DB" w:rsidRPr="008925D3" w:rsidRDefault="00F040DB" w:rsidP="00F040DB">
      <w:pPr>
        <w:rPr>
          <w:rFonts w:ascii="Times New Roman" w:hAnsi="Times New Roman" w:cs="Times New Roman"/>
          <w:b/>
          <w:sz w:val="24"/>
          <w:szCs w:val="24"/>
          <w:u w:val="single"/>
        </w:rPr>
      </w:pPr>
      <w:r w:rsidRPr="008925D3">
        <w:rPr>
          <w:rFonts w:ascii="Times New Roman" w:hAnsi="Times New Roman" w:cs="Times New Roman"/>
          <w:b/>
          <w:sz w:val="24"/>
          <w:szCs w:val="24"/>
          <w:u w:val="single"/>
        </w:rPr>
        <w:t>Odbor regionálního rozvoje a evropských projektů</w:t>
      </w:r>
    </w:p>
    <w:p w:rsidR="001D0B41" w:rsidRPr="001D0B41" w:rsidRDefault="001D0B41" w:rsidP="001D0B41">
      <w:pPr>
        <w:pStyle w:val="Odstavecseseznamem"/>
        <w:numPr>
          <w:ilvl w:val="0"/>
          <w:numId w:val="2"/>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Územní dluh vznikl</w:t>
      </w:r>
      <w:r w:rsidRPr="001D0B41">
        <w:rPr>
          <w:rFonts w:ascii="Times New Roman" w:hAnsi="Times New Roman" w:cs="Times New Roman"/>
          <w:sz w:val="24"/>
          <w:szCs w:val="24"/>
        </w:rPr>
        <w:t xml:space="preserve"> změnou a narovnáním státní hranice s Polskou republikou </w:t>
      </w:r>
      <w:r w:rsidRPr="001D0B41">
        <w:rPr>
          <w:rFonts w:ascii="Times New Roman" w:hAnsi="Times New Roman" w:cs="Times New Roman"/>
          <w:b/>
          <w:sz w:val="24"/>
          <w:szCs w:val="24"/>
        </w:rPr>
        <w:t>v oblasti Ostravska</w:t>
      </w:r>
      <w:r w:rsidRPr="001D0B41">
        <w:rPr>
          <w:rFonts w:ascii="Times New Roman" w:hAnsi="Times New Roman" w:cs="Times New Roman"/>
          <w:sz w:val="24"/>
          <w:szCs w:val="24"/>
        </w:rPr>
        <w:t xml:space="preserve"> – jaká je logika v tom, že pozemky, které se mají Polské republice vracet, jsou navrženy na území Libereckého kraje?</w:t>
      </w:r>
    </w:p>
    <w:p w:rsidR="001D0B41" w:rsidRPr="001D0B41" w:rsidRDefault="001D0B41" w:rsidP="001D0B41">
      <w:pPr>
        <w:pStyle w:val="Odstavecseseznamem"/>
        <w:jc w:val="both"/>
        <w:rPr>
          <w:rFonts w:ascii="Times New Roman" w:hAnsi="Times New Roman" w:cs="Times New Roman"/>
          <w:sz w:val="24"/>
          <w:szCs w:val="24"/>
        </w:rPr>
      </w:pPr>
    </w:p>
    <w:p w:rsidR="001D0B41" w:rsidRPr="001D0B41" w:rsidRDefault="001D0B41" w:rsidP="001D0B41">
      <w:pPr>
        <w:pStyle w:val="Odstavecseseznamem"/>
        <w:numPr>
          <w:ilvl w:val="0"/>
          <w:numId w:val="2"/>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sz w:val="24"/>
          <w:szCs w:val="24"/>
        </w:rPr>
        <w:t xml:space="preserve">Dvě z dotčených obcí se nacházejí na </w:t>
      </w:r>
      <w:r w:rsidRPr="001D0B41">
        <w:rPr>
          <w:rFonts w:ascii="Times New Roman" w:hAnsi="Times New Roman" w:cs="Times New Roman"/>
          <w:b/>
          <w:sz w:val="24"/>
          <w:szCs w:val="24"/>
        </w:rPr>
        <w:t>Frýdlantsku,</w:t>
      </w:r>
      <w:r w:rsidRPr="001D0B41">
        <w:rPr>
          <w:rFonts w:ascii="Times New Roman" w:hAnsi="Times New Roman" w:cs="Times New Roman"/>
          <w:sz w:val="24"/>
          <w:szCs w:val="24"/>
        </w:rPr>
        <w:t xml:space="preserve"> což je území, které dlouhodobě patří k </w:t>
      </w:r>
      <w:r w:rsidRPr="001D0B41">
        <w:rPr>
          <w:rFonts w:ascii="Times New Roman" w:hAnsi="Times New Roman" w:cs="Times New Roman"/>
          <w:b/>
          <w:sz w:val="24"/>
          <w:szCs w:val="24"/>
        </w:rPr>
        <w:t>hospodářsky problémovým regionům</w:t>
      </w:r>
      <w:r w:rsidRPr="001D0B41">
        <w:rPr>
          <w:rFonts w:ascii="Times New Roman" w:hAnsi="Times New Roman" w:cs="Times New Roman"/>
          <w:sz w:val="24"/>
          <w:szCs w:val="24"/>
        </w:rPr>
        <w:t xml:space="preserve"> nejen v rámci Libereckého kraje ale i celé ČR. Liberecký kraj rozvoj Frýdlantska dlouhodobě podporuje s cílem zamezit prohlubování regionálních disparit a v tomto chce také pokračovat. Kraj má zájem realizovat takové aktivity a opatření, která budou přispívat k rozvoji tohoto regionu. V této souvislosti převody pozemků v rámci vyrovnání územního dluhu s Polskou republikou nejsou v zájmu Libereckého kraje.</w:t>
      </w:r>
    </w:p>
    <w:p w:rsidR="001D0B41" w:rsidRPr="001D0B41" w:rsidRDefault="001D0B41" w:rsidP="001D0B41">
      <w:pPr>
        <w:pStyle w:val="Odstavecseseznamem"/>
        <w:jc w:val="both"/>
        <w:rPr>
          <w:rFonts w:ascii="Times New Roman" w:hAnsi="Times New Roman" w:cs="Times New Roman"/>
          <w:sz w:val="24"/>
          <w:szCs w:val="24"/>
        </w:rPr>
      </w:pPr>
    </w:p>
    <w:p w:rsidR="001D0B41" w:rsidRDefault="001D0B41" w:rsidP="001D0B41">
      <w:pPr>
        <w:pStyle w:val="Odstavecseseznamem"/>
        <w:numPr>
          <w:ilvl w:val="0"/>
          <w:numId w:val="2"/>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sz w:val="24"/>
          <w:szCs w:val="24"/>
        </w:rPr>
        <w:t xml:space="preserve">Liberecký kraj </w:t>
      </w:r>
      <w:r w:rsidRPr="001D0B41">
        <w:rPr>
          <w:rFonts w:ascii="Times New Roman" w:hAnsi="Times New Roman" w:cs="Times New Roman"/>
          <w:b/>
          <w:sz w:val="24"/>
          <w:szCs w:val="24"/>
        </w:rPr>
        <w:t xml:space="preserve">dlouhodobě a neúspěšně </w:t>
      </w:r>
      <w:r w:rsidRPr="001D0B41">
        <w:rPr>
          <w:rFonts w:ascii="Times New Roman" w:hAnsi="Times New Roman" w:cs="Times New Roman"/>
          <w:sz w:val="24"/>
          <w:szCs w:val="24"/>
        </w:rPr>
        <w:t>řeší negativní dopady několika záměrů Polské republiky, které chce polská strana realizovat v těsné blízkosti státní hranice. Negativní dopad těchto záměru se bezprostředně dotýká životního prostředí obcí na Frýdlanstku a Hrádecku. Jedná se např. o tyto záměry:</w:t>
      </w:r>
    </w:p>
    <w:p w:rsidR="001D0B41" w:rsidRPr="001D0B41" w:rsidRDefault="001D0B41" w:rsidP="001D0B41">
      <w:pPr>
        <w:pStyle w:val="Odstavecseseznamem"/>
        <w:rPr>
          <w:rFonts w:ascii="Times New Roman" w:hAnsi="Times New Roman" w:cs="Times New Roman"/>
          <w:sz w:val="24"/>
          <w:szCs w:val="24"/>
        </w:rPr>
      </w:pPr>
    </w:p>
    <w:p w:rsidR="001D0B41" w:rsidRPr="001D0B41" w:rsidRDefault="001D0B41" w:rsidP="001D0B41">
      <w:pPr>
        <w:pStyle w:val="Odstavecseseznamem"/>
        <w:spacing w:after="0" w:line="240" w:lineRule="auto"/>
        <w:contextualSpacing w:val="0"/>
        <w:jc w:val="both"/>
        <w:rPr>
          <w:rFonts w:ascii="Times New Roman" w:hAnsi="Times New Roman" w:cs="Times New Roman"/>
          <w:sz w:val="24"/>
          <w:szCs w:val="24"/>
        </w:rPr>
      </w:pPr>
    </w:p>
    <w:p w:rsidR="001D0B41" w:rsidRPr="001D0B41" w:rsidRDefault="001D0B41" w:rsidP="001D0B41">
      <w:pPr>
        <w:pStyle w:val="Odstavecseseznamem"/>
        <w:numPr>
          <w:ilvl w:val="0"/>
          <w:numId w:val="3"/>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Větrná farma Bogatynia</w:t>
      </w:r>
      <w:r w:rsidRPr="001D0B41">
        <w:rPr>
          <w:rFonts w:ascii="Times New Roman" w:hAnsi="Times New Roman" w:cs="Times New Roman"/>
          <w:sz w:val="24"/>
          <w:szCs w:val="24"/>
        </w:rPr>
        <w:t xml:space="preserve"> (výstavba 52 ks větrných elektráren na výsypce hnědouhelného dolu Bogatynia) - emise do ovzduší, splavování materiálu z výsypky a znečištění podzemních a povrchových vod na Frýdlantsku, sesuvy výsypky ve směru ke státní hranici, atd.</w:t>
      </w:r>
    </w:p>
    <w:p w:rsidR="001D0B41" w:rsidRPr="001D0B41" w:rsidRDefault="001D0B41" w:rsidP="001D0B41">
      <w:pPr>
        <w:pStyle w:val="Odstavecseseznamem"/>
        <w:jc w:val="both"/>
        <w:rPr>
          <w:rFonts w:ascii="Times New Roman" w:hAnsi="Times New Roman" w:cs="Times New Roman"/>
          <w:sz w:val="24"/>
          <w:szCs w:val="24"/>
        </w:rPr>
      </w:pPr>
    </w:p>
    <w:p w:rsidR="001D0B41" w:rsidRPr="001D0B41" w:rsidRDefault="001D0B41" w:rsidP="001D0B41">
      <w:pPr>
        <w:pStyle w:val="Odstavecseseznamem"/>
        <w:numPr>
          <w:ilvl w:val="0"/>
          <w:numId w:val="3"/>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Revitalizace elektrárny Turów</w:t>
      </w:r>
      <w:r w:rsidRPr="001D0B41">
        <w:rPr>
          <w:rFonts w:ascii="Times New Roman" w:hAnsi="Times New Roman" w:cs="Times New Roman"/>
          <w:sz w:val="24"/>
          <w:szCs w:val="24"/>
        </w:rPr>
        <w:t xml:space="preserve"> – prodloužení spalování nekvalitního hnědého uhlí v elektrárně až do roku 2045 a tím prodloužení  vlivu všech souvisejících negativních dopadů na životní prostředí obcí na Frýdlantsku - emise do ovzduší, rozšiřování výsypky, odnos materiálu z výsypky do povrchových a podzemních vod Frýdlantska a jejich znečištění, pokles hladiny podzemních vod ve studních na Frýdlantsku, atd.</w:t>
      </w:r>
    </w:p>
    <w:p w:rsidR="001D0B41" w:rsidRPr="001D0B41" w:rsidRDefault="001D0B41" w:rsidP="001D0B41">
      <w:pPr>
        <w:jc w:val="both"/>
        <w:rPr>
          <w:rFonts w:ascii="Times New Roman" w:hAnsi="Times New Roman" w:cs="Times New Roman"/>
          <w:sz w:val="24"/>
          <w:szCs w:val="24"/>
        </w:rPr>
      </w:pPr>
    </w:p>
    <w:p w:rsidR="001D0B41" w:rsidRPr="001D0B41" w:rsidRDefault="001D0B41" w:rsidP="001D0B41">
      <w:pPr>
        <w:pStyle w:val="Odstavecseseznamem"/>
        <w:numPr>
          <w:ilvl w:val="0"/>
          <w:numId w:val="3"/>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Rozšíření dobývacího prostoru hnědouhelného dolu Bogatynia</w:t>
      </w:r>
      <w:r w:rsidRPr="001D0B41">
        <w:rPr>
          <w:rFonts w:ascii="Times New Roman" w:hAnsi="Times New Roman" w:cs="Times New Roman"/>
          <w:sz w:val="24"/>
          <w:szCs w:val="24"/>
        </w:rPr>
        <w:t xml:space="preserve"> – rozšíření dobývacího prostoru do těsné blízkosti státní hranice s ČR a zároveň jeho zahloubení představuje velké riziko poklesu hladiny případně úplné ztráty podzemních vod na Hrádecku, znečištění ovzduší a zvýšená prašnost, sesuvy výsypek dolu Bogatynia směrem k české hranici, odtok znečištěných vod z výsypek do povrchových vod na Frýdlantsku, vliv na krajinný ráz atd. </w:t>
      </w:r>
    </w:p>
    <w:p w:rsidR="001D0B41" w:rsidRPr="001D0B41" w:rsidRDefault="001D0B41" w:rsidP="001D0B41">
      <w:pPr>
        <w:jc w:val="both"/>
        <w:rPr>
          <w:rFonts w:ascii="Times New Roman" w:hAnsi="Times New Roman" w:cs="Times New Roman"/>
          <w:sz w:val="24"/>
          <w:szCs w:val="24"/>
        </w:rPr>
      </w:pPr>
    </w:p>
    <w:p w:rsidR="001D0B41" w:rsidRPr="001D0B41" w:rsidRDefault="001D0B41" w:rsidP="001D0B41">
      <w:pPr>
        <w:pStyle w:val="Odstavecseseznamem"/>
        <w:numPr>
          <w:ilvl w:val="0"/>
          <w:numId w:val="3"/>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Další záměry na vybudování větrných farem</w:t>
      </w:r>
      <w:r w:rsidRPr="001D0B41">
        <w:rPr>
          <w:rFonts w:ascii="Times New Roman" w:hAnsi="Times New Roman" w:cs="Times New Roman"/>
          <w:sz w:val="24"/>
          <w:szCs w:val="24"/>
        </w:rPr>
        <w:t xml:space="preserve"> v blízkosti státní hranice v oblasti Hrádecka a Frýdlantska (Jasná Gora, Krzewina-Lutogniewice) – trvalé změny informací polské strany o rozsahu a umístění záměrů</w:t>
      </w:r>
    </w:p>
    <w:p w:rsidR="001D0B41" w:rsidRPr="001D0B41" w:rsidRDefault="001D0B41" w:rsidP="001D0B41">
      <w:pPr>
        <w:jc w:val="both"/>
        <w:rPr>
          <w:rFonts w:ascii="Times New Roman" w:hAnsi="Times New Roman" w:cs="Times New Roman"/>
          <w:b/>
          <w:sz w:val="24"/>
          <w:szCs w:val="24"/>
        </w:rPr>
      </w:pPr>
      <w:r w:rsidRPr="001D0B41">
        <w:rPr>
          <w:rFonts w:ascii="Times New Roman" w:hAnsi="Times New Roman" w:cs="Times New Roman"/>
          <w:b/>
          <w:sz w:val="24"/>
          <w:szCs w:val="24"/>
        </w:rPr>
        <w:lastRenderedPageBreak/>
        <w:t xml:space="preserve">Při řešení těchto konfliktních záměrů máme s polskou stranou špatné zkušeny v komunikaci, předáváním informací a plnění dohod uzavřených na jednání či uvedených v zápisech z jednání. </w:t>
      </w:r>
    </w:p>
    <w:p w:rsidR="001D0B41" w:rsidRPr="001D0B41" w:rsidRDefault="001D0B41" w:rsidP="001D0B41">
      <w:pPr>
        <w:pStyle w:val="Odstavecseseznamem"/>
        <w:numPr>
          <w:ilvl w:val="0"/>
          <w:numId w:val="2"/>
        </w:numPr>
        <w:spacing w:after="0" w:line="240" w:lineRule="auto"/>
        <w:contextualSpacing w:val="0"/>
        <w:jc w:val="both"/>
        <w:rPr>
          <w:rFonts w:ascii="Times New Roman" w:hAnsi="Times New Roman" w:cs="Times New Roman"/>
          <w:b/>
          <w:sz w:val="24"/>
          <w:szCs w:val="24"/>
        </w:rPr>
      </w:pPr>
      <w:r w:rsidRPr="001D0B41">
        <w:rPr>
          <w:rFonts w:ascii="Times New Roman" w:hAnsi="Times New Roman" w:cs="Times New Roman"/>
          <w:b/>
          <w:sz w:val="24"/>
          <w:szCs w:val="24"/>
        </w:rPr>
        <w:t>Plocha na území obce Chrastava v k.ú. Horní Vítkov</w:t>
      </w:r>
      <w:r w:rsidRPr="001D0B41">
        <w:rPr>
          <w:rFonts w:ascii="Times New Roman" w:hAnsi="Times New Roman" w:cs="Times New Roman"/>
          <w:sz w:val="24"/>
          <w:szCs w:val="24"/>
        </w:rPr>
        <w:t xml:space="preserve"> navržená pro kompenzaci územního dluhu navazuje na polské území, které má být využito pro rozšíření dobývacího prostoru Bogatynia. Lze se tedy domnívat, že zájmem Polské strany je získat lokalitu Horní Vítkov z toho důvodu, </w:t>
      </w:r>
      <w:r w:rsidRPr="001D0B41">
        <w:rPr>
          <w:rFonts w:ascii="Times New Roman" w:hAnsi="Times New Roman" w:cs="Times New Roman"/>
          <w:b/>
          <w:sz w:val="24"/>
          <w:szCs w:val="24"/>
        </w:rPr>
        <w:t>aby bylo rozšířené dobývacího prostoru pro Polskou stranu jednodušší.</w:t>
      </w:r>
      <w:r w:rsidRPr="001D0B41">
        <w:rPr>
          <w:rFonts w:ascii="Times New Roman" w:hAnsi="Times New Roman" w:cs="Times New Roman"/>
          <w:sz w:val="24"/>
          <w:szCs w:val="24"/>
        </w:rPr>
        <w:t xml:space="preserve"> Zároveň je tato lokalita v těsné blízkosti </w:t>
      </w:r>
      <w:r w:rsidRPr="001D0B41">
        <w:rPr>
          <w:rFonts w:ascii="Times New Roman" w:hAnsi="Times New Roman" w:cs="Times New Roman"/>
          <w:b/>
          <w:sz w:val="24"/>
          <w:szCs w:val="24"/>
        </w:rPr>
        <w:t xml:space="preserve">ložiska Kristiánov – Vysoký, kde se nachází ložisko cínu - wolframové rudy </w:t>
      </w:r>
      <w:r w:rsidRPr="001D0B41">
        <w:rPr>
          <w:rFonts w:ascii="Times New Roman" w:hAnsi="Times New Roman" w:cs="Times New Roman"/>
          <w:sz w:val="24"/>
          <w:szCs w:val="24"/>
        </w:rPr>
        <w:t>(příloha 2). Předání plochy polské straně může být limitujícím faktorem pro případné využití ložiska.</w:t>
      </w:r>
    </w:p>
    <w:p w:rsidR="001D0B41" w:rsidRPr="001D0B41" w:rsidRDefault="001D0B41" w:rsidP="001D0B41">
      <w:pPr>
        <w:pStyle w:val="Odstavecseseznamem"/>
        <w:jc w:val="both"/>
        <w:rPr>
          <w:rFonts w:ascii="Times New Roman" w:hAnsi="Times New Roman" w:cs="Times New Roman"/>
          <w:sz w:val="24"/>
          <w:szCs w:val="24"/>
        </w:rPr>
      </w:pPr>
    </w:p>
    <w:p w:rsidR="001D0B41" w:rsidRPr="001D0B41" w:rsidRDefault="001D0B41" w:rsidP="001D0B41">
      <w:pPr>
        <w:pStyle w:val="Odstavecseseznamem"/>
        <w:numPr>
          <w:ilvl w:val="0"/>
          <w:numId w:val="2"/>
        </w:numPr>
        <w:spacing w:after="0" w:line="240" w:lineRule="auto"/>
        <w:contextualSpacing w:val="0"/>
        <w:jc w:val="both"/>
        <w:rPr>
          <w:rFonts w:ascii="Times New Roman" w:hAnsi="Times New Roman" w:cs="Times New Roman"/>
          <w:sz w:val="24"/>
          <w:szCs w:val="24"/>
        </w:rPr>
      </w:pPr>
      <w:r w:rsidRPr="001D0B41">
        <w:rPr>
          <w:rFonts w:ascii="Times New Roman" w:hAnsi="Times New Roman" w:cs="Times New Roman"/>
          <w:b/>
          <w:sz w:val="24"/>
          <w:szCs w:val="24"/>
        </w:rPr>
        <w:t>Plocha na území obce Horní Řasnice v k.ú. Horní Řasnice</w:t>
      </w:r>
      <w:r w:rsidRPr="001D0B41">
        <w:rPr>
          <w:rFonts w:ascii="Times New Roman" w:hAnsi="Times New Roman" w:cs="Times New Roman"/>
          <w:sz w:val="24"/>
          <w:szCs w:val="24"/>
        </w:rPr>
        <w:t xml:space="preserve"> navržená pro kompenzaci územního dluhu se nachází v těsné blízkosti vymezeného </w:t>
      </w:r>
      <w:r w:rsidRPr="001D0B41">
        <w:rPr>
          <w:rFonts w:ascii="Times New Roman" w:hAnsi="Times New Roman" w:cs="Times New Roman"/>
          <w:b/>
          <w:sz w:val="24"/>
          <w:szCs w:val="24"/>
        </w:rPr>
        <w:t>dobývacího prostoru výhradního ložiska nerostných surovin č. 3001000 Horní Řasnice, kde v současné době probíhá povrchová těžba písku a štěrkopísků (</w:t>
      </w:r>
      <w:r w:rsidRPr="001D0B41">
        <w:rPr>
          <w:rFonts w:ascii="Times New Roman" w:hAnsi="Times New Roman" w:cs="Times New Roman"/>
          <w:sz w:val="24"/>
          <w:szCs w:val="24"/>
        </w:rPr>
        <w:t>příloha 3</w:t>
      </w:r>
      <w:r w:rsidRPr="001D0B41">
        <w:rPr>
          <w:rFonts w:ascii="Times New Roman" w:hAnsi="Times New Roman" w:cs="Times New Roman"/>
          <w:b/>
          <w:sz w:val="24"/>
          <w:szCs w:val="24"/>
        </w:rPr>
        <w:t>).</w:t>
      </w:r>
      <w:r w:rsidRPr="001D0B41">
        <w:rPr>
          <w:rFonts w:ascii="Times New Roman" w:hAnsi="Times New Roman" w:cs="Times New Roman"/>
          <w:sz w:val="24"/>
          <w:szCs w:val="24"/>
        </w:rPr>
        <w:t xml:space="preserve"> Na stejném ložisku je vymezeno i chráněné ložiskové území č. 00 100000, které je několik desítek metrů od ploch určených ke kompenzaci územního dluhu (příloha 4). Předání plochy polské straně může být limitujícím faktorem pro případné rozšíření těžby ložiska.</w:t>
      </w:r>
    </w:p>
    <w:p w:rsidR="001D0B41" w:rsidRPr="001D0B41" w:rsidRDefault="001D0B41" w:rsidP="001D0B41">
      <w:pPr>
        <w:pStyle w:val="Odstavecseseznamem"/>
        <w:rPr>
          <w:rFonts w:ascii="Times New Roman" w:hAnsi="Times New Roman" w:cs="Times New Roman"/>
          <w:sz w:val="24"/>
          <w:szCs w:val="24"/>
        </w:rPr>
      </w:pPr>
    </w:p>
    <w:p w:rsidR="001D0B41" w:rsidRPr="001D0B41" w:rsidRDefault="001D0B41" w:rsidP="001D0B41">
      <w:pPr>
        <w:pStyle w:val="Odstavecseseznamem"/>
        <w:numPr>
          <w:ilvl w:val="0"/>
          <w:numId w:val="2"/>
        </w:numPr>
        <w:autoSpaceDE w:val="0"/>
        <w:autoSpaceDN w:val="0"/>
        <w:adjustRightInd w:val="0"/>
        <w:spacing w:after="120" w:line="240" w:lineRule="auto"/>
        <w:contextualSpacing w:val="0"/>
        <w:jc w:val="both"/>
        <w:rPr>
          <w:b/>
        </w:rPr>
      </w:pPr>
      <w:r w:rsidRPr="001D0B41">
        <w:rPr>
          <w:rFonts w:ascii="Times New Roman" w:hAnsi="Times New Roman" w:cs="Times New Roman"/>
          <w:b/>
          <w:sz w:val="24"/>
          <w:szCs w:val="24"/>
        </w:rPr>
        <w:t xml:space="preserve">Plocha na území obce Bulovka v k.ú. Dolní Oldříš – </w:t>
      </w:r>
      <w:r w:rsidRPr="001D0B41">
        <w:rPr>
          <w:rFonts w:ascii="Times New Roman" w:hAnsi="Times New Roman" w:cs="Times New Roman"/>
          <w:sz w:val="24"/>
          <w:szCs w:val="24"/>
        </w:rPr>
        <w:t>není žádné ložisko nerostných surovin.</w:t>
      </w:r>
    </w:p>
    <w:p w:rsidR="001D0B41" w:rsidRPr="001D0B41" w:rsidRDefault="001D0B41" w:rsidP="001D0B41">
      <w:pPr>
        <w:autoSpaceDE w:val="0"/>
        <w:autoSpaceDN w:val="0"/>
        <w:adjustRightInd w:val="0"/>
        <w:spacing w:after="120"/>
        <w:jc w:val="both"/>
        <w:rPr>
          <w:rFonts w:ascii="Times New Roman" w:hAnsi="Times New Roman" w:cs="Times New Roman"/>
          <w:b/>
          <w:sz w:val="24"/>
          <w:szCs w:val="24"/>
        </w:rPr>
      </w:pPr>
      <w:r w:rsidRPr="001D0B41">
        <w:rPr>
          <w:rFonts w:ascii="Times New Roman" w:hAnsi="Times New Roman" w:cs="Times New Roman"/>
          <w:b/>
          <w:sz w:val="24"/>
          <w:szCs w:val="24"/>
        </w:rPr>
        <w:t>Z výše uvedených důvodů navrhujeme hledat plochy pro územní kompenzaci s Polskou republikou mimo Liberecký kraj.</w:t>
      </w:r>
    </w:p>
    <w:p w:rsidR="00F040DB" w:rsidRDefault="00F040DB">
      <w:pPr>
        <w:rPr>
          <w:rFonts w:ascii="Times New Roman" w:hAnsi="Times New Roman" w:cs="Times New Roman"/>
          <w:sz w:val="24"/>
          <w:szCs w:val="24"/>
        </w:rPr>
      </w:pPr>
    </w:p>
    <w:p w:rsidR="00F040DB" w:rsidRPr="008925D3" w:rsidRDefault="00F040DB">
      <w:pPr>
        <w:rPr>
          <w:rFonts w:ascii="Times New Roman" w:hAnsi="Times New Roman" w:cs="Times New Roman"/>
          <w:b/>
          <w:sz w:val="24"/>
          <w:szCs w:val="24"/>
          <w:u w:val="single"/>
        </w:rPr>
      </w:pPr>
      <w:r w:rsidRPr="008925D3">
        <w:rPr>
          <w:rFonts w:ascii="Times New Roman" w:hAnsi="Times New Roman" w:cs="Times New Roman"/>
          <w:b/>
          <w:sz w:val="24"/>
          <w:szCs w:val="24"/>
          <w:u w:val="single"/>
        </w:rPr>
        <w:t>Odbor kancelář hejtmana – Oddělení krizového řízení</w:t>
      </w:r>
    </w:p>
    <w:p w:rsidR="00F040DB" w:rsidRDefault="008925D3">
      <w:pPr>
        <w:rPr>
          <w:rFonts w:ascii="Times New Roman" w:hAnsi="Times New Roman" w:cs="Times New Roman"/>
          <w:sz w:val="24"/>
          <w:szCs w:val="24"/>
        </w:rPr>
      </w:pPr>
      <w:r>
        <w:rPr>
          <w:rFonts w:ascii="Times New Roman" w:hAnsi="Times New Roman" w:cs="Times New Roman"/>
          <w:sz w:val="24"/>
          <w:szCs w:val="24"/>
        </w:rPr>
        <w:t xml:space="preserve">Z pohledu potřeb IZS LK a problematiky krizového řízení se </w:t>
      </w:r>
      <w:r w:rsidRPr="001D0B41">
        <w:rPr>
          <w:rFonts w:ascii="Times New Roman" w:hAnsi="Times New Roman" w:cs="Times New Roman"/>
          <w:sz w:val="24"/>
          <w:szCs w:val="24"/>
        </w:rPr>
        <w:t>nejedná o důležité pozemky</w:t>
      </w:r>
      <w:r>
        <w:rPr>
          <w:rFonts w:ascii="Times New Roman" w:hAnsi="Times New Roman" w:cs="Times New Roman"/>
          <w:sz w:val="24"/>
          <w:szCs w:val="24"/>
        </w:rPr>
        <w:t>.</w:t>
      </w:r>
    </w:p>
    <w:p w:rsidR="008925D3" w:rsidRDefault="008925D3">
      <w:pPr>
        <w:rPr>
          <w:rFonts w:ascii="Times New Roman" w:hAnsi="Times New Roman" w:cs="Times New Roman"/>
          <w:b/>
          <w:sz w:val="24"/>
          <w:szCs w:val="24"/>
          <w:u w:val="single"/>
        </w:rPr>
      </w:pPr>
    </w:p>
    <w:p w:rsidR="00F040DB" w:rsidRPr="008925D3" w:rsidRDefault="00F040DB">
      <w:pPr>
        <w:rPr>
          <w:rFonts w:ascii="Times New Roman" w:hAnsi="Times New Roman" w:cs="Times New Roman"/>
          <w:b/>
          <w:sz w:val="24"/>
          <w:szCs w:val="24"/>
          <w:u w:val="single"/>
        </w:rPr>
      </w:pPr>
      <w:r w:rsidRPr="008925D3">
        <w:rPr>
          <w:rFonts w:ascii="Times New Roman" w:hAnsi="Times New Roman" w:cs="Times New Roman"/>
          <w:b/>
          <w:sz w:val="24"/>
          <w:szCs w:val="24"/>
          <w:u w:val="single"/>
        </w:rPr>
        <w:t>Odbor dopravy</w:t>
      </w:r>
    </w:p>
    <w:p w:rsidR="008925D3" w:rsidRDefault="008925D3" w:rsidP="008925D3">
      <w:pPr>
        <w:jc w:val="both"/>
        <w:rPr>
          <w:rFonts w:ascii="Times New Roman" w:hAnsi="Times New Roman" w:cs="Times New Roman"/>
          <w:sz w:val="24"/>
          <w:szCs w:val="24"/>
        </w:rPr>
      </w:pPr>
      <w:r>
        <w:rPr>
          <w:rFonts w:ascii="Times New Roman" w:hAnsi="Times New Roman" w:cs="Times New Roman"/>
          <w:sz w:val="24"/>
          <w:szCs w:val="24"/>
        </w:rPr>
        <w:t>Žádné pozemní komunikace ve vlastnictví LK na navrhovaných pozemcích neleží, dle posouzení na nich neleží zřejmě ani žádné účelové komunikace, ale toto je potřebné prověřit prostřednictvím příslušných obecních úřadů, do jejichž kompetence toto patří.</w:t>
      </w:r>
    </w:p>
    <w:p w:rsidR="00EA4202" w:rsidRDefault="00EA4202">
      <w:pPr>
        <w:rPr>
          <w:rFonts w:ascii="Times New Roman" w:hAnsi="Times New Roman" w:cs="Times New Roman"/>
          <w:b/>
          <w:sz w:val="24"/>
          <w:szCs w:val="24"/>
          <w:u w:val="single"/>
        </w:rPr>
      </w:pPr>
    </w:p>
    <w:p w:rsidR="00F040DB" w:rsidRPr="008925D3" w:rsidRDefault="00F040DB">
      <w:pPr>
        <w:rPr>
          <w:rFonts w:ascii="Times New Roman" w:hAnsi="Times New Roman" w:cs="Times New Roman"/>
          <w:b/>
          <w:sz w:val="24"/>
          <w:szCs w:val="24"/>
          <w:u w:val="single"/>
        </w:rPr>
      </w:pPr>
      <w:r w:rsidRPr="008925D3">
        <w:rPr>
          <w:rFonts w:ascii="Times New Roman" w:hAnsi="Times New Roman" w:cs="Times New Roman"/>
          <w:b/>
          <w:sz w:val="24"/>
          <w:szCs w:val="24"/>
          <w:u w:val="single"/>
        </w:rPr>
        <w:t>Odbor životního prostředí</w:t>
      </w:r>
    </w:p>
    <w:p w:rsidR="008925D3" w:rsidRPr="008925D3" w:rsidRDefault="008925D3" w:rsidP="008925D3">
      <w:pPr>
        <w:rPr>
          <w:rFonts w:ascii="Times New Roman" w:hAnsi="Times New Roman" w:cs="Times New Roman"/>
          <w:sz w:val="24"/>
          <w:szCs w:val="24"/>
        </w:rPr>
      </w:pPr>
      <w:r w:rsidRPr="008925D3">
        <w:rPr>
          <w:rFonts w:ascii="Times New Roman" w:hAnsi="Times New Roman" w:cs="Times New Roman"/>
          <w:sz w:val="24"/>
          <w:szCs w:val="24"/>
        </w:rPr>
        <w:t>Na p.p.č. 849/1 pramení přítok Jasného potoka ve správě LČR</w:t>
      </w:r>
      <w:r w:rsidR="007608DB">
        <w:rPr>
          <w:rFonts w:ascii="Times New Roman" w:hAnsi="Times New Roman" w:cs="Times New Roman"/>
          <w:sz w:val="24"/>
          <w:szCs w:val="24"/>
        </w:rPr>
        <w:t xml:space="preserve"> </w:t>
      </w:r>
      <w:r w:rsidRPr="008925D3">
        <w:rPr>
          <w:rFonts w:ascii="Times New Roman" w:hAnsi="Times New Roman" w:cs="Times New Roman"/>
          <w:sz w:val="24"/>
          <w:szCs w:val="24"/>
        </w:rPr>
        <w:t xml:space="preserve"> IDVT 10184565</w:t>
      </w:r>
      <w:r>
        <w:rPr>
          <w:rFonts w:ascii="Times New Roman" w:hAnsi="Times New Roman" w:cs="Times New Roman"/>
          <w:sz w:val="24"/>
          <w:szCs w:val="24"/>
        </w:rPr>
        <w:t xml:space="preserve">.                   </w:t>
      </w:r>
      <w:r w:rsidRPr="008925D3">
        <w:rPr>
          <w:rFonts w:ascii="Times New Roman" w:hAnsi="Times New Roman" w:cs="Times New Roman"/>
          <w:sz w:val="24"/>
          <w:szCs w:val="24"/>
        </w:rPr>
        <w:t>Na p.p.č. 736/5 a 9 pramení přítok Řasnice od státní hranice I</w:t>
      </w:r>
      <w:r>
        <w:rPr>
          <w:rFonts w:ascii="Times New Roman" w:hAnsi="Times New Roman" w:cs="Times New Roman"/>
          <w:sz w:val="24"/>
          <w:szCs w:val="24"/>
        </w:rPr>
        <w:t xml:space="preserve">DVT 10185022, správce opět LČR.                                                                                                                                  </w:t>
      </w:r>
      <w:r w:rsidRPr="008925D3">
        <w:rPr>
          <w:rFonts w:ascii="Times New Roman" w:hAnsi="Times New Roman" w:cs="Times New Roman"/>
          <w:sz w:val="24"/>
          <w:szCs w:val="24"/>
        </w:rPr>
        <w:t xml:space="preserve">Všechny pozemky v k.ú.  Řasnice, které chtějí vydat  se nachází v ochranném pásmu Řasnice III a přímo u koryta toku pak PHO II. </w:t>
      </w:r>
      <w:r>
        <w:rPr>
          <w:rFonts w:ascii="Times New Roman" w:hAnsi="Times New Roman" w:cs="Times New Roman"/>
          <w:sz w:val="24"/>
          <w:szCs w:val="24"/>
        </w:rPr>
        <w:t xml:space="preserve">                                                                                      </w:t>
      </w:r>
      <w:r w:rsidRPr="008925D3">
        <w:rPr>
          <w:rFonts w:ascii="Times New Roman" w:hAnsi="Times New Roman" w:cs="Times New Roman"/>
          <w:sz w:val="24"/>
          <w:szCs w:val="24"/>
        </w:rPr>
        <w:lastRenderedPageBreak/>
        <w:t xml:space="preserve">Na hranici pozemku  p.p.č. 657 v k.ú. Dolní Oldříš  (v dolní části) začíná tok Červená voda (Oldřišský potok) IDVT 10185319 ve správě Povodí Labe. </w:t>
      </w:r>
      <w:r>
        <w:rPr>
          <w:rFonts w:ascii="Times New Roman" w:hAnsi="Times New Roman" w:cs="Times New Roman"/>
          <w:sz w:val="24"/>
          <w:szCs w:val="24"/>
        </w:rPr>
        <w:t xml:space="preserve">                                          </w:t>
      </w:r>
      <w:r w:rsidRPr="008925D3">
        <w:rPr>
          <w:rFonts w:ascii="Times New Roman" w:hAnsi="Times New Roman" w:cs="Times New Roman"/>
          <w:sz w:val="24"/>
          <w:szCs w:val="24"/>
        </w:rPr>
        <w:t xml:space="preserve">Vodohospodářská zařízení zde podle našich podkladů nejsou.  </w:t>
      </w:r>
    </w:p>
    <w:p w:rsidR="00F040DB" w:rsidRDefault="00F040DB">
      <w:pPr>
        <w:rPr>
          <w:rFonts w:ascii="Times New Roman" w:hAnsi="Times New Roman" w:cs="Times New Roman"/>
          <w:sz w:val="24"/>
          <w:szCs w:val="24"/>
        </w:rPr>
      </w:pPr>
    </w:p>
    <w:p w:rsidR="00F040DB" w:rsidRPr="00F040DB" w:rsidRDefault="00F040DB">
      <w:pPr>
        <w:rPr>
          <w:rFonts w:ascii="Times New Roman" w:hAnsi="Times New Roman" w:cs="Times New Roman"/>
          <w:b/>
          <w:sz w:val="24"/>
          <w:szCs w:val="24"/>
          <w:u w:val="single"/>
        </w:rPr>
      </w:pPr>
      <w:r w:rsidRPr="00F040DB">
        <w:rPr>
          <w:rFonts w:ascii="Times New Roman" w:hAnsi="Times New Roman" w:cs="Times New Roman"/>
          <w:b/>
          <w:sz w:val="24"/>
          <w:szCs w:val="24"/>
          <w:u w:val="single"/>
        </w:rPr>
        <w:t>Odbor územního plánování a stavebního řádu</w:t>
      </w:r>
    </w:p>
    <w:p w:rsidR="00F040DB" w:rsidRPr="00F040DB" w:rsidRDefault="00F040DB" w:rsidP="00F040DB">
      <w:pPr>
        <w:jc w:val="both"/>
        <w:rPr>
          <w:rFonts w:ascii="Times New Roman" w:hAnsi="Times New Roman" w:cs="Times New Roman"/>
          <w:sz w:val="24"/>
          <w:szCs w:val="24"/>
        </w:rPr>
      </w:pPr>
      <w:r w:rsidRPr="00F040DB">
        <w:rPr>
          <w:rFonts w:ascii="Times New Roman" w:hAnsi="Times New Roman" w:cs="Times New Roman"/>
          <w:sz w:val="24"/>
          <w:szCs w:val="24"/>
        </w:rPr>
        <w:t xml:space="preserve">OÚPSŘ jako pořizovatel „Zásad územního rozvoje Libereckého kraje“ (dále jen ZÚR LK) a „Územně analytických podkladů Libereckého kraje“ </w:t>
      </w:r>
      <w:r w:rsidRPr="00F040DB">
        <w:rPr>
          <w:rFonts w:ascii="Times New Roman" w:hAnsi="Times New Roman" w:cs="Times New Roman"/>
          <w:b/>
          <w:sz w:val="24"/>
          <w:szCs w:val="24"/>
        </w:rPr>
        <w:t>má</w:t>
      </w:r>
      <w:r w:rsidRPr="00F040DB">
        <w:rPr>
          <w:rFonts w:ascii="Times New Roman" w:hAnsi="Times New Roman" w:cs="Times New Roman"/>
          <w:sz w:val="24"/>
          <w:szCs w:val="24"/>
        </w:rPr>
        <w:t xml:space="preserve"> k navrhovaným kompenzačním plochám </w:t>
      </w:r>
      <w:r w:rsidRPr="00F040DB">
        <w:rPr>
          <w:rFonts w:ascii="Times New Roman" w:hAnsi="Times New Roman" w:cs="Times New Roman"/>
          <w:b/>
          <w:sz w:val="24"/>
          <w:szCs w:val="24"/>
        </w:rPr>
        <w:t>následující připomínky nebo spíše upozornění</w:t>
      </w:r>
      <w:r w:rsidRPr="00F040DB">
        <w:rPr>
          <w:rFonts w:ascii="Times New Roman" w:hAnsi="Times New Roman" w:cs="Times New Roman"/>
          <w:sz w:val="24"/>
          <w:szCs w:val="24"/>
        </w:rPr>
        <w:t>.</w:t>
      </w:r>
    </w:p>
    <w:p w:rsidR="00F040DB" w:rsidRPr="00F040DB" w:rsidRDefault="00F040DB" w:rsidP="00F040DB">
      <w:pPr>
        <w:jc w:val="both"/>
        <w:rPr>
          <w:rFonts w:ascii="Times New Roman" w:hAnsi="Times New Roman" w:cs="Times New Roman"/>
          <w:sz w:val="24"/>
          <w:szCs w:val="24"/>
        </w:rPr>
      </w:pPr>
      <w:r w:rsidRPr="00F040DB">
        <w:rPr>
          <w:rFonts w:ascii="Times New Roman" w:hAnsi="Times New Roman" w:cs="Times New Roman"/>
          <w:sz w:val="24"/>
          <w:szCs w:val="24"/>
        </w:rPr>
        <w:t xml:space="preserve">Z hlediska platných ZÚR LK konstatujeme, že přes navrhované kompenzační plochy v katastrálním území Horní Řasnice je vymezen jako veřejně prospěšné opatření regionální biokoridor územního systému ekologické stability RK636, který propojuje regionální biocentrum RC1788 a regionální biocentrum RC1276. Prvky územního sytému ekologické stability jsou určeny pro zachování ekologické stability a biodiverzity krajiny. V případě předání dotčených pozemků Polské republice je patrně třeba v ZÚR LK a následně i v územně plánovacích dokumentacích obcí prověřit a vymezit náhradní trasu regionálního biokoridoru RK636. </w:t>
      </w:r>
    </w:p>
    <w:p w:rsidR="00F040DB" w:rsidRPr="00F040DB" w:rsidRDefault="00F040DB" w:rsidP="00F040DB">
      <w:pPr>
        <w:jc w:val="both"/>
        <w:rPr>
          <w:rFonts w:ascii="Times New Roman" w:hAnsi="Times New Roman" w:cs="Times New Roman"/>
          <w:sz w:val="24"/>
          <w:szCs w:val="24"/>
        </w:rPr>
      </w:pPr>
      <w:r w:rsidRPr="00F040DB">
        <w:rPr>
          <w:rFonts w:ascii="Times New Roman" w:hAnsi="Times New Roman" w:cs="Times New Roman"/>
          <w:sz w:val="24"/>
          <w:szCs w:val="24"/>
        </w:rPr>
        <w:t>Dle informací v ÚAP LK upozorňujeme, že navrhované kompenzační plochy v katastrálním území Horního Vítkova z hlediska krajinného rázu sousedí v oblasti Lysého vrchu s významným prostorovým předělem hřbetu Jizerských hor. Z dat průměrných rychlostí větru Ústavu fyziky atmosféry Akademie věd ČR vyplývá, že se zároveň jedná o velice větrné území a lze předpokládat, že může Polsko využít toto území pro výstavbu větrných elektráren. V návrhu Aktualizace č. 1 ZÚR LK pro společné jednání však bylo toto území vyhodnoceno jako území nevhodné a spíše nevhodné pro umisťování vysokých větrných elektráren. Možnost potenciálního využití však nelze přímo předjímat, uvádíme spíše k úvaze.</w:t>
      </w:r>
    </w:p>
    <w:p w:rsidR="00F040DB" w:rsidRPr="00F040DB" w:rsidRDefault="00F040DB" w:rsidP="00F040DB">
      <w:pPr>
        <w:jc w:val="both"/>
        <w:rPr>
          <w:rFonts w:ascii="Times New Roman" w:hAnsi="Times New Roman" w:cs="Times New Roman"/>
          <w:sz w:val="24"/>
          <w:szCs w:val="24"/>
        </w:rPr>
      </w:pPr>
    </w:p>
    <w:p w:rsidR="00F040DB" w:rsidRPr="00F040DB" w:rsidRDefault="00F040DB" w:rsidP="00F040DB">
      <w:pPr>
        <w:jc w:val="both"/>
        <w:rPr>
          <w:rFonts w:ascii="Times New Roman" w:hAnsi="Times New Roman" w:cs="Times New Roman"/>
          <w:sz w:val="24"/>
          <w:szCs w:val="24"/>
        </w:rPr>
      </w:pPr>
    </w:p>
    <w:p w:rsidR="00F040DB" w:rsidRPr="00F040DB" w:rsidRDefault="00F040DB">
      <w:pPr>
        <w:rPr>
          <w:rFonts w:ascii="Times New Roman" w:hAnsi="Times New Roman" w:cs="Times New Roman"/>
          <w:sz w:val="24"/>
          <w:szCs w:val="24"/>
        </w:rPr>
      </w:pPr>
    </w:p>
    <w:p w:rsidR="00F040DB" w:rsidRPr="00F040DB" w:rsidRDefault="00F040DB">
      <w:pPr>
        <w:rPr>
          <w:rFonts w:ascii="Times New Roman" w:hAnsi="Times New Roman" w:cs="Times New Roman"/>
          <w:sz w:val="24"/>
          <w:szCs w:val="24"/>
        </w:rPr>
      </w:pPr>
    </w:p>
    <w:sectPr w:rsidR="00F040DB" w:rsidRPr="00F04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EE2"/>
    <w:multiLevelType w:val="hybridMultilevel"/>
    <w:tmpl w:val="E9BA4D6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90216C1"/>
    <w:multiLevelType w:val="hybridMultilevel"/>
    <w:tmpl w:val="B33C7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BAB1F7E"/>
    <w:multiLevelType w:val="hybridMultilevel"/>
    <w:tmpl w:val="36BE9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DB"/>
    <w:rsid w:val="001D0B41"/>
    <w:rsid w:val="001F55EE"/>
    <w:rsid w:val="00465AC6"/>
    <w:rsid w:val="007608DB"/>
    <w:rsid w:val="008925D3"/>
    <w:rsid w:val="00EA4202"/>
    <w:rsid w:val="00F04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0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5908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Chyle Josef</dc:creator>
  <cp:lastModifiedBy>Chyle Josef</cp:lastModifiedBy>
  <cp:revision>2</cp:revision>
  <dcterms:created xsi:type="dcterms:W3CDTF">2015-12-16T08:45:00Z</dcterms:created>
  <dcterms:modified xsi:type="dcterms:W3CDTF">2015-12-16T08:45:00Z</dcterms:modified>
</cp:coreProperties>
</file>