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A55455" w:rsidRDefault="00B23C83" w:rsidP="00E115B2">
      <w:r w:rsidRPr="00A55455">
        <w:t>Příloha č. 2</w:t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  <w:t xml:space="preserve">       </w:t>
      </w:r>
      <w:r w:rsidR="00794D2B" w:rsidRPr="00A55455">
        <w:t xml:space="preserve">                   </w:t>
      </w:r>
    </w:p>
    <w:p w:rsidR="00E115B2" w:rsidRPr="00B06D7D" w:rsidRDefault="00E115B2" w:rsidP="00E115B2">
      <w:pPr>
        <w:jc w:val="center"/>
        <w:rPr>
          <w:b/>
          <w:bCs/>
          <w:sz w:val="28"/>
          <w:szCs w:val="28"/>
        </w:rPr>
      </w:pPr>
      <w:r w:rsidRPr="00B06D7D">
        <w:rPr>
          <w:b/>
          <w:bCs/>
          <w:sz w:val="28"/>
          <w:szCs w:val="28"/>
        </w:rPr>
        <w:t>SMLOUVA</w:t>
      </w:r>
    </w:p>
    <w:p w:rsidR="00461932" w:rsidRP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bezúročné </w:t>
      </w:r>
      <w:r w:rsidR="002304F9">
        <w:rPr>
          <w:b/>
          <w:bCs/>
        </w:rPr>
        <w:t>peněžité</w:t>
      </w:r>
      <w:r w:rsidR="002304F9" w:rsidRPr="00461932">
        <w:rPr>
          <w:b/>
          <w:bCs/>
        </w:rPr>
        <w:t xml:space="preserve"> </w:t>
      </w:r>
      <w:r w:rsidR="002304F9">
        <w:rPr>
          <w:b/>
          <w:bCs/>
        </w:rPr>
        <w:t>zápůjč</w:t>
      </w:r>
      <w:r w:rsidR="002304F9" w:rsidRPr="00461932">
        <w:rPr>
          <w:b/>
          <w:bCs/>
        </w:rPr>
        <w:t>ky</w:t>
      </w:r>
      <w:r w:rsidRPr="00461932">
        <w:rPr>
          <w:b/>
          <w:bCs/>
        </w:rPr>
        <w:t xml:space="preserve"> z rozpočtu Libereckého kraje</w:t>
      </w:r>
    </w:p>
    <w:p w:rsidR="00461932" w:rsidRDefault="00B72022" w:rsidP="00461932">
      <w:pPr>
        <w:jc w:val="center"/>
        <w:rPr>
          <w:b/>
          <w:bCs/>
        </w:rPr>
      </w:pPr>
      <w:r>
        <w:rPr>
          <w:b/>
          <w:bCs/>
        </w:rPr>
        <w:t>č. OLP/</w:t>
      </w:r>
      <w:r w:rsidR="000D486D">
        <w:rPr>
          <w:b/>
          <w:bCs/>
        </w:rPr>
        <w:t>24/</w:t>
      </w:r>
      <w:r w:rsidRPr="00C96E63">
        <w:rPr>
          <w:b/>
          <w:bCs/>
        </w:rPr>
        <w:t>201</w:t>
      </w:r>
      <w:r w:rsidR="003B1014">
        <w:rPr>
          <w:b/>
          <w:bCs/>
        </w:rPr>
        <w:t>5</w:t>
      </w:r>
    </w:p>
    <w:p w:rsidR="00461932" w:rsidRDefault="00461932" w:rsidP="00461932">
      <w:pPr>
        <w:jc w:val="left"/>
      </w:pPr>
    </w:p>
    <w:p w:rsidR="00563E92" w:rsidRPr="008C2C00" w:rsidRDefault="00563E92" w:rsidP="002753F1">
      <w:pPr>
        <w:jc w:val="center"/>
      </w:pPr>
    </w:p>
    <w:p w:rsidR="00E115B2" w:rsidRDefault="00E115B2" w:rsidP="00E115B2">
      <w:r w:rsidRPr="00B06D7D">
        <w:t xml:space="preserve">Smlouva se uzavírá </w:t>
      </w:r>
      <w:proofErr w:type="gramStart"/>
      <w:r w:rsidRPr="00B06D7D">
        <w:t>mezi</w:t>
      </w:r>
      <w:proofErr w:type="gramEnd"/>
      <w:r w:rsidRPr="00B06D7D">
        <w:t>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Pr="00B06D7D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19-7964200287/0100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72022" w:rsidP="00E115B2">
      <w:pPr>
        <w:rPr>
          <w:b/>
        </w:rPr>
      </w:pPr>
      <w:r w:rsidRPr="00B72022">
        <w:rPr>
          <w:b/>
        </w:rPr>
        <w:t>Nemocnice s poliklinikou Česká Lípa, a.s.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B72022" w:rsidRPr="00B72022">
        <w:t>Purkyňova 1849, 470 77 Česká Lípa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>MUDr. Radkem Havlasem, předsedou představenstva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B72022" w:rsidRPr="00B72022">
        <w:t>27283518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CZ27283518</w:t>
      </w:r>
    </w:p>
    <w:p w:rsidR="00694EE2" w:rsidRPr="00694EE2" w:rsidRDefault="00694EE2" w:rsidP="00694EE2">
      <w:r w:rsidRPr="00694EE2">
        <w:t>bankovní spojení:</w:t>
      </w:r>
      <w:r w:rsidRPr="00694EE2">
        <w:tab/>
      </w:r>
      <w:r w:rsidR="00B72022" w:rsidRPr="00B72022">
        <w:t>GE Money Bank, a. s.</w:t>
      </w:r>
    </w:p>
    <w:p w:rsidR="00694EE2" w:rsidRPr="00AA0389" w:rsidRDefault="00694EE2" w:rsidP="00694EE2">
      <w:pPr>
        <w:rPr>
          <w:i/>
          <w:sz w:val="36"/>
          <w:szCs w:val="36"/>
        </w:rPr>
      </w:pPr>
      <w:r w:rsidRPr="00793688">
        <w:rPr>
          <w:color w:val="000000"/>
        </w:rPr>
        <w:t>číslo účtu</w:t>
      </w:r>
      <w:r w:rsidRPr="00694EE2">
        <w:t>:</w:t>
      </w:r>
      <w:r w:rsidRPr="00694EE2">
        <w:tab/>
      </w:r>
      <w:r w:rsidRPr="00694EE2">
        <w:tab/>
      </w:r>
      <w:r w:rsidR="00B72022" w:rsidRPr="00B72022">
        <w:t>183452738/0600</w:t>
      </w:r>
    </w:p>
    <w:p w:rsidR="00E115B2" w:rsidRPr="00B06D7D" w:rsidRDefault="00694EE2" w:rsidP="00694EE2">
      <w:r w:rsidRPr="00B06D7D">
        <w:t xml:space="preserve"> </w:t>
      </w:r>
      <w:r w:rsidR="00E115B2"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3345E9" w:rsidRDefault="00E115B2" w:rsidP="00B82BEB">
      <w:pPr>
        <w:spacing w:before="120" w:after="120"/>
      </w:pPr>
      <w:r w:rsidRPr="00B06D7D">
        <w:t xml:space="preserve">Předmětem této smlouvy je poskytnutí bezúročné </w:t>
      </w:r>
      <w:r w:rsidR="002304F9">
        <w:t>peněžit</w:t>
      </w:r>
      <w:r w:rsidRPr="00B06D7D">
        <w:t xml:space="preserve">é </w:t>
      </w:r>
      <w:r w:rsidR="002304F9">
        <w:t>zápůjč</w:t>
      </w:r>
      <w:r w:rsidR="002304F9" w:rsidRPr="00B06D7D">
        <w:t>ky</w:t>
      </w:r>
      <w:r w:rsidRPr="00B06D7D">
        <w:t xml:space="preserve"> </w:t>
      </w:r>
      <w:r>
        <w:t xml:space="preserve">ve výši </w:t>
      </w:r>
      <w:r w:rsidR="00B72022">
        <w:rPr>
          <w:color w:val="000000"/>
        </w:rPr>
        <w:t>1</w:t>
      </w:r>
      <w:r w:rsidR="00950462">
        <w:rPr>
          <w:color w:val="000000"/>
        </w:rPr>
        <w:t>5</w:t>
      </w:r>
      <w:r w:rsidR="00B72022">
        <w:rPr>
          <w:color w:val="000000"/>
        </w:rPr>
        <w:t>.0</w:t>
      </w:r>
      <w:r w:rsidR="00097397" w:rsidRPr="00097397">
        <w:rPr>
          <w:color w:val="000000"/>
        </w:rPr>
        <w:t>00.000,00</w:t>
      </w:r>
      <w:r w:rsidR="00097397">
        <w:rPr>
          <w:color w:val="000000"/>
        </w:rPr>
        <w:t xml:space="preserve"> </w:t>
      </w:r>
      <w:r w:rsidRPr="00097397">
        <w:rPr>
          <w:color w:val="000000"/>
        </w:rPr>
        <w:t>Kč</w:t>
      </w:r>
      <w:r>
        <w:t xml:space="preserve"> </w:t>
      </w:r>
      <w:r w:rsidRPr="00B06D7D">
        <w:t xml:space="preserve">z rozpočtu Libereckého kraje na </w:t>
      </w:r>
      <w:r w:rsidR="003B1014">
        <w:t>řešení nesouladu mezi náklady a výnosy Nemocnic</w:t>
      </w:r>
      <w:r w:rsidR="00302684">
        <w:t>e</w:t>
      </w:r>
      <w:r w:rsidR="003B1014">
        <w:t xml:space="preserve"> s poliklinikou Česká Lípa, a. s. při zachování doby splatnosti faktur.</w:t>
      </w:r>
    </w:p>
    <w:p w:rsidR="00B82BEB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415D58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Článek II.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Uvolnění finanční</w:t>
      </w:r>
      <w:r>
        <w:rPr>
          <w:b/>
          <w:bCs/>
        </w:rPr>
        <w:t>ch prostředků</w:t>
      </w:r>
    </w:p>
    <w:p w:rsidR="00B82BEB" w:rsidRPr="00415D58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830E82">
      <w:pPr>
        <w:widowControl/>
        <w:spacing w:before="120" w:after="120"/>
      </w:pPr>
      <w:r w:rsidRPr="00B06D7D">
        <w:t xml:space="preserve">Finanční prostředky budou </w:t>
      </w:r>
      <w:r>
        <w:t>poskytovatelem zaslány jednorá</w:t>
      </w:r>
      <w:r w:rsidR="00CE5130">
        <w:t>zově na účet příjemce</w:t>
      </w:r>
      <w:r w:rsidR="00863B0D">
        <w:t>,</w:t>
      </w:r>
      <w:r w:rsidR="00CE5130">
        <w:t xml:space="preserve"> </w:t>
      </w:r>
      <w:r w:rsidR="00863B0D">
        <w:br/>
      </w:r>
      <w:r w:rsidR="00CE5130">
        <w:t>a to do 30</w:t>
      </w:r>
      <w:r>
        <w:t xml:space="preserve"> dnů po podpisu této smlouvy oběm</w:t>
      </w:r>
      <w:r w:rsidR="00563E92">
        <w:t>a</w:t>
      </w:r>
      <w:r>
        <w:t xml:space="preserve"> smluvními stranami. </w:t>
      </w:r>
    </w:p>
    <w:p w:rsidR="002304F9" w:rsidRDefault="002304F9" w:rsidP="00E115B2"/>
    <w:p w:rsidR="00E115B2" w:rsidRPr="00415D58" w:rsidRDefault="00E115B2" w:rsidP="00E115B2">
      <w:pPr>
        <w:jc w:val="center"/>
        <w:rPr>
          <w:b/>
          <w:bCs/>
        </w:rPr>
      </w:pPr>
      <w:r w:rsidRPr="00415D58">
        <w:rPr>
          <w:b/>
          <w:bCs/>
        </w:rPr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:rsidR="00E115B2" w:rsidRPr="00415D58" w:rsidRDefault="00E115B2" w:rsidP="00E115B2">
      <w:pPr>
        <w:jc w:val="center"/>
        <w:rPr>
          <w:b/>
          <w:bCs/>
        </w:rPr>
      </w:pPr>
      <w:r w:rsidRPr="00415D58">
        <w:rPr>
          <w:b/>
          <w:bCs/>
        </w:rPr>
        <w:t>Základní povinnosti příjemce</w:t>
      </w:r>
    </w:p>
    <w:p w:rsidR="00E115B2" w:rsidRPr="00B06D7D" w:rsidRDefault="00E115B2" w:rsidP="00E115B2"/>
    <w:p w:rsidR="00E115B2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314167">
        <w:rPr>
          <w:color w:val="000000"/>
        </w:rPr>
        <w:t xml:space="preserve">Příjemce je povinen použít finanční prostředky z poskytnuté bezúročné </w:t>
      </w:r>
      <w:r w:rsidR="002304F9">
        <w:rPr>
          <w:color w:val="000000"/>
        </w:rPr>
        <w:t>peněžit</w:t>
      </w:r>
      <w:r w:rsidRPr="00314167">
        <w:rPr>
          <w:color w:val="000000"/>
        </w:rPr>
        <w:t xml:space="preserve">é </w:t>
      </w:r>
      <w:r w:rsidR="002304F9">
        <w:rPr>
          <w:color w:val="000000"/>
        </w:rPr>
        <w:t>zápůjč</w:t>
      </w:r>
      <w:r w:rsidR="002304F9" w:rsidRPr="00314167">
        <w:rPr>
          <w:color w:val="000000"/>
        </w:rPr>
        <w:t>ky</w:t>
      </w:r>
      <w:r w:rsidRPr="00314167">
        <w:rPr>
          <w:color w:val="000000"/>
        </w:rPr>
        <w:t xml:space="preserve"> pouze k účelu stanovenému v článku I. </w:t>
      </w:r>
      <w:r>
        <w:rPr>
          <w:color w:val="000000"/>
        </w:rPr>
        <w:t>této smlouvy.</w:t>
      </w:r>
      <w:r w:rsidRPr="00314167">
        <w:rPr>
          <w:color w:val="000000"/>
        </w:rPr>
        <w:t xml:space="preserve"> </w:t>
      </w:r>
    </w:p>
    <w:p w:rsidR="00084CF3" w:rsidRPr="00D47DB8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DE2F0A">
        <w:rPr>
          <w:color w:val="000000"/>
        </w:rPr>
        <w:t xml:space="preserve">Příjemce se zavazuje, že poskytovateli vrátí poskytnutou bezúročnou </w:t>
      </w:r>
      <w:r w:rsidR="002304F9" w:rsidRPr="00DE2F0A">
        <w:rPr>
          <w:color w:val="000000"/>
        </w:rPr>
        <w:t>peněžit</w:t>
      </w:r>
      <w:r w:rsidRPr="00DE2F0A">
        <w:rPr>
          <w:color w:val="000000"/>
        </w:rPr>
        <w:t xml:space="preserve">ou </w:t>
      </w:r>
      <w:r w:rsidR="002304F9" w:rsidRPr="00DE2F0A">
        <w:rPr>
          <w:color w:val="000000"/>
        </w:rPr>
        <w:t>zápůjčku</w:t>
      </w:r>
      <w:r w:rsidR="00084CF3" w:rsidRPr="00DE2F0A">
        <w:rPr>
          <w:color w:val="000000"/>
        </w:rPr>
        <w:t xml:space="preserve"> </w:t>
      </w:r>
      <w:r w:rsidR="002F5AB4" w:rsidRPr="00DE2F0A">
        <w:rPr>
          <w:color w:val="000000"/>
        </w:rPr>
        <w:t>ve výši</w:t>
      </w:r>
      <w:r w:rsidR="00084CF3" w:rsidRPr="00DE2F0A">
        <w:rPr>
          <w:color w:val="000000"/>
        </w:rPr>
        <w:t xml:space="preserve"> 1</w:t>
      </w:r>
      <w:r w:rsidR="00A22BD0">
        <w:rPr>
          <w:color w:val="000000"/>
        </w:rPr>
        <w:t>5</w:t>
      </w:r>
      <w:r w:rsidR="00910507">
        <w:rPr>
          <w:color w:val="000000"/>
        </w:rPr>
        <w:t>.000.000</w:t>
      </w:r>
      <w:r w:rsidR="00A15A0E">
        <w:rPr>
          <w:color w:val="000000"/>
        </w:rPr>
        <w:t> </w:t>
      </w:r>
      <w:r w:rsidR="00084CF3" w:rsidRPr="00DE2F0A">
        <w:rPr>
          <w:color w:val="000000"/>
        </w:rPr>
        <w:t>Kč</w:t>
      </w:r>
      <w:r w:rsidRPr="00DE2F0A">
        <w:rPr>
          <w:color w:val="000000"/>
        </w:rPr>
        <w:t xml:space="preserve"> </w:t>
      </w:r>
      <w:r w:rsidR="00084CF3" w:rsidRPr="00DE2F0A">
        <w:rPr>
          <w:b/>
          <w:color w:val="000000"/>
        </w:rPr>
        <w:t xml:space="preserve">nejpozději do </w:t>
      </w:r>
      <w:r w:rsidR="005C6805">
        <w:rPr>
          <w:b/>
          <w:color w:val="000000"/>
        </w:rPr>
        <w:t>3</w:t>
      </w:r>
      <w:r w:rsidR="002D646B">
        <w:rPr>
          <w:b/>
          <w:color w:val="000000"/>
        </w:rPr>
        <w:t>1</w:t>
      </w:r>
      <w:r w:rsidRPr="00DE2F0A">
        <w:rPr>
          <w:b/>
          <w:color w:val="000000"/>
        </w:rPr>
        <w:t>.</w:t>
      </w:r>
      <w:r w:rsidR="000F7C58">
        <w:rPr>
          <w:b/>
          <w:color w:val="000000"/>
        </w:rPr>
        <w:t xml:space="preserve"> </w:t>
      </w:r>
      <w:r w:rsidR="002D646B">
        <w:rPr>
          <w:b/>
          <w:color w:val="000000"/>
        </w:rPr>
        <w:t>srpna</w:t>
      </w:r>
      <w:r w:rsidR="00C96E63" w:rsidRPr="00DE2F0A">
        <w:rPr>
          <w:b/>
          <w:color w:val="000000"/>
        </w:rPr>
        <w:t xml:space="preserve"> </w:t>
      </w:r>
      <w:r w:rsidRPr="00DE2F0A">
        <w:rPr>
          <w:b/>
          <w:color w:val="000000"/>
        </w:rPr>
        <w:t>20</w:t>
      </w:r>
      <w:r w:rsidR="00794D2B" w:rsidRPr="00DE2F0A">
        <w:rPr>
          <w:b/>
          <w:color w:val="000000"/>
        </w:rPr>
        <w:t>1</w:t>
      </w:r>
      <w:r w:rsidR="005C6805">
        <w:rPr>
          <w:b/>
          <w:color w:val="000000"/>
        </w:rPr>
        <w:t>5</w:t>
      </w:r>
      <w:r w:rsidRPr="00DE2F0A">
        <w:rPr>
          <w:color w:val="000000"/>
        </w:rPr>
        <w:t>. Finanční</w:t>
      </w:r>
      <w:r w:rsidR="005C6805">
        <w:rPr>
          <w:color w:val="000000"/>
        </w:rPr>
        <w:t xml:space="preserve"> </w:t>
      </w:r>
      <w:r w:rsidRPr="00DE2F0A">
        <w:rPr>
          <w:color w:val="000000"/>
        </w:rPr>
        <w:t xml:space="preserve">prostředky </w:t>
      </w:r>
      <w:r w:rsidRPr="00DE2F0A">
        <w:rPr>
          <w:color w:val="000000"/>
        </w:rPr>
        <w:lastRenderedPageBreak/>
        <w:t xml:space="preserve">převede na účet poskytovatele </w:t>
      </w:r>
      <w:r w:rsidRPr="000B44FE">
        <w:rPr>
          <w:b/>
          <w:color w:val="000000"/>
        </w:rPr>
        <w:t xml:space="preserve">č. </w:t>
      </w:r>
      <w:r w:rsidR="000B44FE" w:rsidRPr="000B44FE">
        <w:rPr>
          <w:b/>
          <w:color w:val="000000"/>
        </w:rPr>
        <w:t>19-7964200287</w:t>
      </w:r>
      <w:r w:rsidR="000D486D">
        <w:rPr>
          <w:b/>
          <w:color w:val="000000"/>
        </w:rPr>
        <w:t>/</w:t>
      </w:r>
      <w:r w:rsidR="00FA0D41" w:rsidRPr="000B44FE">
        <w:rPr>
          <w:b/>
          <w:color w:val="000000"/>
        </w:rPr>
        <w:t>0100</w:t>
      </w:r>
      <w:r w:rsidR="002F5AB4" w:rsidRPr="000B44FE">
        <w:rPr>
          <w:b/>
          <w:color w:val="000000"/>
        </w:rPr>
        <w:t xml:space="preserve"> pod variabilním</w:t>
      </w:r>
      <w:r w:rsidR="002F5AB4" w:rsidRPr="00DE2F0A">
        <w:rPr>
          <w:b/>
          <w:color w:val="000000"/>
        </w:rPr>
        <w:t xml:space="preserve"> symbolem</w:t>
      </w:r>
      <w:r w:rsidR="007D4BBE" w:rsidRPr="00DE2F0A">
        <w:rPr>
          <w:b/>
          <w:color w:val="000000"/>
        </w:rPr>
        <w:t xml:space="preserve"> </w:t>
      </w:r>
      <w:r w:rsidR="007D4BBE" w:rsidRPr="00685F77">
        <w:rPr>
          <w:b/>
          <w:color w:val="000000"/>
        </w:rPr>
        <w:t>09</w:t>
      </w:r>
      <w:r w:rsidR="00004E59" w:rsidRPr="00685F77">
        <w:rPr>
          <w:b/>
          <w:color w:val="000000"/>
        </w:rPr>
        <w:t>80</w:t>
      </w:r>
      <w:r w:rsidR="007D4BBE" w:rsidRPr="00685F77">
        <w:rPr>
          <w:b/>
          <w:color w:val="000000"/>
        </w:rPr>
        <w:t>00</w:t>
      </w:r>
      <w:r w:rsidR="00685F77">
        <w:rPr>
          <w:b/>
          <w:color w:val="000000"/>
        </w:rPr>
        <w:t>4</w:t>
      </w:r>
      <w:r w:rsidR="00084CF3" w:rsidRPr="00D47DB8">
        <w:rPr>
          <w:b/>
          <w:color w:val="000000"/>
        </w:rPr>
        <w:t>.</w:t>
      </w:r>
    </w:p>
    <w:p w:rsidR="00B23002" w:rsidRDefault="00B23002" w:rsidP="00E115B2">
      <w:pPr>
        <w:jc w:val="center"/>
        <w:rPr>
          <w:b/>
          <w:bCs/>
        </w:rPr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:rsidR="00E115B2" w:rsidRDefault="00E115B2" w:rsidP="00E115B2">
      <w:pPr>
        <w:jc w:val="center"/>
        <w:rPr>
          <w:b/>
          <w:bCs/>
          <w:color w:val="000000"/>
        </w:rPr>
      </w:pPr>
      <w:r w:rsidRPr="00314167">
        <w:rPr>
          <w:b/>
          <w:bCs/>
          <w:color w:val="000000"/>
        </w:rPr>
        <w:t>Kontrola použití finančních prostředků</w:t>
      </w:r>
    </w:p>
    <w:p w:rsidR="00E115B2" w:rsidRPr="00314167" w:rsidRDefault="00E115B2" w:rsidP="00830E82">
      <w:pPr>
        <w:ind w:hanging="567"/>
        <w:jc w:val="center"/>
        <w:rPr>
          <w:b/>
          <w:bCs/>
          <w:color w:val="000000"/>
        </w:rPr>
      </w:pP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Bezúročná </w:t>
      </w:r>
      <w:r w:rsidR="002304F9" w:rsidRPr="00830E82">
        <w:t>peněžit</w:t>
      </w:r>
      <w:r w:rsidRPr="00830E82">
        <w:t xml:space="preserve">á </w:t>
      </w:r>
      <w:r w:rsidR="002304F9" w:rsidRPr="00830E82">
        <w:t>zápůjčka</w:t>
      </w:r>
      <w:r w:rsidRPr="00830E82">
        <w:t xml:space="preserve"> je příjemci poskytnuta ve smyslu zákona č. 129/2000 Sb., </w:t>
      </w:r>
      <w:r w:rsidR="00794D2B" w:rsidRPr="00830E82">
        <w:br/>
      </w:r>
      <w:r w:rsidRPr="00830E82">
        <w:t xml:space="preserve">o krajích, ve znění pozdějších předpisů, a zákona č. 250/2000 Sb., o rozpočtových pravidlech územních rozpočtů, ve znění pozdějších předpisů. </w:t>
      </w: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Příslušné kontrolní orgány poskytovatele jsou oprávněny v souladu se zvláštním právním předpisem provádět kontrolu dodržení podmínek a účelu, za kterých byla tato bezúročná </w:t>
      </w:r>
      <w:r w:rsidR="002304F9" w:rsidRPr="00830E82">
        <w:t>peněžit</w:t>
      </w:r>
      <w:r w:rsidRPr="00830E82">
        <w:t xml:space="preserve">á </w:t>
      </w:r>
      <w:r w:rsidR="002304F9" w:rsidRPr="00830E82">
        <w:t>zápůjčka</w:t>
      </w:r>
      <w:r w:rsidR="00BD7398" w:rsidRPr="00830E82">
        <w:t xml:space="preserve"> poskytnuta</w:t>
      </w:r>
      <w:r w:rsidRPr="00830E82">
        <w:t xml:space="preserve">. </w:t>
      </w:r>
    </w:p>
    <w:p w:rsidR="007522E3" w:rsidRPr="007522E3" w:rsidRDefault="007522E3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7522E3">
        <w:t xml:space="preserve">Porušení povinností příjemcem stanovených touto smlouvou je porušením rozpočtové kázně ve smyslu </w:t>
      </w:r>
      <w:proofErr w:type="spellStart"/>
      <w:r w:rsidRPr="007522E3">
        <w:t>ust</w:t>
      </w:r>
      <w:proofErr w:type="spellEnd"/>
      <w:r w:rsidRPr="007522E3">
        <w:t xml:space="preserve">. § 22 zákona č. 250/2000 Sb., o rozpočtových pravidlech územních rozpočtů, ve znění pozdějších předpisů. </w:t>
      </w:r>
    </w:p>
    <w:p w:rsidR="00794D2B" w:rsidRPr="00B06D7D" w:rsidRDefault="00794D2B" w:rsidP="00E115B2">
      <w:pPr>
        <w:widowControl/>
        <w:ind w:left="-60"/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Článek V.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:rsidR="00E115B2" w:rsidRPr="00B06D7D" w:rsidRDefault="00E115B2" w:rsidP="00E115B2"/>
    <w:p w:rsidR="00C31DC2" w:rsidRDefault="00C31DC2" w:rsidP="00830E82">
      <w:pPr>
        <w:widowControl/>
        <w:numPr>
          <w:ilvl w:val="0"/>
          <w:numId w:val="4"/>
        </w:numPr>
        <w:tabs>
          <w:tab w:val="clear" w:pos="720"/>
        </w:tabs>
        <w:ind w:left="567" w:hanging="567"/>
      </w:pPr>
      <w:r w:rsidRPr="00E65A94">
        <w:t xml:space="preserve">Jestliže příjemce nesplní některou ze svých povinností stanovených v této smlouvě, </w:t>
      </w:r>
      <w:r>
        <w:t xml:space="preserve">považuje se toto jednání příjemce za neoprávněné použití finančních prostředků dle § 22 odst. 2 zákona č. 250/2000 Sb., o rozpočtových pravidlech územních rozpočtů, ve znění pozdějších předpisů a příjemce je v takovém případě povinen </w:t>
      </w:r>
      <w:r w:rsidRPr="00E65A94">
        <w:t xml:space="preserve">ve lhůtě, kterou </w:t>
      </w:r>
      <w:r>
        <w:t xml:space="preserve">mu stanoví </w:t>
      </w:r>
      <w:r w:rsidRPr="00E65A94">
        <w:t>poskytovate</w:t>
      </w:r>
      <w:r>
        <w:t>l</w:t>
      </w:r>
      <w:r w:rsidRPr="00E65A94">
        <w:t>, poskytnuté finanční prostředky vráti</w:t>
      </w:r>
      <w:r>
        <w:t>t</w:t>
      </w:r>
      <w:r w:rsidRPr="00E65A94">
        <w:t xml:space="preserve">. Pokud příjemce </w:t>
      </w:r>
      <w:r w:rsidR="00D47DB8">
        <w:br/>
      </w:r>
      <w:r w:rsidRPr="00E65A94">
        <w:t xml:space="preserve">ve stanovené lhůtě požadované finanční prostředky nevrátí, považují se tyto prostředky za zadržené ve smyslu § 22 </w:t>
      </w:r>
      <w:r>
        <w:t xml:space="preserve">odst. 3 </w:t>
      </w:r>
      <w:r w:rsidRPr="00E65A94">
        <w:t>zákona č. 250/2000 Sb., o rozpočtových pravidlech územních rozpočtů</w:t>
      </w:r>
      <w:r>
        <w:t>, ve znění pozdějších předpisů</w:t>
      </w:r>
      <w:r w:rsidRPr="00E65A94">
        <w:t xml:space="preserve">. </w:t>
      </w:r>
    </w:p>
    <w:p w:rsidR="00C31DC2" w:rsidRDefault="00C31DC2" w:rsidP="00830E82">
      <w:pPr>
        <w:widowControl/>
        <w:ind w:left="567" w:hanging="567"/>
      </w:pPr>
    </w:p>
    <w:p w:rsidR="00E115B2" w:rsidRPr="00B06D7D" w:rsidRDefault="00C31DC2" w:rsidP="00830E82">
      <w:pPr>
        <w:widowControl/>
        <w:numPr>
          <w:ilvl w:val="0"/>
          <w:numId w:val="4"/>
        </w:numPr>
        <w:tabs>
          <w:tab w:val="clear" w:pos="720"/>
        </w:tabs>
        <w:ind w:left="567" w:hanging="567"/>
      </w:pPr>
      <w:r>
        <w:t>V případě, že se příjemce dopustí porušení rozpočtové kázně, tj. finanční prostředky neoprávněně použije nebo finanční prostředky neoprávněně zadržuje, uloží poskytovatel příjemci odvod včetně penále v souladu s § 22 zákona č. 250/2000 Sb., o rozpočtových pravidlech územních rozpočtů, ve znění pozdějších předpisů.</w:t>
      </w:r>
    </w:p>
    <w:p w:rsidR="00E115B2" w:rsidRPr="00314167" w:rsidRDefault="00E115B2" w:rsidP="00830E82">
      <w:pPr>
        <w:widowControl/>
        <w:ind w:left="567" w:hanging="567"/>
        <w:rPr>
          <w:color w:val="000000"/>
        </w:rPr>
      </w:pPr>
    </w:p>
    <w:p w:rsidR="00E115B2" w:rsidRPr="000B44FE" w:rsidRDefault="00E115B2" w:rsidP="00830E82">
      <w:pPr>
        <w:widowControl/>
        <w:numPr>
          <w:ilvl w:val="0"/>
          <w:numId w:val="4"/>
        </w:numPr>
        <w:tabs>
          <w:tab w:val="clear" w:pos="720"/>
        </w:tabs>
        <w:ind w:left="567" w:hanging="567"/>
      </w:pPr>
      <w:r w:rsidRPr="00B06D7D">
        <w:t xml:space="preserve">Veškeré platby jako důsledky porušení závazků provede příjemce formou bezhotovostního převodu na </w:t>
      </w:r>
      <w:r w:rsidRPr="000B44FE">
        <w:t xml:space="preserve">účet </w:t>
      </w:r>
      <w:r w:rsidR="00CC5828" w:rsidRPr="000B44FE">
        <w:rPr>
          <w:b/>
          <w:color w:val="000000"/>
        </w:rPr>
        <w:t xml:space="preserve">č. </w:t>
      </w:r>
      <w:r w:rsidR="00CA544E" w:rsidRPr="000B44FE">
        <w:rPr>
          <w:b/>
          <w:color w:val="000000"/>
        </w:rPr>
        <w:t>19-7964</w:t>
      </w:r>
      <w:r w:rsidR="0065780B">
        <w:rPr>
          <w:b/>
          <w:color w:val="000000"/>
        </w:rPr>
        <w:t>2</w:t>
      </w:r>
      <w:r w:rsidR="00CA544E" w:rsidRPr="000B44FE">
        <w:rPr>
          <w:b/>
          <w:color w:val="000000"/>
        </w:rPr>
        <w:t>002</w:t>
      </w:r>
      <w:r w:rsidR="0065780B">
        <w:rPr>
          <w:b/>
          <w:color w:val="000000"/>
        </w:rPr>
        <w:t>8</w:t>
      </w:r>
      <w:bookmarkStart w:id="0" w:name="_GoBack"/>
      <w:bookmarkEnd w:id="0"/>
      <w:r w:rsidR="00CA544E" w:rsidRPr="000B44FE">
        <w:rPr>
          <w:b/>
          <w:color w:val="000000"/>
        </w:rPr>
        <w:t>7</w:t>
      </w:r>
      <w:r w:rsidR="00BF503B" w:rsidRPr="000B44FE">
        <w:rPr>
          <w:b/>
          <w:color w:val="000000"/>
        </w:rPr>
        <w:t>/0100</w:t>
      </w:r>
      <w:r w:rsidRPr="000B44FE">
        <w:t>.</w:t>
      </w:r>
    </w:p>
    <w:p w:rsidR="00830E82" w:rsidRDefault="00830E82" w:rsidP="00830E82">
      <w:pPr>
        <w:pStyle w:val="Odstavecseseznamem"/>
      </w:pPr>
    </w:p>
    <w:p w:rsidR="00E115B2" w:rsidRPr="00314167" w:rsidRDefault="00E115B2" w:rsidP="00E115B2">
      <w:pPr>
        <w:rPr>
          <w:color w:val="000000"/>
        </w:rPr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Článek VI.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Závěrečná ustanovení</w:t>
      </w:r>
    </w:p>
    <w:p w:rsidR="00E115B2" w:rsidRPr="00B06D7D" w:rsidRDefault="00E115B2" w:rsidP="00E115B2"/>
    <w:p w:rsidR="00E115B2" w:rsidRDefault="00E115B2" w:rsidP="00B00B03">
      <w:pPr>
        <w:widowControl/>
        <w:numPr>
          <w:ilvl w:val="0"/>
          <w:numId w:val="5"/>
        </w:numPr>
        <w:tabs>
          <w:tab w:val="clear" w:pos="720"/>
        </w:tabs>
        <w:spacing w:before="120" w:after="120"/>
        <w:ind w:left="567" w:hanging="567"/>
        <w:rPr>
          <w:bCs/>
        </w:rPr>
      </w:pPr>
      <w:r w:rsidRPr="00F93B7E">
        <w:rPr>
          <w:bCs/>
        </w:rPr>
        <w:t xml:space="preserve">Příjemce je povinen bez zbytečného prodlení písemně informovat poskytovatele </w:t>
      </w:r>
      <w:r w:rsidR="00455871" w:rsidRPr="00F93B7E">
        <w:rPr>
          <w:bCs/>
        </w:rPr>
        <w:br/>
      </w:r>
      <w:r w:rsidRPr="00F93B7E">
        <w:rPr>
          <w:bCs/>
        </w:rPr>
        <w:t xml:space="preserve">o jakékoliv změně v údajích uvedených ve smlouvě ohledně jeho osoby a o všech okolnostech, které mají nebo by mohly mít vliv na plnění jeho povinností podle této smlouvy. </w:t>
      </w:r>
    </w:p>
    <w:p w:rsidR="00E115B2" w:rsidRPr="00830E82" w:rsidRDefault="00E115B2" w:rsidP="00B00B03">
      <w:pPr>
        <w:widowControl/>
        <w:numPr>
          <w:ilvl w:val="0"/>
          <w:numId w:val="5"/>
        </w:numPr>
        <w:tabs>
          <w:tab w:val="clear" w:pos="720"/>
        </w:tabs>
        <w:spacing w:before="120" w:after="120"/>
        <w:ind w:left="567" w:hanging="567"/>
        <w:rPr>
          <w:bCs/>
        </w:rPr>
      </w:pPr>
      <w:r w:rsidRPr="002304F9">
        <w:rPr>
          <w:bCs/>
        </w:rPr>
        <w:t xml:space="preserve">Příjemce dále prohlašuje, že si je vědom </w:t>
      </w:r>
      <w:r w:rsidRPr="00830E82">
        <w:rPr>
          <w:bCs/>
        </w:rPr>
        <w:t>následků vzniklých uvedením nepravdivých údajů, které by vedly k neoprávněnému čerpání finančních prostředků dle této smlouvy.</w:t>
      </w:r>
    </w:p>
    <w:p w:rsidR="00E115B2" w:rsidRPr="004F29BC" w:rsidRDefault="00791743" w:rsidP="00B00B03">
      <w:pPr>
        <w:widowControl/>
        <w:numPr>
          <w:ilvl w:val="0"/>
          <w:numId w:val="5"/>
        </w:numPr>
        <w:tabs>
          <w:tab w:val="clear" w:pos="720"/>
        </w:tabs>
        <w:spacing w:before="120" w:after="120"/>
        <w:ind w:left="567" w:hanging="567"/>
        <w:rPr>
          <w:bCs/>
        </w:rPr>
      </w:pPr>
      <w:r w:rsidRPr="004F29BC">
        <w:rPr>
          <w:bCs/>
        </w:rPr>
        <w:t xml:space="preserve">Smluvní strany souhlasí, že tato smlouva může být zveřejněna na webových stránkách Libereckého kraje, s výjimkou osobních údajů fyzických osob uvedených v této </w:t>
      </w:r>
      <w:r w:rsidRPr="004F29BC">
        <w:rPr>
          <w:bCs/>
        </w:rPr>
        <w:lastRenderedPageBreak/>
        <w:t>smlouvě</w:t>
      </w:r>
      <w:r w:rsidR="004F29BC" w:rsidRPr="004F29BC">
        <w:rPr>
          <w:bCs/>
        </w:rPr>
        <w:t xml:space="preserve"> </w:t>
      </w:r>
      <w:r w:rsidRPr="004F29BC">
        <w:rPr>
          <w:bCs/>
        </w:rPr>
        <w:t xml:space="preserve">a dále může být zveřejněna postupem dle </w:t>
      </w:r>
      <w:proofErr w:type="spellStart"/>
      <w:r w:rsidRPr="004F29BC">
        <w:rPr>
          <w:bCs/>
        </w:rPr>
        <w:t>ust</w:t>
      </w:r>
      <w:proofErr w:type="spellEnd"/>
      <w:r w:rsidRPr="004F29BC">
        <w:rPr>
          <w:bCs/>
        </w:rPr>
        <w:t xml:space="preserve">. </w:t>
      </w:r>
      <w:proofErr w:type="gramStart"/>
      <w:r w:rsidRPr="004F29BC">
        <w:rPr>
          <w:bCs/>
        </w:rPr>
        <w:t>zákona</w:t>
      </w:r>
      <w:proofErr w:type="gramEnd"/>
      <w:r w:rsidRPr="004F29BC">
        <w:rPr>
          <w:bCs/>
        </w:rPr>
        <w:t xml:space="preserve"> č. 106/2000 Sb.,</w:t>
      </w:r>
      <w:r w:rsidR="00D065E7">
        <w:rPr>
          <w:bCs/>
        </w:rPr>
        <w:br/>
      </w:r>
      <w:r w:rsidRPr="004F29BC">
        <w:rPr>
          <w:bCs/>
        </w:rPr>
        <w:t>o svobodném přístupu k informacím, ve znění pozdějších právních předpisů.</w:t>
      </w:r>
    </w:p>
    <w:p w:rsidR="00963AD0" w:rsidRPr="00685F77" w:rsidRDefault="00054E4C" w:rsidP="00963AD0">
      <w:pPr>
        <w:pStyle w:val="Zkladntext"/>
        <w:widowControl/>
        <w:numPr>
          <w:ilvl w:val="0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rPr>
          <w:bCs/>
        </w:rPr>
      </w:pPr>
      <w:r w:rsidRPr="00685F77">
        <w:t xml:space="preserve">Finanční prostředky ve výši </w:t>
      </w:r>
      <w:r w:rsidR="00963AD0" w:rsidRPr="00685F77">
        <w:t>371</w:t>
      </w:r>
      <w:r w:rsidR="00870620" w:rsidRPr="00685F77">
        <w:t>.</w:t>
      </w:r>
      <w:r w:rsidR="00963AD0" w:rsidRPr="00685F77">
        <w:t>506</w:t>
      </w:r>
      <w:r w:rsidRPr="00685F77">
        <w:t xml:space="preserve"> Kč vypočítané v roce 201</w:t>
      </w:r>
      <w:r w:rsidR="00963AD0" w:rsidRPr="00685F77">
        <w:t>5</w:t>
      </w:r>
      <w:r w:rsidRPr="00685F77">
        <w:t xml:space="preserve"> z referenční </w:t>
      </w:r>
      <w:r w:rsidR="00B00B03" w:rsidRPr="00685F77">
        <w:t>sazby platné pro Českou republiku ve výši 0,5</w:t>
      </w:r>
      <w:r w:rsidR="00963AD0" w:rsidRPr="00685F77">
        <w:t>2</w:t>
      </w:r>
      <w:r w:rsidR="00B00B03" w:rsidRPr="00685F77">
        <w:t xml:space="preserve">% zvýšené o 4 % </w:t>
      </w:r>
      <w:r w:rsidR="00963AD0" w:rsidRPr="00685F77">
        <w:t xml:space="preserve">budou </w:t>
      </w:r>
      <w:r w:rsidR="00420D26" w:rsidRPr="00685F77">
        <w:t>zahrnuty do nepřekročitelné hranice vyrovnávací platby dle článku III., odstavec 3d, kterou může Nemocnice s poliklinikou Česká Lípa, a.s., obdržet na základě P</w:t>
      </w:r>
      <w:r w:rsidR="002D646B" w:rsidRPr="00685F77">
        <w:t xml:space="preserve">ověření k poskytování služeb v obecném hospodářském zájmu </w:t>
      </w:r>
      <w:r w:rsidR="00420D26" w:rsidRPr="00685F77">
        <w:t xml:space="preserve">ze dne </w:t>
      </w:r>
      <w:r w:rsidR="00685F77">
        <w:t>13</w:t>
      </w:r>
      <w:r w:rsidR="00420D26" w:rsidRPr="00685F77">
        <w:t>.</w:t>
      </w:r>
      <w:r w:rsidR="00685F77">
        <w:t xml:space="preserve"> 08</w:t>
      </w:r>
      <w:r w:rsidR="00420D26" w:rsidRPr="00685F77">
        <w:t>.</w:t>
      </w:r>
      <w:r w:rsidR="00685F77">
        <w:t xml:space="preserve"> </w:t>
      </w:r>
      <w:r w:rsidR="00420D26" w:rsidRPr="00685F77">
        <w:t>20</w:t>
      </w:r>
      <w:r w:rsidR="00685F77">
        <w:t>13.</w:t>
      </w:r>
    </w:p>
    <w:p w:rsidR="00E115B2" w:rsidRPr="00830E82" w:rsidRDefault="00E115B2" w:rsidP="00963AD0">
      <w:pPr>
        <w:pStyle w:val="Zkladntext"/>
        <w:widowControl/>
        <w:numPr>
          <w:ilvl w:val="0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rPr>
          <w:bCs/>
        </w:rPr>
      </w:pPr>
      <w:r w:rsidRPr="002304F9">
        <w:rPr>
          <w:bCs/>
        </w:rPr>
        <w:t>Tato smlouva nabývá platnosti a účinnosti podpisem oprávněných zástupců smluvních stran. Smlouva je vyhotovena v</w:t>
      </w:r>
      <w:r w:rsidR="00506E92" w:rsidRPr="001E094F">
        <w:rPr>
          <w:bCs/>
        </w:rPr>
        <w:t>e</w:t>
      </w:r>
      <w:r w:rsidRPr="0090607F">
        <w:rPr>
          <w:bCs/>
        </w:rPr>
        <w:t xml:space="preserve"> </w:t>
      </w:r>
      <w:r w:rsidR="00F30CFC" w:rsidRPr="00830E82">
        <w:rPr>
          <w:bCs/>
        </w:rPr>
        <w:t>čtyřech</w:t>
      </w:r>
      <w:r w:rsidRPr="00830E82">
        <w:rPr>
          <w:bCs/>
        </w:rPr>
        <w:t xml:space="preserve"> stejnopisech, z toho </w:t>
      </w:r>
      <w:r w:rsidR="00506E92" w:rsidRPr="00830E82">
        <w:rPr>
          <w:bCs/>
        </w:rPr>
        <w:t>2</w:t>
      </w:r>
      <w:r w:rsidRPr="00830E82">
        <w:rPr>
          <w:bCs/>
        </w:rPr>
        <w:t xml:space="preserve"> stejnopisy </w:t>
      </w:r>
      <w:r w:rsidR="00BD7398" w:rsidRPr="00830E82">
        <w:rPr>
          <w:bCs/>
        </w:rPr>
        <w:t>obdrží poskytovatel</w:t>
      </w:r>
      <w:r w:rsidR="00506E92" w:rsidRPr="00830E82">
        <w:rPr>
          <w:bCs/>
        </w:rPr>
        <w:t xml:space="preserve"> a</w:t>
      </w:r>
      <w:r w:rsidRPr="00830E82">
        <w:rPr>
          <w:bCs/>
        </w:rPr>
        <w:t xml:space="preserve"> </w:t>
      </w:r>
      <w:r w:rsidR="00506E92" w:rsidRPr="00830E82">
        <w:rPr>
          <w:bCs/>
        </w:rPr>
        <w:t>dva</w:t>
      </w:r>
      <w:r w:rsidRPr="00830E82">
        <w:rPr>
          <w:bCs/>
        </w:rPr>
        <w:t xml:space="preserve"> stejnopis</w:t>
      </w:r>
      <w:r w:rsidR="00506E92" w:rsidRPr="00830E82">
        <w:rPr>
          <w:bCs/>
        </w:rPr>
        <w:t>y</w:t>
      </w:r>
      <w:r w:rsidRPr="00830E82">
        <w:rPr>
          <w:bCs/>
        </w:rPr>
        <w:t xml:space="preserve"> příjemce. Všechna vyhotovení smlouvy mají platnost originálu.</w:t>
      </w:r>
    </w:p>
    <w:p w:rsidR="002304F9" w:rsidRDefault="002304F9" w:rsidP="00B00B03">
      <w:pPr>
        <w:widowControl/>
        <w:numPr>
          <w:ilvl w:val="0"/>
          <w:numId w:val="9"/>
        </w:numPr>
        <w:tabs>
          <w:tab w:val="clear" w:pos="720"/>
          <w:tab w:val="num" w:pos="567"/>
        </w:tabs>
        <w:spacing w:before="120" w:after="120"/>
        <w:ind w:left="567" w:hanging="567"/>
        <w:rPr>
          <w:bCs/>
        </w:rPr>
      </w:pPr>
      <w:r w:rsidRPr="00830E82">
        <w:rPr>
          <w:bCs/>
        </w:rPr>
        <w:t>Tato smlouva byla schválena</w:t>
      </w:r>
      <w:r w:rsidRPr="002304F9">
        <w:rPr>
          <w:bCs/>
        </w:rPr>
        <w:t xml:space="preserve"> Zastupitelstvem Libereckého kraje dne </w:t>
      </w:r>
      <w:r w:rsidRPr="000F7C58">
        <w:rPr>
          <w:bCs/>
        </w:rPr>
        <w:t>2</w:t>
      </w:r>
      <w:r w:rsidR="00963AD0">
        <w:rPr>
          <w:bCs/>
        </w:rPr>
        <w:t>7</w:t>
      </w:r>
      <w:r w:rsidRPr="000F7C58">
        <w:rPr>
          <w:bCs/>
        </w:rPr>
        <w:t>.</w:t>
      </w:r>
      <w:r w:rsidR="000F7C58" w:rsidRPr="000F7C58">
        <w:rPr>
          <w:bCs/>
        </w:rPr>
        <w:t xml:space="preserve"> </w:t>
      </w:r>
      <w:r w:rsidR="00963AD0">
        <w:rPr>
          <w:bCs/>
        </w:rPr>
        <w:t>ledna</w:t>
      </w:r>
      <w:r w:rsidR="00910507" w:rsidRPr="000F7C58">
        <w:rPr>
          <w:bCs/>
        </w:rPr>
        <w:t xml:space="preserve"> </w:t>
      </w:r>
      <w:r w:rsidRPr="000F7C58">
        <w:rPr>
          <w:bCs/>
        </w:rPr>
        <w:t>201</w:t>
      </w:r>
      <w:r w:rsidR="00963AD0">
        <w:rPr>
          <w:bCs/>
        </w:rPr>
        <w:t>5</w:t>
      </w:r>
      <w:r w:rsidRPr="002304F9">
        <w:rPr>
          <w:bCs/>
        </w:rPr>
        <w:t xml:space="preserve"> usnesením č. …/1</w:t>
      </w:r>
      <w:r w:rsidR="00963AD0">
        <w:rPr>
          <w:bCs/>
        </w:rPr>
        <w:t>5</w:t>
      </w:r>
      <w:r w:rsidRPr="002304F9">
        <w:rPr>
          <w:bCs/>
        </w:rPr>
        <w:t>/ZK</w:t>
      </w:r>
      <w:r w:rsidR="00420D26">
        <w:rPr>
          <w:bCs/>
        </w:rPr>
        <w:t>.</w:t>
      </w:r>
    </w:p>
    <w:p w:rsidR="002304F9" w:rsidRPr="002304F9" w:rsidRDefault="002304F9" w:rsidP="00B00B03">
      <w:pPr>
        <w:widowControl/>
        <w:numPr>
          <w:ilvl w:val="0"/>
          <w:numId w:val="9"/>
        </w:numPr>
        <w:tabs>
          <w:tab w:val="clear" w:pos="720"/>
          <w:tab w:val="num" w:pos="567"/>
        </w:tabs>
        <w:spacing w:before="120" w:after="120"/>
        <w:ind w:left="567" w:hanging="567"/>
        <w:rPr>
          <w:bCs/>
        </w:rPr>
      </w:pPr>
      <w:r>
        <w:rPr>
          <w:bCs/>
        </w:rPr>
        <w:t>Záležitosti touto smlouvou výslovně neřešené se řídí ustanoveními zákona č. 89/2012 Sb., občanský zákoník, zejména ust</w:t>
      </w:r>
      <w:r w:rsidR="00420D26">
        <w:rPr>
          <w:bCs/>
        </w:rPr>
        <w:t>anoveními</w:t>
      </w:r>
      <w:r>
        <w:rPr>
          <w:bCs/>
        </w:rPr>
        <w:t xml:space="preserve"> §§ 2390 – 2394.</w:t>
      </w:r>
    </w:p>
    <w:p w:rsidR="002304F9" w:rsidRDefault="002304F9" w:rsidP="00B00B03">
      <w:pPr>
        <w:widowControl/>
        <w:tabs>
          <w:tab w:val="num" w:pos="567"/>
        </w:tabs>
        <w:spacing w:before="120" w:after="120"/>
        <w:ind w:left="567" w:hanging="567"/>
      </w:pPr>
    </w:p>
    <w:p w:rsidR="00E115B2" w:rsidRDefault="00E115B2" w:rsidP="00E115B2">
      <w:pPr>
        <w:widowControl/>
        <w:ind w:left="-60"/>
      </w:pPr>
    </w:p>
    <w:p w:rsidR="00E115B2" w:rsidRPr="00B06D7D" w:rsidRDefault="00E115B2" w:rsidP="00E115B2"/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284"/>
            </w:pPr>
            <w:r w:rsidRPr="00791743">
              <w:t xml:space="preserve">V Liberci </w:t>
            </w:r>
            <w:proofErr w:type="gramStart"/>
            <w:r w:rsidRPr="00791743">
              <w:t>dne  …</w:t>
            </w:r>
            <w:proofErr w:type="gramEnd"/>
            <w:r w:rsidRPr="00791743">
              <w:t>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357"/>
            </w:pPr>
            <w:r w:rsidRPr="00791743">
              <w:t>V </w:t>
            </w:r>
            <w:r>
              <w:t xml:space="preserve">České Lípě </w:t>
            </w:r>
            <w:proofErr w:type="gramStart"/>
            <w:r w:rsidRPr="00791743">
              <w:t>dne............................</w:t>
            </w:r>
            <w:proofErr w:type="gramEnd"/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791743" w:rsidP="00791743">
      <w:pPr>
        <w:widowControl/>
      </w:pPr>
    </w:p>
    <w:p w:rsidR="00791743" w:rsidRPr="00791743" w:rsidRDefault="00870620" w:rsidP="00791743">
      <w:pPr>
        <w:widowControl/>
      </w:pPr>
      <w:r>
        <w:t xml:space="preserve">    </w:t>
      </w:r>
      <w:r w:rsidR="00791743" w:rsidRPr="00791743">
        <w:t>Poskytovatel :</w:t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  <w:t xml:space="preserve"> </w:t>
      </w:r>
      <w:proofErr w:type="gramStart"/>
      <w:r w:rsidR="00791743" w:rsidRPr="00791743">
        <w:t>Příjemce :</w:t>
      </w:r>
      <w:proofErr w:type="gramEnd"/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>MUDr. Radek Havlas</w:t>
            </w:r>
          </w:p>
          <w:p w:rsidR="00791743" w:rsidRPr="00791743" w:rsidRDefault="003F5F55" w:rsidP="003F5F55">
            <w:pPr>
              <w:widowControl/>
              <w:ind w:firstLine="12"/>
              <w:jc w:val="center"/>
              <w:rPr>
                <w:color w:val="FF0000"/>
              </w:rPr>
            </w:pPr>
            <w:r>
              <w:t>předseda představenstva</w:t>
            </w:r>
          </w:p>
        </w:tc>
      </w:tr>
    </w:tbl>
    <w:p w:rsidR="007522E3" w:rsidRDefault="007522E3" w:rsidP="00791743">
      <w:pPr>
        <w:jc w:val="left"/>
        <w:rPr>
          <w:color w:val="000000"/>
        </w:rPr>
      </w:pPr>
    </w:p>
    <w:sectPr w:rsidR="007522E3" w:rsidSect="007522E3">
      <w:headerReference w:type="default" r:id="rId8"/>
      <w:footerReference w:type="default" r:id="rId9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5B" w:rsidRDefault="00562B5B">
      <w:r>
        <w:separator/>
      </w:r>
    </w:p>
  </w:endnote>
  <w:endnote w:type="continuationSeparator" w:id="0">
    <w:p w:rsidR="00562B5B" w:rsidRDefault="0056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1169C8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E065CC0" wp14:editId="7520E40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169C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5780B" w:rsidRPr="0065780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169C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5780B" w:rsidRPr="0065780B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5B" w:rsidRDefault="00562B5B">
      <w:r>
        <w:separator/>
      </w:r>
    </w:p>
  </w:footnote>
  <w:footnote w:type="continuationSeparator" w:id="0">
    <w:p w:rsidR="00562B5B" w:rsidRDefault="00562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Default="00BD4AF1" w:rsidP="00794D2B">
    <w:r>
      <w:tab/>
    </w:r>
    <w:r>
      <w:tab/>
    </w:r>
    <w:r>
      <w:rPr>
        <w:b/>
      </w:rPr>
      <w:t xml:space="preserve"> </w:t>
    </w:r>
  </w:p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D2A94"/>
    <w:multiLevelType w:val="hybridMultilevel"/>
    <w:tmpl w:val="E7B6F502"/>
    <w:lvl w:ilvl="0" w:tplc="A94C6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5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E59"/>
    <w:rsid w:val="0001320C"/>
    <w:rsid w:val="000244C2"/>
    <w:rsid w:val="00054E4C"/>
    <w:rsid w:val="00056C49"/>
    <w:rsid w:val="00070C72"/>
    <w:rsid w:val="0008259E"/>
    <w:rsid w:val="00084CF3"/>
    <w:rsid w:val="00097397"/>
    <w:rsid w:val="000B2F65"/>
    <w:rsid w:val="000B44FE"/>
    <w:rsid w:val="000D486D"/>
    <w:rsid w:val="000E7BFC"/>
    <w:rsid w:val="000F7C58"/>
    <w:rsid w:val="001169C8"/>
    <w:rsid w:val="00130D4A"/>
    <w:rsid w:val="00131A15"/>
    <w:rsid w:val="00154153"/>
    <w:rsid w:val="001600DD"/>
    <w:rsid w:val="00181061"/>
    <w:rsid w:val="001A5D70"/>
    <w:rsid w:val="001D19FE"/>
    <w:rsid w:val="001D5E52"/>
    <w:rsid w:val="001E094F"/>
    <w:rsid w:val="0021283D"/>
    <w:rsid w:val="00217F3A"/>
    <w:rsid w:val="00220CA7"/>
    <w:rsid w:val="0022253C"/>
    <w:rsid w:val="002304F9"/>
    <w:rsid w:val="00262547"/>
    <w:rsid w:val="002745C9"/>
    <w:rsid w:val="002753F1"/>
    <w:rsid w:val="002765D4"/>
    <w:rsid w:val="002D646B"/>
    <w:rsid w:val="002E3B7B"/>
    <w:rsid w:val="002F1A01"/>
    <w:rsid w:val="002F1DD1"/>
    <w:rsid w:val="002F570D"/>
    <w:rsid w:val="002F5AB4"/>
    <w:rsid w:val="00302684"/>
    <w:rsid w:val="00306CE1"/>
    <w:rsid w:val="003345E9"/>
    <w:rsid w:val="00346E66"/>
    <w:rsid w:val="003649AC"/>
    <w:rsid w:val="0039346D"/>
    <w:rsid w:val="00394F26"/>
    <w:rsid w:val="003956B1"/>
    <w:rsid w:val="003B1014"/>
    <w:rsid w:val="003D6715"/>
    <w:rsid w:val="003E0B8A"/>
    <w:rsid w:val="003E4FCD"/>
    <w:rsid w:val="003F5F55"/>
    <w:rsid w:val="00401A3F"/>
    <w:rsid w:val="004175E4"/>
    <w:rsid w:val="00420D26"/>
    <w:rsid w:val="004438A7"/>
    <w:rsid w:val="00455871"/>
    <w:rsid w:val="00461932"/>
    <w:rsid w:val="00491A6E"/>
    <w:rsid w:val="00492A90"/>
    <w:rsid w:val="004A4DB6"/>
    <w:rsid w:val="004A71A2"/>
    <w:rsid w:val="004F29BC"/>
    <w:rsid w:val="00502151"/>
    <w:rsid w:val="00506E92"/>
    <w:rsid w:val="00562B5B"/>
    <w:rsid w:val="00563E92"/>
    <w:rsid w:val="005A4A15"/>
    <w:rsid w:val="005C6805"/>
    <w:rsid w:val="005E489A"/>
    <w:rsid w:val="005E59E5"/>
    <w:rsid w:val="005F6529"/>
    <w:rsid w:val="005F73D0"/>
    <w:rsid w:val="00603549"/>
    <w:rsid w:val="00622C73"/>
    <w:rsid w:val="0062664F"/>
    <w:rsid w:val="00651332"/>
    <w:rsid w:val="00651B39"/>
    <w:rsid w:val="0065780B"/>
    <w:rsid w:val="006752BE"/>
    <w:rsid w:val="00685F77"/>
    <w:rsid w:val="00694306"/>
    <w:rsid w:val="00694EE2"/>
    <w:rsid w:val="0069647E"/>
    <w:rsid w:val="006A0F08"/>
    <w:rsid w:val="006C405B"/>
    <w:rsid w:val="007522E3"/>
    <w:rsid w:val="007733D4"/>
    <w:rsid w:val="00790334"/>
    <w:rsid w:val="00791743"/>
    <w:rsid w:val="00793688"/>
    <w:rsid w:val="00794D2B"/>
    <w:rsid w:val="007D36EF"/>
    <w:rsid w:val="007D4BBE"/>
    <w:rsid w:val="00825153"/>
    <w:rsid w:val="00830E82"/>
    <w:rsid w:val="008313F1"/>
    <w:rsid w:val="00832C17"/>
    <w:rsid w:val="00846EEA"/>
    <w:rsid w:val="00855809"/>
    <w:rsid w:val="00863B0D"/>
    <w:rsid w:val="00870620"/>
    <w:rsid w:val="008715B4"/>
    <w:rsid w:val="00890CE3"/>
    <w:rsid w:val="00893202"/>
    <w:rsid w:val="008C2C00"/>
    <w:rsid w:val="008C59E9"/>
    <w:rsid w:val="008E1438"/>
    <w:rsid w:val="008F3230"/>
    <w:rsid w:val="0090607F"/>
    <w:rsid w:val="00910507"/>
    <w:rsid w:val="00915D61"/>
    <w:rsid w:val="009323DA"/>
    <w:rsid w:val="00936191"/>
    <w:rsid w:val="0093620F"/>
    <w:rsid w:val="009419CD"/>
    <w:rsid w:val="009476B5"/>
    <w:rsid w:val="00950462"/>
    <w:rsid w:val="00954B1F"/>
    <w:rsid w:val="00963AD0"/>
    <w:rsid w:val="00971CD8"/>
    <w:rsid w:val="00973237"/>
    <w:rsid w:val="0099115B"/>
    <w:rsid w:val="00992B5A"/>
    <w:rsid w:val="009933CF"/>
    <w:rsid w:val="009F1C8F"/>
    <w:rsid w:val="00A15A0E"/>
    <w:rsid w:val="00A22BD0"/>
    <w:rsid w:val="00A30A17"/>
    <w:rsid w:val="00A36F33"/>
    <w:rsid w:val="00A40882"/>
    <w:rsid w:val="00A4645D"/>
    <w:rsid w:val="00A551BA"/>
    <w:rsid w:val="00A55455"/>
    <w:rsid w:val="00A764E0"/>
    <w:rsid w:val="00A923F3"/>
    <w:rsid w:val="00A94B1C"/>
    <w:rsid w:val="00AA2CE9"/>
    <w:rsid w:val="00AB4F3B"/>
    <w:rsid w:val="00AC49DD"/>
    <w:rsid w:val="00AE36D3"/>
    <w:rsid w:val="00B00B03"/>
    <w:rsid w:val="00B23002"/>
    <w:rsid w:val="00B23C83"/>
    <w:rsid w:val="00B421B2"/>
    <w:rsid w:val="00B55A77"/>
    <w:rsid w:val="00B61415"/>
    <w:rsid w:val="00B72022"/>
    <w:rsid w:val="00B8291F"/>
    <w:rsid w:val="00B82BEB"/>
    <w:rsid w:val="00B869FB"/>
    <w:rsid w:val="00BA195A"/>
    <w:rsid w:val="00BA4E2F"/>
    <w:rsid w:val="00BC59B7"/>
    <w:rsid w:val="00BD0369"/>
    <w:rsid w:val="00BD4AF1"/>
    <w:rsid w:val="00BD7398"/>
    <w:rsid w:val="00BF503B"/>
    <w:rsid w:val="00C31DC2"/>
    <w:rsid w:val="00C32360"/>
    <w:rsid w:val="00C42A0F"/>
    <w:rsid w:val="00C61318"/>
    <w:rsid w:val="00C72F78"/>
    <w:rsid w:val="00C96E63"/>
    <w:rsid w:val="00CA544E"/>
    <w:rsid w:val="00CC5828"/>
    <w:rsid w:val="00CD369B"/>
    <w:rsid w:val="00CE5130"/>
    <w:rsid w:val="00CE5A00"/>
    <w:rsid w:val="00CE6D7C"/>
    <w:rsid w:val="00D05634"/>
    <w:rsid w:val="00D065E7"/>
    <w:rsid w:val="00D103AF"/>
    <w:rsid w:val="00D47DB8"/>
    <w:rsid w:val="00D51229"/>
    <w:rsid w:val="00D55CD8"/>
    <w:rsid w:val="00D714EE"/>
    <w:rsid w:val="00D73890"/>
    <w:rsid w:val="00D74494"/>
    <w:rsid w:val="00DB048C"/>
    <w:rsid w:val="00DB4074"/>
    <w:rsid w:val="00DB4F8D"/>
    <w:rsid w:val="00DE2F0A"/>
    <w:rsid w:val="00DF21A3"/>
    <w:rsid w:val="00E021E0"/>
    <w:rsid w:val="00E0225F"/>
    <w:rsid w:val="00E115B2"/>
    <w:rsid w:val="00E32F05"/>
    <w:rsid w:val="00E714FB"/>
    <w:rsid w:val="00E80E0F"/>
    <w:rsid w:val="00E861AA"/>
    <w:rsid w:val="00E97785"/>
    <w:rsid w:val="00EA2B52"/>
    <w:rsid w:val="00EC7C3E"/>
    <w:rsid w:val="00EE4A90"/>
    <w:rsid w:val="00F02122"/>
    <w:rsid w:val="00F30CFC"/>
    <w:rsid w:val="00F35170"/>
    <w:rsid w:val="00F3635C"/>
    <w:rsid w:val="00F70A0C"/>
    <w:rsid w:val="00F84BD4"/>
    <w:rsid w:val="00F93B7E"/>
    <w:rsid w:val="00FA0D41"/>
    <w:rsid w:val="00FD4BC9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730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Vesela Nada</cp:lastModifiedBy>
  <cp:revision>6</cp:revision>
  <cp:lastPrinted>2013-07-31T12:24:00Z</cp:lastPrinted>
  <dcterms:created xsi:type="dcterms:W3CDTF">2015-01-06T07:35:00Z</dcterms:created>
  <dcterms:modified xsi:type="dcterms:W3CDTF">2015-01-06T09:45:00Z</dcterms:modified>
</cp:coreProperties>
</file>