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66C" w:rsidRDefault="00914B11">
      <w:pPr>
        <w:rPr>
          <w:rFonts w:ascii="AndulkaBookCE" w:hAnsi="AndulkaBookCE"/>
          <w:sz w:val="28"/>
        </w:rPr>
      </w:pPr>
      <w:bookmarkStart w:id="0" w:name="_GoBack"/>
      <w:bookmarkEnd w:id="0"/>
      <w:r>
        <w:rPr>
          <w:rFonts w:ascii="AndulkaBookCE" w:hAnsi="AndulkaBookCE"/>
          <w:b/>
          <w:sz w:val="40"/>
        </w:rPr>
        <w:t xml:space="preserve">MHF Lípa Musica </w:t>
      </w:r>
      <w:r>
        <w:rPr>
          <w:rFonts w:ascii="AndulkaBookCE" w:hAnsi="AndulkaBookCE"/>
          <w:b/>
          <w:sz w:val="40"/>
        </w:rPr>
        <w:br/>
      </w:r>
      <w:r>
        <w:rPr>
          <w:rFonts w:ascii="AndulkaBookCE" w:hAnsi="AndulkaBookCE"/>
          <w:sz w:val="28"/>
        </w:rPr>
        <w:t xml:space="preserve">14. ročník </w:t>
      </w:r>
      <w:r>
        <w:rPr>
          <w:rFonts w:ascii="AndulkaBookCE" w:hAnsi="AndulkaBookCE"/>
          <w:sz w:val="28"/>
          <w:lang w:val="en-US"/>
        </w:rPr>
        <w:t xml:space="preserve">| </w:t>
      </w:r>
      <w:r>
        <w:rPr>
          <w:rFonts w:ascii="AndulkaBookCE" w:hAnsi="AndulkaBookCE"/>
          <w:sz w:val="28"/>
        </w:rPr>
        <w:t>17. září - 24. října 2015</w:t>
      </w:r>
    </w:p>
    <w:p w:rsidR="00D7166C" w:rsidRDefault="00D7166C">
      <w:pPr>
        <w:rPr>
          <w:rFonts w:ascii="AndulkaBookCE" w:hAnsi="AndulkaBookCE"/>
          <w:sz w:val="28"/>
        </w:rPr>
      </w:pPr>
    </w:p>
    <w:p w:rsidR="00D7166C" w:rsidRDefault="00914B11">
      <w:pPr>
        <w:pBdr>
          <w:bottom w:val="single" w:sz="4" w:space="1" w:color="00000A"/>
        </w:pBdr>
        <w:rPr>
          <w:rFonts w:ascii="AndulkaBookCE" w:hAnsi="AndulkaBookCE"/>
          <w:b/>
          <w:sz w:val="28"/>
        </w:rPr>
      </w:pPr>
      <w:r>
        <w:rPr>
          <w:rFonts w:ascii="AndulkaBookCE" w:hAnsi="AndulkaBookCE"/>
          <w:b/>
          <w:sz w:val="28"/>
        </w:rPr>
        <w:t>A. dramaturgie festivalu</w:t>
      </w:r>
    </w:p>
    <w:p w:rsidR="00D7166C" w:rsidRDefault="00914B11">
      <w:r>
        <w:rPr>
          <w:rFonts w:ascii="AndulkaBookCE" w:hAnsi="AndulkaBookCE"/>
        </w:rPr>
        <w:t>Mezinárodní hudební festival Lípa Musica vstoupí v roce 2015 do čtrnáctého roku své existence s nadějí, že tento rok bude opět jedním z dalších mezníků v jeho historii. Cíl, který leží před festivalem před dosažením jeho patnáctiletého výročí, spočívá v dalším rozvoji</w:t>
      </w:r>
      <w:r>
        <w:rPr>
          <w:rFonts w:ascii="AndulkaBookCE" w:hAnsi="AndulkaBookCE"/>
        </w:rPr>
        <w:br/>
        <w:t xml:space="preserve">a prohloubení mezinárodní spolupráce a přítomnosti festivalu v širším evropském kulturním prostoru. Před třemi lety byla zahájena spolupráce se Spolkovou republikou Německo, která nejen naplnila festivalový statut mezinárodnosti, ale především potřebu smysluplně rozvíjet česko-německý kulturní i lidský dialog. S vědomím palčivosti následků historických událostí, jež výrazně poznamenaly severočeský i saský region, kde festival působí, vznikla iniciativa s cílem bojovat s faktickými i mentálními hranicemi, které jsou </w:t>
      </w:r>
      <w:r>
        <w:rPr>
          <w:rFonts w:ascii="AndulkaBookCE" w:hAnsi="AndulkaBookCE"/>
        </w:rPr>
        <w:br/>
        <w:t xml:space="preserve">v mnohých z nás v tomto smyslu stále hluboce zakotveny, prostřednictvím navození hudebního dialogu, jež stírá všechny hranice a bariéry. S ohledem na to, že je tato potřeba vnímána stále intenzivněji a odpovědnost a možný přínos festivalu v tomto smyslu je zcela logický a zřejmý, posouvá se myšlenka česko-německé spolupráce do samého jádra dramaturgie festivalu coby ústřední linie. Vedle zařazování česko-německých hudebních projektů či prezentace českých umělců v SRN a německých u nás je myšlenka českoněmecké vzájemnosti rozvíjena i přítomností festivalu v německých městech a obcích. Kromě stálic, kterými jsou město </w:t>
      </w:r>
      <w:proofErr w:type="spellStart"/>
      <w:r>
        <w:rPr>
          <w:rFonts w:ascii="AndulkaBookCE" w:hAnsi="AndulkaBookCE"/>
        </w:rPr>
        <w:t>Zittau</w:t>
      </w:r>
      <w:proofErr w:type="spellEnd"/>
      <w:r>
        <w:rPr>
          <w:rFonts w:ascii="AndulkaBookCE" w:hAnsi="AndulkaBookCE"/>
        </w:rPr>
        <w:t xml:space="preserve"> a obec </w:t>
      </w:r>
      <w:proofErr w:type="spellStart"/>
      <w:r>
        <w:rPr>
          <w:rFonts w:ascii="AndulkaBookCE" w:hAnsi="AndulkaBookCE"/>
        </w:rPr>
        <w:t>Großschönau</w:t>
      </w:r>
      <w:proofErr w:type="spellEnd"/>
      <w:r>
        <w:rPr>
          <w:rFonts w:ascii="AndulkaBookCE" w:hAnsi="AndulkaBookCE"/>
        </w:rPr>
        <w:t xml:space="preserve">, se festival v roce 2015 představí nově ve známé saské destinaci, na hradě </w:t>
      </w:r>
      <w:proofErr w:type="spellStart"/>
      <w:r>
        <w:rPr>
          <w:rFonts w:ascii="AndulkaBookCE" w:hAnsi="AndulkaBookCE"/>
        </w:rPr>
        <w:t>Oybin</w:t>
      </w:r>
      <w:proofErr w:type="spellEnd"/>
      <w:r>
        <w:rPr>
          <w:rFonts w:ascii="AndulkaBookCE" w:hAnsi="AndulkaBookCE"/>
        </w:rPr>
        <w:t xml:space="preserve">. Historie nás však v místech </w:t>
      </w:r>
      <w:proofErr w:type="spellStart"/>
      <w:r>
        <w:rPr>
          <w:rFonts w:ascii="AndulkaBookCE" w:hAnsi="AndulkaBookCE"/>
        </w:rPr>
        <w:t>českopolského</w:t>
      </w:r>
      <w:proofErr w:type="spellEnd"/>
      <w:r>
        <w:rPr>
          <w:rFonts w:ascii="AndulkaBookCE" w:hAnsi="AndulkaBookCE"/>
        </w:rPr>
        <w:t xml:space="preserve"> trojmezí nepojí jen se Saskem, ale také s Dolnoslezským vojvodstvím, tedy krajem polským, se kterým festival vstoupí do dialogu pro možné zahájení spolupráce.</w:t>
      </w:r>
    </w:p>
    <w:p w:rsidR="00D7166C" w:rsidRDefault="00914B11">
      <w:pPr>
        <w:rPr>
          <w:rFonts w:ascii="AndulkaBookCE" w:hAnsi="AndulkaBookCE"/>
        </w:rPr>
      </w:pPr>
      <w:r>
        <w:rPr>
          <w:rFonts w:ascii="AndulkaBookCE" w:hAnsi="AndulkaBookCE"/>
        </w:rPr>
        <w:t>Rok 2015 není vázán jedním ústředním tématem, jako tomu bylo ve výročním roce české hudby, ale přináší řadu témat a impulzů pro rozvinutí dialogu v duchu festivalového motta: "</w:t>
      </w:r>
      <w:r>
        <w:rPr>
          <w:rFonts w:ascii="AndulkaBookCE" w:hAnsi="AndulkaBookCE"/>
          <w:i/>
        </w:rPr>
        <w:t>Podmínkou pro nalezení dávného partnerství a přátelství je dialog.</w:t>
      </w:r>
      <w:r>
        <w:rPr>
          <w:rFonts w:ascii="AndulkaBookCE" w:hAnsi="AndulkaBookCE"/>
        </w:rPr>
        <w:t xml:space="preserve">“ Hlavním kritériem dramaturgie zůstává špičková interpretační úroveň a pochopitelně také vhodnost výběru koncertu pro daný koncertní prostor. Duchovní rovinu programu, která má své kořeny v samotných počátcích existence festivalu, bude reprezentovat už samotný prolog, který </w:t>
      </w:r>
      <w:r>
        <w:rPr>
          <w:rFonts w:ascii="AndulkaBookCE" w:hAnsi="AndulkaBookCE"/>
        </w:rPr>
        <w:br/>
        <w:t xml:space="preserve">se uskuteční na zmíněné zřícenině gotického hradu </w:t>
      </w:r>
      <w:proofErr w:type="spellStart"/>
      <w:r>
        <w:rPr>
          <w:rFonts w:ascii="AndulkaBookCE" w:hAnsi="AndulkaBookCE"/>
        </w:rPr>
        <w:t>Oybin</w:t>
      </w:r>
      <w:proofErr w:type="spellEnd"/>
      <w:r>
        <w:rPr>
          <w:rFonts w:ascii="AndulkaBookCE" w:hAnsi="AndulkaBookCE"/>
        </w:rPr>
        <w:t xml:space="preserve"> v pátek 21. srpna. Ensemble </w:t>
      </w:r>
      <w:proofErr w:type="spellStart"/>
      <w:r>
        <w:rPr>
          <w:rFonts w:ascii="AndulkaBookCE" w:hAnsi="AndulkaBookCE"/>
        </w:rPr>
        <w:t>Tiburtina</w:t>
      </w:r>
      <w:proofErr w:type="spellEnd"/>
      <w:r>
        <w:rPr>
          <w:rFonts w:ascii="AndulkaBookCE" w:hAnsi="AndulkaBookCE"/>
        </w:rPr>
        <w:t xml:space="preserve"> s uměleckou vedoucí Barborou Sojkovou </w:t>
      </w:r>
      <w:r>
        <w:rPr>
          <w:rFonts w:ascii="AndulkaBookCE" w:hAnsi="AndulkaBookCE"/>
        </w:rPr>
        <w:lastRenderedPageBreak/>
        <w:t xml:space="preserve">v těchto atraktivních prostorách provede skladbu </w:t>
      </w:r>
      <w:proofErr w:type="spellStart"/>
      <w:r>
        <w:rPr>
          <w:rFonts w:ascii="AndulkaBookCE" w:hAnsi="AndulkaBookCE"/>
        </w:rPr>
        <w:t>Messe</w:t>
      </w:r>
      <w:proofErr w:type="spellEnd"/>
      <w:r>
        <w:rPr>
          <w:rFonts w:ascii="AndulkaBookCE" w:hAnsi="AndulkaBookCE"/>
        </w:rPr>
        <w:t xml:space="preserve"> de Notre </w:t>
      </w:r>
      <w:proofErr w:type="spellStart"/>
      <w:r>
        <w:rPr>
          <w:rFonts w:ascii="AndulkaBookCE" w:hAnsi="AndulkaBookCE"/>
        </w:rPr>
        <w:t>Damme</w:t>
      </w:r>
      <w:proofErr w:type="spellEnd"/>
      <w:r>
        <w:rPr>
          <w:rFonts w:ascii="AndulkaBookCE" w:hAnsi="AndulkaBookCE"/>
        </w:rPr>
        <w:t xml:space="preserve"> od </w:t>
      </w:r>
      <w:proofErr w:type="spellStart"/>
      <w:r>
        <w:rPr>
          <w:rFonts w:ascii="AndulkaBookCE" w:hAnsi="AndulkaBookCE"/>
        </w:rPr>
        <w:t>Guilliama</w:t>
      </w:r>
      <w:proofErr w:type="spellEnd"/>
      <w:r>
        <w:rPr>
          <w:rFonts w:ascii="AndulkaBookCE" w:hAnsi="AndulkaBookCE"/>
        </w:rPr>
        <w:t xml:space="preserve"> de </w:t>
      </w:r>
      <w:proofErr w:type="spellStart"/>
      <w:proofErr w:type="gramStart"/>
      <w:r>
        <w:rPr>
          <w:rFonts w:ascii="AndulkaBookCE" w:hAnsi="AndulkaBookCE"/>
        </w:rPr>
        <w:t>Machauta</w:t>
      </w:r>
      <w:proofErr w:type="spellEnd"/>
      <w:proofErr w:type="gramEnd"/>
      <w:r>
        <w:rPr>
          <w:rFonts w:ascii="AndulkaBookCE" w:hAnsi="AndulkaBookCE"/>
        </w:rPr>
        <w:t xml:space="preserve">. </w:t>
      </w:r>
    </w:p>
    <w:p w:rsidR="00D7166C" w:rsidRDefault="00914B11">
      <w:pPr>
        <w:rPr>
          <w:rFonts w:ascii="AndulkaBookCE" w:hAnsi="AndulkaBookCE"/>
        </w:rPr>
      </w:pPr>
      <w:r>
        <w:rPr>
          <w:rFonts w:ascii="AndulkaBookCE" w:hAnsi="AndulkaBookCE"/>
        </w:rPr>
        <w:t xml:space="preserve">Jistým kontrastem k duchovnímu obsahu prologu bude zahajovací provedení kantáty </w:t>
      </w:r>
      <w:proofErr w:type="spellStart"/>
      <w:r>
        <w:rPr>
          <w:rFonts w:ascii="AndulkaBookCE" w:hAnsi="AndulkaBookCE"/>
        </w:rPr>
        <w:t>Carmina</w:t>
      </w:r>
      <w:proofErr w:type="spellEnd"/>
      <w:r>
        <w:rPr>
          <w:rFonts w:ascii="AndulkaBookCE" w:hAnsi="AndulkaBookCE"/>
        </w:rPr>
        <w:t xml:space="preserve"> Burana, tedy souboru středověkých náboženských, satirických, moralistických, milostných, pijáckých aj. básní a písní pocházejících z bavorského benediktinského kláštera v </w:t>
      </w:r>
      <w:proofErr w:type="spellStart"/>
      <w:r>
        <w:rPr>
          <w:rFonts w:ascii="AndulkaBookCE" w:hAnsi="AndulkaBookCE"/>
        </w:rPr>
        <w:t>Benediktbeuern</w:t>
      </w:r>
      <w:proofErr w:type="spellEnd"/>
      <w:r>
        <w:rPr>
          <w:rFonts w:ascii="AndulkaBookCE" w:hAnsi="AndulkaBookCE"/>
        </w:rPr>
        <w:t xml:space="preserve">. Interpretace se ujmou sólisté, Pražský filharmonický sbor a Filharmonie Hradec Králové za řízení Andrease Sebastiana Weisera. </w:t>
      </w:r>
    </w:p>
    <w:p w:rsidR="00D7166C" w:rsidRDefault="00914B11">
      <w:pPr>
        <w:rPr>
          <w:rFonts w:ascii="AndulkaBookCE" w:hAnsi="AndulkaBookCE"/>
        </w:rPr>
      </w:pPr>
      <w:r>
        <w:rPr>
          <w:rFonts w:ascii="AndulkaBookCE" w:hAnsi="AndulkaBookCE"/>
        </w:rPr>
        <w:t xml:space="preserve">Duchovní obsah budou mít i další programy tradičního úvodního českolipského týdne, které kromě hudby nabídnou i přesah taneční a audiovizuální. Slavnou němou filmovou klasiku Utrpení panny orleánské z roku 1928 představí Lípa Musica s živým hudebním doprovodem v podání Orchestru </w:t>
      </w:r>
      <w:proofErr w:type="spellStart"/>
      <w:r>
        <w:rPr>
          <w:rFonts w:ascii="AndulkaBookCE" w:hAnsi="AndulkaBookCE"/>
        </w:rPr>
        <w:t>Berg</w:t>
      </w:r>
      <w:proofErr w:type="spellEnd"/>
      <w:r>
        <w:rPr>
          <w:rFonts w:ascii="AndulkaBookCE" w:hAnsi="AndulkaBookCE"/>
        </w:rPr>
        <w:t xml:space="preserve"> v prostorách baziliky Všech svatých.  Tentýž prostor o dva dny později prodchne taneční improvizace "O víře, naději a lásce aneb královský nástroj tančí". Netradiční projekt spojující hudbu a tanec se zabývá třemi základními atributy křesťanské tradice v moudrostech biblických a antických textů. Barokní varhanní skladby v podání Jaroslava Tůmy využívá Adéla Srncová pro vlastní choreografii s využitím prvků taneční improvizace.</w:t>
      </w:r>
    </w:p>
    <w:p w:rsidR="00D7166C" w:rsidRDefault="00914B11">
      <w:pPr>
        <w:rPr>
          <w:rFonts w:ascii="AndulkaBookCE" w:hAnsi="AndulkaBookCE"/>
        </w:rPr>
      </w:pPr>
      <w:r>
        <w:rPr>
          <w:rFonts w:ascii="AndulkaBookCE" w:hAnsi="AndulkaBookCE"/>
        </w:rPr>
        <w:t>Dílo silné výpovědi,</w:t>
      </w:r>
      <w:r>
        <w:t xml:space="preserve"> </w:t>
      </w:r>
      <w:r>
        <w:rPr>
          <w:rFonts w:ascii="AndulkaBookCE" w:hAnsi="AndulkaBookCE"/>
        </w:rPr>
        <w:t xml:space="preserve">dětskou operu Brundibár o dvou dějstvích na libreto Adolfa </w:t>
      </w:r>
      <w:proofErr w:type="spellStart"/>
      <w:r>
        <w:rPr>
          <w:rFonts w:ascii="AndulkaBookCE" w:hAnsi="AndulkaBookCE"/>
        </w:rPr>
        <w:t>Hoffmeistera</w:t>
      </w:r>
      <w:proofErr w:type="spellEnd"/>
      <w:r>
        <w:rPr>
          <w:rFonts w:ascii="AndulkaBookCE" w:hAnsi="AndulkaBookCE"/>
        </w:rPr>
        <w:t xml:space="preserve"> z pera Hanse Krásy, vzniklou v době internace židů v Terezíně, zařazujeme </w:t>
      </w:r>
      <w:r>
        <w:rPr>
          <w:rFonts w:ascii="AndulkaBookCE" w:hAnsi="AndulkaBookCE"/>
        </w:rPr>
        <w:br/>
        <w:t>do programové řady Lípa Musica dětem. Toto ušlechtilé dílo zneužité k nacistické propagandě je dodnes mementem křehkosti lidských práv, které opět nabývá na větší aktuálnosti…Jeho zařazením v podání Dětské opery Praha připomeneme nedávné 70. výročí jeho premiéry opery v židovském ghettu.</w:t>
      </w:r>
    </w:p>
    <w:p w:rsidR="00D7166C" w:rsidRDefault="00914B11">
      <w:pPr>
        <w:rPr>
          <w:rFonts w:ascii="AndulkaBookCE" w:hAnsi="AndulkaBookCE"/>
        </w:rPr>
      </w:pPr>
      <w:r>
        <w:rPr>
          <w:rFonts w:ascii="AndulkaBookCE" w:hAnsi="AndulkaBookCE"/>
        </w:rPr>
        <w:t xml:space="preserve">Mysteriózní zahájení festivalu doplní první </w:t>
      </w:r>
      <w:proofErr w:type="spellStart"/>
      <w:r>
        <w:rPr>
          <w:rFonts w:ascii="AndulkaBookCE" w:hAnsi="AndulkaBookCE"/>
        </w:rPr>
        <w:t>mimočeskolipský</w:t>
      </w:r>
      <w:proofErr w:type="spellEnd"/>
      <w:r>
        <w:rPr>
          <w:rFonts w:ascii="AndulkaBookCE" w:hAnsi="AndulkaBookCE"/>
        </w:rPr>
        <w:t xml:space="preserve"> koncert, který se uskuteční v rodišti H. I. F. </w:t>
      </w:r>
      <w:proofErr w:type="spellStart"/>
      <w:r>
        <w:rPr>
          <w:rFonts w:ascii="AndulkaBookCE" w:hAnsi="AndulkaBookCE"/>
        </w:rPr>
        <w:t>Bibera</w:t>
      </w:r>
      <w:proofErr w:type="spellEnd"/>
      <w:r>
        <w:rPr>
          <w:rFonts w:ascii="AndulkaBookCE" w:hAnsi="AndulkaBookCE"/>
        </w:rPr>
        <w:t xml:space="preserve">, Stráži pod Ralskem. </w:t>
      </w:r>
      <w:proofErr w:type="spellStart"/>
      <w:r>
        <w:rPr>
          <w:rFonts w:ascii="AndulkaBookCE" w:hAnsi="AndulkaBookCE"/>
        </w:rPr>
        <w:t>Biberovy</w:t>
      </w:r>
      <w:proofErr w:type="spellEnd"/>
      <w:r>
        <w:rPr>
          <w:rFonts w:ascii="AndulkaBookCE" w:hAnsi="AndulkaBookCE"/>
        </w:rPr>
        <w:t xml:space="preserve"> Růžencové sonáty k oslavám mystérií ze života Panny Marie zahraje Musica </w:t>
      </w:r>
      <w:proofErr w:type="spellStart"/>
      <w:r>
        <w:rPr>
          <w:rFonts w:ascii="AndulkaBookCE" w:hAnsi="AndulkaBookCE"/>
        </w:rPr>
        <w:t>Florea</w:t>
      </w:r>
      <w:proofErr w:type="spellEnd"/>
      <w:r>
        <w:rPr>
          <w:rFonts w:ascii="AndulkaBookCE" w:hAnsi="AndulkaBookCE"/>
        </w:rPr>
        <w:t xml:space="preserve"> pod vedením Marka </w:t>
      </w:r>
      <w:proofErr w:type="spellStart"/>
      <w:r>
        <w:rPr>
          <w:rFonts w:ascii="AndulkaBookCE" w:hAnsi="AndulkaBookCE"/>
        </w:rPr>
        <w:t>Štryncla</w:t>
      </w:r>
      <w:proofErr w:type="spellEnd"/>
      <w:r>
        <w:rPr>
          <w:rFonts w:ascii="AndulkaBookCE" w:hAnsi="AndulkaBookCE"/>
        </w:rPr>
        <w:t xml:space="preserve">. </w:t>
      </w:r>
    </w:p>
    <w:p w:rsidR="00D7166C" w:rsidRDefault="00914B11">
      <w:pPr>
        <w:rPr>
          <w:rFonts w:ascii="AndulkaBookCE" w:hAnsi="AndulkaBookCE"/>
        </w:rPr>
      </w:pPr>
      <w:r>
        <w:rPr>
          <w:rFonts w:ascii="AndulkaBookCE" w:hAnsi="AndulkaBookCE"/>
        </w:rPr>
        <w:t xml:space="preserve">Duchaplný program úvodních koncertů festivalu bude kontrastovat s představením irské lidové hudby určené pro housle, kterého se ujme proslulý anglický </w:t>
      </w:r>
      <w:proofErr w:type="spellStart"/>
      <w:r>
        <w:rPr>
          <w:rFonts w:ascii="AndulkaBookCE" w:hAnsi="AndulkaBookCE"/>
        </w:rPr>
        <w:t>fiddler</w:t>
      </w:r>
      <w:proofErr w:type="spellEnd"/>
      <w:r>
        <w:rPr>
          <w:rFonts w:ascii="AndulkaBookCE" w:hAnsi="AndulkaBookCE"/>
        </w:rPr>
        <w:t xml:space="preserve"> </w:t>
      </w:r>
      <w:proofErr w:type="spellStart"/>
      <w:r>
        <w:rPr>
          <w:rFonts w:ascii="AndulkaBookCE" w:hAnsi="AndulkaBookCE"/>
        </w:rPr>
        <w:t>Pete</w:t>
      </w:r>
      <w:proofErr w:type="spellEnd"/>
      <w:r>
        <w:rPr>
          <w:rFonts w:ascii="AndulkaBookCE" w:hAnsi="AndulkaBookCE"/>
        </w:rPr>
        <w:t xml:space="preserve"> Cooper. Kromě koncertního programu </w:t>
      </w:r>
      <w:proofErr w:type="spellStart"/>
      <w:r>
        <w:rPr>
          <w:rFonts w:ascii="AndulkaBookCE" w:hAnsi="AndulkaBookCE"/>
        </w:rPr>
        <w:t>Angel's</w:t>
      </w:r>
      <w:proofErr w:type="spellEnd"/>
      <w:r>
        <w:rPr>
          <w:rFonts w:ascii="AndulkaBookCE" w:hAnsi="AndulkaBookCE"/>
        </w:rPr>
        <w:t xml:space="preserve"> Waltz Cooper nabídne i workshopy pro zájemce </w:t>
      </w:r>
      <w:r>
        <w:rPr>
          <w:rFonts w:ascii="AndulkaBookCE" w:hAnsi="AndulkaBookCE"/>
        </w:rPr>
        <w:br/>
        <w:t xml:space="preserve">o tento specifický způsob hry na housle. </w:t>
      </w:r>
    </w:p>
    <w:p w:rsidR="00D7166C" w:rsidRDefault="00914B11">
      <w:pPr>
        <w:rPr>
          <w:rFonts w:ascii="AndulkaBookCE" w:hAnsi="AndulkaBookCE"/>
        </w:rPr>
      </w:pPr>
      <w:r>
        <w:rPr>
          <w:rFonts w:ascii="AndulkaBookCE" w:hAnsi="AndulkaBookCE"/>
        </w:rPr>
        <w:t xml:space="preserve">Folkové interaktivní zpestření vystřídají svatováclavské koncerty, které započnou českoněmecký dialog. Prvním německým hostem bude Filharmonický dětský sbor z Drážďan, který se představí v Kamenickém Šenově. Na svátek sv. Václava festival tradičně zavítá do </w:t>
      </w:r>
      <w:proofErr w:type="spellStart"/>
      <w:r>
        <w:rPr>
          <w:rFonts w:ascii="AndulkaBookCE" w:hAnsi="AndulkaBookCE"/>
        </w:rPr>
        <w:t>Jezvé</w:t>
      </w:r>
      <w:proofErr w:type="spellEnd"/>
      <w:r>
        <w:rPr>
          <w:rFonts w:ascii="AndulkaBookCE" w:hAnsi="AndulkaBookCE"/>
        </w:rPr>
        <w:t xml:space="preserve"> a představí mladý soubor složený z nejlepších českých dechových hráčů současnosti </w:t>
      </w:r>
      <w:proofErr w:type="spellStart"/>
      <w:r>
        <w:rPr>
          <w:rFonts w:ascii="AndulkaBookCE" w:hAnsi="AndulkaBookCE"/>
        </w:rPr>
        <w:t>PhilHarmonia</w:t>
      </w:r>
      <w:proofErr w:type="spellEnd"/>
      <w:r>
        <w:rPr>
          <w:rFonts w:ascii="AndulkaBookCE" w:hAnsi="AndulkaBookCE"/>
        </w:rPr>
        <w:t xml:space="preserve"> </w:t>
      </w:r>
      <w:proofErr w:type="spellStart"/>
      <w:r>
        <w:rPr>
          <w:rFonts w:ascii="AndulkaBookCE" w:hAnsi="AndulkaBookCE"/>
        </w:rPr>
        <w:t>Octet</w:t>
      </w:r>
      <w:proofErr w:type="spellEnd"/>
      <w:r>
        <w:rPr>
          <w:rFonts w:ascii="AndulkaBookCE" w:hAnsi="AndulkaBookCE"/>
        </w:rPr>
        <w:t xml:space="preserve"> spolu s německými hosty v dílech </w:t>
      </w:r>
      <w:r>
        <w:rPr>
          <w:rFonts w:ascii="AndulkaBookCE" w:hAnsi="AndulkaBookCE"/>
        </w:rPr>
        <w:lastRenderedPageBreak/>
        <w:t xml:space="preserve">klasicistních velikánů Haydna, Mozarta a Beethovena. Od hudby klasicistní se festivalový program následně vrátí k baroku, které představí v poloze vokální i instrumentální v podání renomovaných tuzemských umělců Aleny Hellerové, Václava </w:t>
      </w:r>
      <w:proofErr w:type="spellStart"/>
      <w:r>
        <w:rPr>
          <w:rFonts w:ascii="AndulkaBookCE" w:hAnsi="AndulkaBookCE"/>
        </w:rPr>
        <w:t>Lukse</w:t>
      </w:r>
      <w:proofErr w:type="spellEnd"/>
      <w:r>
        <w:rPr>
          <w:rFonts w:ascii="AndulkaBookCE" w:hAnsi="AndulkaBookCE"/>
        </w:rPr>
        <w:t xml:space="preserve"> či Barbory Marie </w:t>
      </w:r>
      <w:proofErr w:type="spellStart"/>
      <w:r>
        <w:rPr>
          <w:rFonts w:ascii="AndulkaBookCE" w:hAnsi="AndulkaBookCE"/>
        </w:rPr>
        <w:t>Willi</w:t>
      </w:r>
      <w:proofErr w:type="spellEnd"/>
      <w:r>
        <w:rPr>
          <w:rFonts w:ascii="AndulkaBookCE" w:hAnsi="AndulkaBookCE"/>
        </w:rPr>
        <w:t xml:space="preserve">. </w:t>
      </w:r>
    </w:p>
    <w:p w:rsidR="00D7166C" w:rsidRDefault="00914B11">
      <w:pPr>
        <w:rPr>
          <w:rFonts w:ascii="AndulkaBookCE" w:hAnsi="AndulkaBookCE"/>
        </w:rPr>
      </w:pPr>
      <w:r>
        <w:rPr>
          <w:rFonts w:ascii="AndulkaBookCE" w:hAnsi="AndulkaBookCE"/>
        </w:rPr>
        <w:t>Německá část festivalu odstartuje začátkem října v </w:t>
      </w:r>
      <w:proofErr w:type="spellStart"/>
      <w:r>
        <w:rPr>
          <w:rFonts w:ascii="AndulkaBookCE" w:hAnsi="AndulkaBookCE"/>
        </w:rPr>
        <w:t>Großschönau</w:t>
      </w:r>
      <w:proofErr w:type="spellEnd"/>
      <w:r>
        <w:rPr>
          <w:rFonts w:ascii="AndulkaBookCE" w:hAnsi="AndulkaBookCE"/>
        </w:rPr>
        <w:t xml:space="preserve">, kde </w:t>
      </w:r>
      <w:r w:rsidR="00457874">
        <w:rPr>
          <w:rFonts w:ascii="AndulkaBookCE" w:hAnsi="AndulkaBookCE"/>
        </w:rPr>
        <w:t xml:space="preserve">naše přední varhanice Irena Chřibková provede svůj recitál společně se sopranistkou Janou </w:t>
      </w:r>
      <w:proofErr w:type="spellStart"/>
      <w:r w:rsidR="00457874">
        <w:rPr>
          <w:rFonts w:ascii="AndulkaBookCE" w:hAnsi="AndulkaBookCE"/>
        </w:rPr>
        <w:t>Siberou</w:t>
      </w:r>
      <w:proofErr w:type="spellEnd"/>
      <w:r>
        <w:rPr>
          <w:rFonts w:ascii="AndulkaBookCE" w:hAnsi="AndulkaBookCE"/>
        </w:rPr>
        <w:t xml:space="preserve">. Tradičně kvalitním vývozním artiklem české hudby je i kvartetní hudba, kterou bude reprezentovat </w:t>
      </w:r>
      <w:proofErr w:type="spellStart"/>
      <w:r>
        <w:rPr>
          <w:rFonts w:ascii="AndulkaBookCE" w:hAnsi="AndulkaBookCE"/>
        </w:rPr>
        <w:t>Benewitzovo</w:t>
      </w:r>
      <w:proofErr w:type="spellEnd"/>
      <w:r>
        <w:rPr>
          <w:rFonts w:ascii="AndulkaBookCE" w:hAnsi="AndulkaBookCE"/>
        </w:rPr>
        <w:t xml:space="preserve"> kvarteto na koncertu v žitavské radnici. Z komorních uskupení se českému publiku v premiéře představí úspěšné Smetanovo trio s díly Haydna, Martinů a Smetany.</w:t>
      </w:r>
    </w:p>
    <w:p w:rsidR="00D7166C" w:rsidRPr="00457874" w:rsidRDefault="00914B11">
      <w:pPr>
        <w:rPr>
          <w:rFonts w:ascii="AndulkaBookCE" w:hAnsi="AndulkaBookCE"/>
        </w:rPr>
      </w:pPr>
      <w:r>
        <w:rPr>
          <w:rFonts w:ascii="AndulkaBookCE" w:hAnsi="AndulkaBookCE"/>
        </w:rPr>
        <w:t xml:space="preserve">O prezentaci vybraných kvalit německé interpretační špičky se postará přední soudobý violoncellista Nicolas </w:t>
      </w:r>
      <w:proofErr w:type="spellStart"/>
      <w:r>
        <w:rPr>
          <w:rFonts w:ascii="AndulkaBookCE" w:hAnsi="AndulkaBookCE"/>
        </w:rPr>
        <w:t>Altstaedt</w:t>
      </w:r>
      <w:proofErr w:type="spellEnd"/>
      <w:r>
        <w:rPr>
          <w:rFonts w:ascii="AndulkaBookCE" w:hAnsi="AndulkaBookCE"/>
        </w:rPr>
        <w:t xml:space="preserve">, který na zámku v Děčíně přednese sólovým program složený z děl J. S. Bacha v kontrastu s tvorbou soudobých pobaltských autorů. Tento mladý německý violoncellista je jedním z posledních žáků legendárního </w:t>
      </w:r>
      <w:proofErr w:type="spellStart"/>
      <w:r>
        <w:rPr>
          <w:rFonts w:ascii="AndulkaBookCE" w:hAnsi="AndulkaBookCE"/>
        </w:rPr>
        <w:t>Pergmenščikova</w:t>
      </w:r>
      <w:proofErr w:type="spellEnd"/>
      <w:r>
        <w:rPr>
          <w:rFonts w:ascii="AndulkaBookCE" w:hAnsi="AndulkaBookCE"/>
        </w:rPr>
        <w:t xml:space="preserve"> a patří dnes k evropské špičce violoncellistů. Na svém kontě má spolupráci s předními světovými orchestry a dirigenty a působí rovněž jako ředitel festivalu </w:t>
      </w:r>
      <w:proofErr w:type="spellStart"/>
      <w:r>
        <w:rPr>
          <w:rFonts w:ascii="AndulkaBookCE" w:hAnsi="AndulkaBookCE"/>
        </w:rPr>
        <w:t>Gidona</w:t>
      </w:r>
      <w:proofErr w:type="spellEnd"/>
      <w:r>
        <w:rPr>
          <w:rFonts w:ascii="AndulkaBookCE" w:hAnsi="AndulkaBookCE"/>
        </w:rPr>
        <w:t xml:space="preserve"> </w:t>
      </w:r>
      <w:proofErr w:type="spellStart"/>
      <w:r>
        <w:rPr>
          <w:rFonts w:ascii="AndulkaBookCE" w:hAnsi="AndulkaBookCE"/>
        </w:rPr>
        <w:t>Kremera</w:t>
      </w:r>
      <w:proofErr w:type="spellEnd"/>
      <w:r>
        <w:rPr>
          <w:rFonts w:ascii="AndulkaBookCE" w:hAnsi="AndulkaBookCE"/>
        </w:rPr>
        <w:t xml:space="preserve"> </w:t>
      </w:r>
      <w:r>
        <w:rPr>
          <w:rFonts w:ascii="AndulkaBookCE" w:hAnsi="AndulkaBookCE"/>
        </w:rPr>
        <w:br/>
        <w:t xml:space="preserve">v </w:t>
      </w:r>
      <w:proofErr w:type="spellStart"/>
      <w:r>
        <w:rPr>
          <w:rFonts w:ascii="AndulkaBookCE" w:hAnsi="AndulkaBookCE"/>
        </w:rPr>
        <w:t>Lockenhausenu</w:t>
      </w:r>
      <w:proofErr w:type="spellEnd"/>
      <w:r>
        <w:rPr>
          <w:rFonts w:ascii="AndulkaBookCE" w:hAnsi="AndulkaBookCE"/>
        </w:rPr>
        <w:t xml:space="preserve">. Českoněmecký dialog bude poté pokračovat v novém českém festivalovém místě – Prysku, kde se představí renomovaný německý trumpetista Oliver Lakota za doprovodu varhaníka Pavla Svobody. </w:t>
      </w:r>
    </w:p>
    <w:p w:rsidR="00D7166C" w:rsidRDefault="00914B11">
      <w:r>
        <w:rPr>
          <w:rFonts w:ascii="AndulkaBookCE" w:hAnsi="AndulkaBookCE"/>
        </w:rPr>
        <w:t xml:space="preserve">I v roce 2015 bude festival věnovat prostor začínajícím mladým hudebníkům. Třetím rokem bude pokračovat krajská soutěž Lípa </w:t>
      </w:r>
      <w:proofErr w:type="spellStart"/>
      <w:r>
        <w:rPr>
          <w:rFonts w:ascii="AndulkaBookCE" w:hAnsi="AndulkaBookCE"/>
        </w:rPr>
        <w:t>Cantantes</w:t>
      </w:r>
      <w:proofErr w:type="spellEnd"/>
      <w:r>
        <w:rPr>
          <w:rFonts w:ascii="AndulkaBookCE" w:hAnsi="AndulkaBookCE"/>
        </w:rPr>
        <w:t xml:space="preserve"> určená dětským </w:t>
      </w:r>
      <w:proofErr w:type="gramStart"/>
      <w:r>
        <w:rPr>
          <w:rFonts w:ascii="AndulkaBookCE" w:hAnsi="AndulkaBookCE"/>
        </w:rPr>
        <w:t>zpěvákům –  žákům</w:t>
      </w:r>
      <w:proofErr w:type="gramEnd"/>
      <w:r>
        <w:rPr>
          <w:rFonts w:ascii="AndulkaBookCE" w:hAnsi="AndulkaBookCE"/>
        </w:rPr>
        <w:t xml:space="preserve"> ZUŠ libereckého regionu. Po letech festival navíc opět zařadí vystoupení nejlepších žáků českolipské ZUŠ. </w:t>
      </w:r>
    </w:p>
    <w:p w:rsidR="00D7166C" w:rsidRDefault="00914B11">
      <w:pPr>
        <w:rPr>
          <w:rFonts w:ascii="AndulkaBookCE" w:hAnsi="AndulkaBookCE"/>
        </w:rPr>
      </w:pPr>
      <w:r>
        <w:rPr>
          <w:rFonts w:ascii="AndulkaBookCE" w:hAnsi="AndulkaBookCE"/>
        </w:rPr>
        <w:t xml:space="preserve">Lípa Musica nepřináší nové impulsy jen v oblasti klasické hudby, ale objevuje také zajímavé osobnosti, jež se pohybují na pomezí jiných žánrů. Festival posílí svoji děčínskou přítomnost zařazením koncertu </w:t>
      </w:r>
      <w:r w:rsidR="00457874">
        <w:rPr>
          <w:rFonts w:ascii="AndulkaBookCE" w:hAnsi="AndulkaBookCE"/>
        </w:rPr>
        <w:t xml:space="preserve">renomované německé kapely </w:t>
      </w:r>
      <w:proofErr w:type="spellStart"/>
      <w:r w:rsidR="00457874">
        <w:rPr>
          <w:rFonts w:ascii="AndulkaBookCE" w:hAnsi="AndulkaBookCE"/>
        </w:rPr>
        <w:t>Knoblauch</w:t>
      </w:r>
      <w:proofErr w:type="spellEnd"/>
      <w:r w:rsidR="00457874">
        <w:rPr>
          <w:rFonts w:ascii="AndulkaBookCE" w:hAnsi="AndulkaBookCE"/>
        </w:rPr>
        <w:t xml:space="preserve"> </w:t>
      </w:r>
      <w:proofErr w:type="spellStart"/>
      <w:r w:rsidR="00457874">
        <w:rPr>
          <w:rFonts w:ascii="AndulkaBookCE" w:hAnsi="AndulkaBookCE"/>
        </w:rPr>
        <w:t>Klezmer</w:t>
      </w:r>
      <w:proofErr w:type="spellEnd"/>
      <w:r w:rsidR="00457874">
        <w:rPr>
          <w:rFonts w:ascii="AndulkaBookCE" w:hAnsi="AndulkaBookCE"/>
        </w:rPr>
        <w:t xml:space="preserve"> Band zaměřující se na tradiční židovskou hudbu</w:t>
      </w:r>
      <w:r>
        <w:rPr>
          <w:rFonts w:ascii="AndulkaBookCE" w:hAnsi="AndulkaBookCE"/>
        </w:rPr>
        <w:t xml:space="preserve">. </w:t>
      </w:r>
    </w:p>
    <w:p w:rsidR="00D7166C" w:rsidRDefault="00344286">
      <w:pPr>
        <w:rPr>
          <w:rFonts w:ascii="AndulkaBookCE" w:hAnsi="AndulkaBookCE"/>
        </w:rPr>
      </w:pPr>
      <w:r>
        <w:rPr>
          <w:rFonts w:ascii="AndulkaBookCE" w:hAnsi="AndulkaBookCE"/>
        </w:rPr>
        <w:t>Na závěr festivalu je připraveno setkání se symfonickou podobou filmové hudby v podání Severočeské filharmonie Teplice, které se uskuteční v Novém Boru</w:t>
      </w:r>
      <w:r w:rsidR="00914B11">
        <w:rPr>
          <w:rFonts w:ascii="AndulkaBookCE" w:hAnsi="AndulkaBookCE"/>
        </w:rPr>
        <w:t xml:space="preserve">. </w:t>
      </w:r>
    </w:p>
    <w:p w:rsidR="00D7166C" w:rsidRDefault="00914B11">
      <w:pPr>
        <w:rPr>
          <w:rFonts w:ascii="AndulkaBookCE" w:hAnsi="AndulkaBookCE"/>
        </w:rPr>
      </w:pPr>
      <w:r>
        <w:rPr>
          <w:rFonts w:ascii="AndulkaBookCE" w:hAnsi="AndulkaBookCE"/>
        </w:rPr>
        <w:t xml:space="preserve">Festival Lípa Musica věren svým dramaturgickým zásadám nabídne v roce 2015 další nové impulsy a směry. Neopustí svůj duchovní fundament, odpovědnost vnímanou ve vztahu k sociálně- historickým vazbám regionu a nabídne rozšíření festivalové myšlenky humánního dialogu a přátelství do dalších evropských regionů. Přinese možnost setkání s nejvyšší interpretační úrovní v oblasti klasické hudby i projekty přesahující do dalších uměleckých žánrů. Živým uměním </w:t>
      </w:r>
      <w:r>
        <w:rPr>
          <w:rFonts w:ascii="AndulkaBookCE" w:hAnsi="AndulkaBookCE"/>
        </w:rPr>
        <w:lastRenderedPageBreak/>
        <w:t xml:space="preserve">naplní kulturní centra a památky kulturního dědictví Libereckého a Ústeckého kraje, Saska i Dolního Slezska s cílem dále prohloubit hodnotu započaté kulturní tradice, která je svým rozsahem v regionu trpícím zpřetrháním kulturních i mezilidských vazeb zcela jedinečnou. </w:t>
      </w:r>
    </w:p>
    <w:p w:rsidR="00D7166C" w:rsidRDefault="00D7166C">
      <w:pPr>
        <w:rPr>
          <w:rFonts w:ascii="AndulkaBookCE" w:hAnsi="AndulkaBookCE"/>
          <w:b/>
          <w:sz w:val="28"/>
        </w:rPr>
      </w:pPr>
    </w:p>
    <w:p w:rsidR="00D7166C" w:rsidRDefault="00914B11">
      <w:pPr>
        <w:pBdr>
          <w:bottom w:val="single" w:sz="4" w:space="1" w:color="00000A"/>
        </w:pBdr>
        <w:rPr>
          <w:rFonts w:ascii="AndulkaBookCE" w:hAnsi="AndulkaBookCE"/>
          <w:b/>
          <w:sz w:val="28"/>
        </w:rPr>
      </w:pPr>
      <w:r>
        <w:rPr>
          <w:rFonts w:ascii="AndulkaBookCE" w:hAnsi="AndulkaBookCE"/>
          <w:b/>
          <w:sz w:val="28"/>
        </w:rPr>
        <w:t xml:space="preserve">B. </w:t>
      </w:r>
      <w:proofErr w:type="gramStart"/>
      <w:r>
        <w:rPr>
          <w:rFonts w:ascii="AndulkaBookCE" w:hAnsi="AndulkaBookCE"/>
          <w:b/>
          <w:sz w:val="28"/>
        </w:rPr>
        <w:t>význam</w:t>
      </w:r>
      <w:proofErr w:type="gramEnd"/>
      <w:r>
        <w:rPr>
          <w:rFonts w:ascii="AndulkaBookCE" w:hAnsi="AndulkaBookCE"/>
          <w:b/>
          <w:sz w:val="28"/>
        </w:rPr>
        <w:t xml:space="preserve"> a přínos festivalu</w:t>
      </w:r>
    </w:p>
    <w:p w:rsidR="00D7166C" w:rsidRDefault="00914B11">
      <w:pPr>
        <w:rPr>
          <w:rFonts w:ascii="AndulkaBookCE" w:hAnsi="AndulkaBookCE"/>
        </w:rPr>
      </w:pPr>
      <w:r>
        <w:rPr>
          <w:rFonts w:ascii="AndulkaBookCE" w:hAnsi="AndulkaBookCE"/>
        </w:rPr>
        <w:t xml:space="preserve">Mezinárodní hudební festival Lípa Musica je významnou kulturní akcí severočeského regionu, která si klade za cíl kultivovat kulturní povědomí regionu, rozšířit a obohatit jeho kulturní nabídku a odpovědně nést roli kultury v individuálním profesním a osobnostním růstu občanů, zejména pro rozvoj tvořivosti, kultivaci demokratických hodnot a individuálních postojů a pro posilování odpovědnosti za zděděné i vytvářené hodnoty. Usiluje o využívání potenciálu kulturních památek regionu pro intenzivnější poskytování kulturních služeb a vytváření stimulů pro cestovní ruch s vyšší přidanou hodnotou. S vědomím palčivosti následků historických událostí, jež výrazně poznamenaly severočeský </w:t>
      </w:r>
      <w:r>
        <w:rPr>
          <w:rFonts w:ascii="AndulkaBookCE" w:hAnsi="AndulkaBookCE"/>
        </w:rPr>
        <w:br/>
        <w:t xml:space="preserve">i saský region, kde festival působí, vznikla již před dvěma lety iniciativa s cílem bojovat s faktickými i mentálními hranicemi, které jsou v mnohých z nás v tomto smyslu stále hluboce zakotveny, prostřednictvím navození hudebního dialogu, jež stírá všechny hranice </w:t>
      </w:r>
      <w:r>
        <w:rPr>
          <w:rFonts w:ascii="AndulkaBookCE" w:hAnsi="AndulkaBookCE"/>
        </w:rPr>
        <w:br/>
        <w:t xml:space="preserve">a bariéry. </w:t>
      </w:r>
    </w:p>
    <w:p w:rsidR="00D7166C" w:rsidRDefault="00914B11">
      <w:pPr>
        <w:rPr>
          <w:rFonts w:ascii="AndulkaBookCE" w:hAnsi="AndulkaBookCE"/>
        </w:rPr>
      </w:pPr>
      <w:r>
        <w:rPr>
          <w:rFonts w:ascii="AndulkaBookCE" w:hAnsi="AndulkaBookCE"/>
        </w:rPr>
        <w:t>S ohledem na ukotvení festivalu nejen na české kulturní scéně, ale právě i v příhraničí pokládáme za klíčovou roli projektu do budoucna nejen v rozvíjení a obohacování kulturního života dotčených oblastí, ale zejména coby podněcovatele zamyšlení, dialogu</w:t>
      </w:r>
      <w:r>
        <w:rPr>
          <w:rFonts w:ascii="AndulkaBookCE" w:hAnsi="AndulkaBookCE"/>
        </w:rPr>
        <w:br/>
        <w:t xml:space="preserve"> a spolupráce a nositele idejí vzájemného pochopení, harmonického soužití, přátelství. Opomenout však nelze ani vzdělávací a společensko-sociální význam projektu, který se obohacením kulturní nabídky v regionech snaží přispívat ke kultivaci životního stylu </w:t>
      </w:r>
      <w:r>
        <w:rPr>
          <w:rFonts w:ascii="AndulkaBookCE" w:hAnsi="AndulkaBookCE"/>
        </w:rPr>
        <w:br/>
        <w:t xml:space="preserve">a rozšíření možností volnočasových aktivit jejich rezidentů a návštěvníků, ke kultivaci intelektuálního i duševního vývoje společnosti pozitivním působením na rozvoj jejího estetického cítění a k uspokojení estetických potřeb. Festival se snaží pečovat o uchování </w:t>
      </w:r>
      <w:r>
        <w:rPr>
          <w:rFonts w:ascii="AndulkaBookCE" w:hAnsi="AndulkaBookCE"/>
        </w:rPr>
        <w:br/>
        <w:t xml:space="preserve">a rozvoj hudebního dědictví a přispívat k hudební osvětě. Pozitivně působí také na zkulturnění prostředí v souladu s evropskými kulturními tradicemi a podněcuje zvyšování kvality občanské společnosti, čímž působí i preventivně proti vzniku sociálně patologických jevů. Festival představuje jedinečnou kulturní platformu pro setkávání různých společenských skupin nezávisle na jakýchkoli jejich sociodemografických či jiných charakteristikách, </w:t>
      </w:r>
      <w:r>
        <w:rPr>
          <w:rFonts w:ascii="AndulkaBookCE" w:hAnsi="AndulkaBookCE"/>
        </w:rPr>
        <w:lastRenderedPageBreak/>
        <w:t xml:space="preserve">čímž naplňuje i socializační funkci a přispívá i tímto k prohloubení mezikulturního dialogu. </w:t>
      </w:r>
    </w:p>
    <w:p w:rsidR="00D7166C" w:rsidRDefault="00914B11">
      <w:pPr>
        <w:rPr>
          <w:rFonts w:ascii="AndulkaBookCE" w:hAnsi="AndulkaBookCE"/>
        </w:rPr>
      </w:pPr>
      <w:r>
        <w:rPr>
          <w:rFonts w:ascii="AndulkaBookCE" w:hAnsi="AndulkaBookCE"/>
        </w:rPr>
        <w:t xml:space="preserve">MHF Lípa Musica představuje významné obohacení pro českou kulturu v severočeském regionu, neboť se jedná o největší festival svého druhu konaný na území Libereckého kraje </w:t>
      </w:r>
      <w:r>
        <w:rPr>
          <w:rFonts w:ascii="AndulkaBookCE" w:hAnsi="AndulkaBookCE"/>
        </w:rPr>
        <w:br/>
        <w:t xml:space="preserve">s přesahem do sousedních regionů. Festival napomáhá uchovat bohatý odkaz české a světové hudby a významnou devizou festivalu je rovněž navázaní a prohloubení zahraniční spolupráce se sousedním Německem, jelikož festival vyváží převážně českou hudbu za hranice a současně přivádí do České republiky renomované interprety různých hudebních žánrů prakticky z celého světa. Prezentace zahraničních účinkujících dává možnost srovnání interpretačních kvalit pro česká tělesa a sólisty a přináší tak podněty k dalšímu rozvoji českého hudebního sektoru. Nikoli nevýznamnou rovinou je i podpora mladých začínajících umělců formou zařazení hudební soutěže pro mladé pěvce Lípa </w:t>
      </w:r>
      <w:proofErr w:type="spellStart"/>
      <w:r>
        <w:rPr>
          <w:rFonts w:ascii="AndulkaBookCE" w:hAnsi="AndulkaBookCE"/>
        </w:rPr>
        <w:t>Cantantes</w:t>
      </w:r>
      <w:proofErr w:type="spellEnd"/>
      <w:r>
        <w:rPr>
          <w:rFonts w:ascii="AndulkaBookCE" w:hAnsi="AndulkaBookCE"/>
        </w:rPr>
        <w:t xml:space="preserve"> </w:t>
      </w:r>
      <w:r>
        <w:rPr>
          <w:rFonts w:ascii="AndulkaBookCE" w:hAnsi="AndulkaBookCE"/>
        </w:rPr>
        <w:br/>
        <w:t>a vytváření příležitosti pro jejich koncertní vystoupení, kontakt a spolupráci s již renomovanými osobnostmi české hudební scény.</w:t>
      </w:r>
    </w:p>
    <w:p w:rsidR="00D7166C" w:rsidRDefault="00914B11">
      <w:pPr>
        <w:rPr>
          <w:rFonts w:ascii="AndulkaBookCE" w:hAnsi="AndulkaBookCE"/>
        </w:rPr>
      </w:pPr>
      <w:r>
        <w:rPr>
          <w:rFonts w:ascii="AndulkaBookCE" w:hAnsi="AndulkaBookCE"/>
        </w:rPr>
        <w:t xml:space="preserve">Projekt je určen široké veřejnosti se zájmem o kulturu z řad tradičních posluchačů v jednotlivých místech konání, ale i nově oslovených. Nejedná se pouze o posluchače klasické hudby, ale vždy jsou zařazeny i "neklasické" projekty, které rozšiřují pomyslný trychtýř do řad mladé generace, kterou právě tímto způsobem seznamujeme s klasickým festivalem. Naše tradiční publikum bude moci opět zdarma využít dopravy autobusem z České Lípy do vzdálenějších míst konání koncertů, a to i v SRN.  Rozvíjí se tak ojedinělá možnost oslovit i naše sousedy, kteří se následně zajímají i o další koncerty na českém území. Tradičně festival zařazuje představení pro děti. Nikoli nevýznamnou rovinou je i podpora mladých začínajících umělců formou hudební soutěže pro mladé pěvce Lípa </w:t>
      </w:r>
      <w:proofErr w:type="spellStart"/>
      <w:r>
        <w:rPr>
          <w:rFonts w:ascii="AndulkaBookCE" w:hAnsi="AndulkaBookCE"/>
        </w:rPr>
        <w:t>Cantantes</w:t>
      </w:r>
      <w:proofErr w:type="spellEnd"/>
      <w:r>
        <w:rPr>
          <w:rFonts w:ascii="AndulkaBookCE" w:hAnsi="AndulkaBookCE"/>
        </w:rPr>
        <w:t xml:space="preserve"> a vytváření příležitosti pro jejich koncertní vystoupení, kontakt a spolupráci s již renomovanými osobnostmi české hudební scény.</w:t>
      </w:r>
    </w:p>
    <w:p w:rsidR="00D7166C" w:rsidRDefault="00D7166C">
      <w:pPr>
        <w:rPr>
          <w:rFonts w:ascii="AndulkaBookCE" w:hAnsi="AndulkaBookCE"/>
        </w:rPr>
      </w:pPr>
    </w:p>
    <w:p w:rsidR="00D7166C" w:rsidRDefault="00D7166C">
      <w:pPr>
        <w:rPr>
          <w:rFonts w:ascii="AndulkaBookCE" w:hAnsi="AndulkaBookCE"/>
        </w:rPr>
      </w:pPr>
    </w:p>
    <w:p w:rsidR="00D7166C" w:rsidRDefault="00914B11">
      <w:pPr>
        <w:pBdr>
          <w:bottom w:val="single" w:sz="4" w:space="1" w:color="00000A"/>
        </w:pBdr>
        <w:rPr>
          <w:rFonts w:ascii="AndulkaBookCE" w:hAnsi="AndulkaBookCE"/>
          <w:b/>
          <w:sz w:val="28"/>
        </w:rPr>
      </w:pPr>
      <w:r>
        <w:rPr>
          <w:rFonts w:ascii="AndulkaBookCE" w:hAnsi="AndulkaBookCE"/>
          <w:b/>
          <w:sz w:val="28"/>
        </w:rPr>
        <w:t>C. harmonogram příprav a realizace festivalu</w:t>
      </w:r>
    </w:p>
    <w:tbl>
      <w:tblPr>
        <w:tblW w:w="9642"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4934"/>
        <w:gridCol w:w="2325"/>
        <w:gridCol w:w="2383"/>
      </w:tblGrid>
      <w:tr w:rsidR="00D7166C">
        <w:tc>
          <w:tcPr>
            <w:tcW w:w="4934" w:type="dxa"/>
            <w:tcBorders>
              <w:top w:val="single" w:sz="2" w:space="0" w:color="000001"/>
              <w:left w:val="single" w:sz="2" w:space="0" w:color="000001"/>
              <w:bottom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b/>
                <w:bCs/>
              </w:rPr>
            </w:pPr>
            <w:r>
              <w:rPr>
                <w:rFonts w:ascii="AndulkaBookCE" w:eastAsia="TimesNewRomanPS-BoldMT" w:hAnsi="AndulkaBookCE"/>
                <w:b/>
                <w:bCs/>
              </w:rPr>
              <w:t>realizace</w:t>
            </w:r>
          </w:p>
        </w:tc>
        <w:tc>
          <w:tcPr>
            <w:tcW w:w="2325" w:type="dxa"/>
            <w:tcBorders>
              <w:top w:val="single" w:sz="2" w:space="0" w:color="000001"/>
              <w:left w:val="single" w:sz="2" w:space="0" w:color="000001"/>
              <w:bottom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b/>
                <w:bCs/>
              </w:rPr>
            </w:pPr>
            <w:proofErr w:type="gramStart"/>
            <w:r>
              <w:rPr>
                <w:rFonts w:ascii="AndulkaBookCE" w:eastAsia="TimesNewRomanPS-BoldMT" w:hAnsi="AndulkaBookCE"/>
                <w:b/>
                <w:bCs/>
              </w:rPr>
              <w:t>od</w:t>
            </w:r>
            <w:proofErr w:type="gramEnd"/>
          </w:p>
        </w:tc>
        <w:tc>
          <w:tcPr>
            <w:tcW w:w="2383"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b/>
                <w:bCs/>
              </w:rPr>
            </w:pPr>
            <w:proofErr w:type="gramStart"/>
            <w:r>
              <w:rPr>
                <w:rFonts w:ascii="AndulkaBookCE" w:eastAsia="TimesNewRomanPS-BoldMT" w:hAnsi="AndulkaBookCE"/>
                <w:b/>
                <w:bCs/>
              </w:rPr>
              <w:t>do</w:t>
            </w:r>
            <w:proofErr w:type="gramEnd"/>
          </w:p>
        </w:tc>
      </w:tr>
      <w:tr w:rsidR="00D7166C">
        <w:tc>
          <w:tcPr>
            <w:tcW w:w="4934" w:type="dxa"/>
            <w:tcBorders>
              <w:left w:val="single" w:sz="2" w:space="0" w:color="000001"/>
              <w:bottom w:val="single" w:sz="2" w:space="0" w:color="000001"/>
            </w:tcBorders>
            <w:shd w:val="clear" w:color="auto" w:fill="auto"/>
            <w:tcMar>
              <w:left w:w="51" w:type="dxa"/>
            </w:tcMar>
          </w:tcPr>
          <w:p w:rsidR="00D7166C" w:rsidRDefault="00914B11">
            <w:pPr>
              <w:spacing w:after="0" w:line="240" w:lineRule="auto"/>
              <w:rPr>
                <w:rFonts w:ascii="AndulkaBookCE" w:eastAsia="TimesNewRomanPSMT" w:hAnsi="AndulkaBookCE"/>
              </w:rPr>
            </w:pPr>
            <w:r>
              <w:rPr>
                <w:rFonts w:ascii="AndulkaBookCE" w:eastAsia="TimesNewRomanPSMT" w:hAnsi="AndulkaBookCE" w:cs="Calibri"/>
              </w:rPr>
              <w:t>příprava dramaturgie, průběžné úpravy</w:t>
            </w:r>
          </w:p>
        </w:tc>
        <w:tc>
          <w:tcPr>
            <w:tcW w:w="2325" w:type="dxa"/>
            <w:tcBorders>
              <w:left w:val="single" w:sz="2" w:space="0" w:color="000001"/>
              <w:bottom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08/2014</w:t>
            </w:r>
          </w:p>
        </w:tc>
        <w:tc>
          <w:tcPr>
            <w:tcW w:w="2383" w:type="dxa"/>
            <w:tcBorders>
              <w:left w:val="single" w:sz="2" w:space="0" w:color="000001"/>
              <w:bottom w:val="single" w:sz="2" w:space="0" w:color="000001"/>
              <w:right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05/2015</w:t>
            </w:r>
          </w:p>
        </w:tc>
      </w:tr>
      <w:tr w:rsidR="00D7166C">
        <w:tc>
          <w:tcPr>
            <w:tcW w:w="4934" w:type="dxa"/>
            <w:tcBorders>
              <w:left w:val="single" w:sz="2" w:space="0" w:color="000001"/>
              <w:bottom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zajištění financování</w:t>
            </w:r>
          </w:p>
        </w:tc>
        <w:tc>
          <w:tcPr>
            <w:tcW w:w="2325" w:type="dxa"/>
            <w:tcBorders>
              <w:left w:val="single" w:sz="2" w:space="0" w:color="000001"/>
              <w:bottom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11/2014</w:t>
            </w:r>
          </w:p>
        </w:tc>
        <w:tc>
          <w:tcPr>
            <w:tcW w:w="2383" w:type="dxa"/>
            <w:tcBorders>
              <w:left w:val="single" w:sz="2" w:space="0" w:color="000001"/>
              <w:bottom w:val="single" w:sz="2" w:space="0" w:color="000001"/>
              <w:right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06/2015</w:t>
            </w:r>
          </w:p>
        </w:tc>
      </w:tr>
      <w:tr w:rsidR="00D7166C">
        <w:tc>
          <w:tcPr>
            <w:tcW w:w="4934" w:type="dxa"/>
            <w:tcBorders>
              <w:left w:val="single" w:sz="2" w:space="0" w:color="000001"/>
              <w:bottom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příprava marketingového plánu a kampaně</w:t>
            </w:r>
          </w:p>
        </w:tc>
        <w:tc>
          <w:tcPr>
            <w:tcW w:w="2325" w:type="dxa"/>
            <w:tcBorders>
              <w:left w:val="single" w:sz="2" w:space="0" w:color="000001"/>
              <w:bottom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11/2014</w:t>
            </w:r>
          </w:p>
        </w:tc>
        <w:tc>
          <w:tcPr>
            <w:tcW w:w="2383" w:type="dxa"/>
            <w:tcBorders>
              <w:left w:val="single" w:sz="2" w:space="0" w:color="000001"/>
              <w:bottom w:val="single" w:sz="2" w:space="0" w:color="000001"/>
              <w:right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03/2015</w:t>
            </w:r>
          </w:p>
        </w:tc>
      </w:tr>
      <w:tr w:rsidR="00D7166C">
        <w:tc>
          <w:tcPr>
            <w:tcW w:w="4934" w:type="dxa"/>
            <w:tcBorders>
              <w:left w:val="single" w:sz="2" w:space="0" w:color="000001"/>
              <w:bottom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uzavírání smluv s interprety a partnery</w:t>
            </w:r>
          </w:p>
        </w:tc>
        <w:tc>
          <w:tcPr>
            <w:tcW w:w="2325" w:type="dxa"/>
            <w:tcBorders>
              <w:left w:val="single" w:sz="2" w:space="0" w:color="000001"/>
              <w:bottom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02/2015</w:t>
            </w:r>
          </w:p>
        </w:tc>
        <w:tc>
          <w:tcPr>
            <w:tcW w:w="2383" w:type="dxa"/>
            <w:tcBorders>
              <w:left w:val="single" w:sz="2" w:space="0" w:color="000001"/>
              <w:bottom w:val="single" w:sz="2" w:space="0" w:color="000001"/>
              <w:right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06/2015</w:t>
            </w:r>
          </w:p>
        </w:tc>
      </w:tr>
      <w:tr w:rsidR="00D7166C">
        <w:tc>
          <w:tcPr>
            <w:tcW w:w="4934" w:type="dxa"/>
            <w:tcBorders>
              <w:left w:val="single" w:sz="2" w:space="0" w:color="000001"/>
              <w:bottom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lastRenderedPageBreak/>
              <w:t>realizace marketingové kampaně</w:t>
            </w:r>
          </w:p>
        </w:tc>
        <w:tc>
          <w:tcPr>
            <w:tcW w:w="2325" w:type="dxa"/>
            <w:tcBorders>
              <w:left w:val="single" w:sz="2" w:space="0" w:color="000001"/>
              <w:bottom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03/2015</w:t>
            </w:r>
          </w:p>
        </w:tc>
        <w:tc>
          <w:tcPr>
            <w:tcW w:w="2383" w:type="dxa"/>
            <w:tcBorders>
              <w:left w:val="single" w:sz="2" w:space="0" w:color="000001"/>
              <w:bottom w:val="single" w:sz="2" w:space="0" w:color="000001"/>
              <w:right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11/2015</w:t>
            </w:r>
          </w:p>
        </w:tc>
      </w:tr>
      <w:tr w:rsidR="00D7166C">
        <w:tc>
          <w:tcPr>
            <w:tcW w:w="4934" w:type="dxa"/>
            <w:tcBorders>
              <w:left w:val="single" w:sz="2" w:space="0" w:color="000001"/>
              <w:bottom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realizace samotného festivalu</w:t>
            </w:r>
          </w:p>
        </w:tc>
        <w:tc>
          <w:tcPr>
            <w:tcW w:w="2325" w:type="dxa"/>
            <w:tcBorders>
              <w:left w:val="single" w:sz="2" w:space="0" w:color="000001"/>
              <w:bottom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08/2015</w:t>
            </w:r>
          </w:p>
        </w:tc>
        <w:tc>
          <w:tcPr>
            <w:tcW w:w="2383" w:type="dxa"/>
            <w:tcBorders>
              <w:left w:val="single" w:sz="2" w:space="0" w:color="000001"/>
              <w:bottom w:val="single" w:sz="2" w:space="0" w:color="000001"/>
              <w:right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10/2015</w:t>
            </w:r>
          </w:p>
        </w:tc>
      </w:tr>
      <w:tr w:rsidR="00D7166C">
        <w:tc>
          <w:tcPr>
            <w:tcW w:w="4934" w:type="dxa"/>
            <w:tcBorders>
              <w:left w:val="single" w:sz="2" w:space="0" w:color="000001"/>
              <w:bottom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uzavření ročníku (vyhodnocení, vyúčtování atd.)</w:t>
            </w:r>
          </w:p>
        </w:tc>
        <w:tc>
          <w:tcPr>
            <w:tcW w:w="2325" w:type="dxa"/>
            <w:tcBorders>
              <w:left w:val="single" w:sz="2" w:space="0" w:color="000001"/>
              <w:bottom w:val="single" w:sz="2" w:space="0" w:color="000001"/>
            </w:tcBorders>
            <w:shd w:val="clear" w:color="auto" w:fill="auto"/>
            <w:tcMar>
              <w:left w:w="51" w:type="dxa"/>
            </w:tcMar>
          </w:tcPr>
          <w:p w:rsidR="00D7166C" w:rsidRDefault="00914B11">
            <w:pPr>
              <w:pStyle w:val="Obsahtabulky"/>
              <w:spacing w:after="0" w:line="240" w:lineRule="auto"/>
              <w:rPr>
                <w:rFonts w:ascii="AndulkaBookCE" w:eastAsia="TimesNewRomanPS-BoldMT" w:hAnsi="AndulkaBookCE"/>
              </w:rPr>
            </w:pPr>
            <w:r>
              <w:rPr>
                <w:rFonts w:ascii="AndulkaBookCE" w:eastAsia="TimesNewRomanPS-BoldMT" w:hAnsi="AndulkaBookCE"/>
              </w:rPr>
              <w:t>11/2015</w:t>
            </w:r>
          </w:p>
        </w:tc>
        <w:tc>
          <w:tcPr>
            <w:tcW w:w="2383" w:type="dxa"/>
            <w:tcBorders>
              <w:left w:val="single" w:sz="2" w:space="0" w:color="000001"/>
              <w:bottom w:val="single" w:sz="2" w:space="0" w:color="000001"/>
              <w:right w:val="single" w:sz="2" w:space="0" w:color="000001"/>
            </w:tcBorders>
            <w:shd w:val="clear" w:color="auto" w:fill="auto"/>
            <w:tcMar>
              <w:left w:w="51" w:type="dxa"/>
            </w:tcMar>
          </w:tcPr>
          <w:p w:rsidR="00D7166C" w:rsidRDefault="0024726D">
            <w:pPr>
              <w:pStyle w:val="Obsahtabulky"/>
              <w:spacing w:after="0" w:line="240" w:lineRule="auto"/>
              <w:rPr>
                <w:rFonts w:ascii="AndulkaBookCE" w:eastAsia="TimesNewRomanPS-BoldMT" w:hAnsi="AndulkaBookCE"/>
              </w:rPr>
            </w:pPr>
            <w:r>
              <w:rPr>
                <w:rFonts w:ascii="AndulkaBookCE" w:eastAsia="TimesNewRomanPS-BoldMT" w:hAnsi="AndulkaBookCE"/>
              </w:rPr>
              <w:t>12/2015</w:t>
            </w:r>
          </w:p>
        </w:tc>
      </w:tr>
    </w:tbl>
    <w:p w:rsidR="00D7166C" w:rsidRDefault="00D7166C"/>
    <w:p w:rsidR="00D7166C" w:rsidRDefault="00D7166C">
      <w:pPr>
        <w:snapToGrid w:val="0"/>
        <w:jc w:val="both"/>
        <w:rPr>
          <w:rFonts w:ascii="AndulkaBookCE" w:hAnsi="AndulkaBookCE"/>
        </w:rPr>
      </w:pPr>
    </w:p>
    <w:p w:rsidR="00D7166C" w:rsidRDefault="00914B11">
      <w:pPr>
        <w:pBdr>
          <w:bottom w:val="single" w:sz="4" w:space="1" w:color="00000A"/>
        </w:pBdr>
        <w:snapToGrid w:val="0"/>
        <w:jc w:val="both"/>
      </w:pPr>
      <w:r>
        <w:rPr>
          <w:rFonts w:ascii="AndulkaBookCE" w:hAnsi="AndulkaBookCE"/>
          <w:b/>
          <w:sz w:val="28"/>
        </w:rPr>
        <w:t>D. pořadatel festivalu</w:t>
      </w:r>
    </w:p>
    <w:p w:rsidR="00D7166C" w:rsidRDefault="00914B11">
      <w:pPr>
        <w:snapToGrid w:val="0"/>
        <w:jc w:val="both"/>
        <w:rPr>
          <w:rFonts w:ascii="AndulkaBookCE" w:hAnsi="AndulkaBookCE"/>
        </w:rPr>
      </w:pPr>
      <w:r>
        <w:rPr>
          <w:rFonts w:ascii="AndulkaBookCE" w:hAnsi="AndulkaBookCE"/>
        </w:rPr>
        <w:t xml:space="preserve">Festival byl v počátku organizován přímo Martinem Prokešem – fyzickou osobou. V posledních 3 letech pořádání festivalu převzala společnost </w:t>
      </w:r>
      <w:proofErr w:type="spellStart"/>
      <w:r>
        <w:rPr>
          <w:rFonts w:ascii="AndulkaBookCE" w:hAnsi="AndulkaBookCE"/>
        </w:rPr>
        <w:t>Bohemorum</w:t>
      </w:r>
      <w:proofErr w:type="spellEnd"/>
      <w:r>
        <w:rPr>
          <w:rFonts w:ascii="AndulkaBookCE" w:hAnsi="AndulkaBookCE"/>
        </w:rPr>
        <w:t xml:space="preserve"> s. r. o. ve spolupráci s občanským sdružením pro duchovní kulturu ARBOR, které samo je spolupořadatelem festivalu od jeho samotného vzniku. Od roku 2015 se hlavním pořadatelem festivalu stane právě spolek ARBOR. Obě instituce spojuje osoba jednatele resp. předsedy sdružení Martina Prokeše. Tato změna je přirozeným vyústěním vývoje festivalu ve snaze nalézt optimální organizační formu s ohledem na působení festivalu v neziskovém sektoru. </w:t>
      </w:r>
    </w:p>
    <w:sectPr w:rsidR="00D7166C">
      <w:headerReference w:type="default" r:id="rId7"/>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BB2" w:rsidRDefault="00A90BB2" w:rsidP="00A90BB2">
      <w:pPr>
        <w:spacing w:after="0" w:line="240" w:lineRule="auto"/>
      </w:pPr>
      <w:r>
        <w:separator/>
      </w:r>
    </w:p>
  </w:endnote>
  <w:endnote w:type="continuationSeparator" w:id="0">
    <w:p w:rsidR="00A90BB2" w:rsidRDefault="00A90BB2" w:rsidP="00A90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ans">
    <w:altName w:val="Arial"/>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ndulkaBookCE">
    <w:altName w:val="Courier New"/>
    <w:panose1 w:val="00000000000000000000"/>
    <w:charset w:val="C8"/>
    <w:family w:val="auto"/>
    <w:notTrueType/>
    <w:pitch w:val="variable"/>
    <w:sig w:usb0="00000001" w:usb1="00000000" w:usb2="00000000" w:usb3="00000000" w:csb0="0000009B" w:csb1="00000000"/>
  </w:font>
  <w:font w:name="TimesNewRomanPS-BoldMT">
    <w:panose1 w:val="00000000000000000000"/>
    <w:charset w:val="00"/>
    <w:family w:val="roman"/>
    <w:notTrueType/>
    <w:pitch w:val="default"/>
  </w:font>
  <w:font w:name="TimesNewRomanPSMT">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BB2" w:rsidRDefault="00A90BB2" w:rsidP="00A90BB2">
      <w:pPr>
        <w:spacing w:after="0" w:line="240" w:lineRule="auto"/>
      </w:pPr>
      <w:r>
        <w:separator/>
      </w:r>
    </w:p>
  </w:footnote>
  <w:footnote w:type="continuationSeparator" w:id="0">
    <w:p w:rsidR="00A90BB2" w:rsidRDefault="00A90BB2" w:rsidP="00A90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BB2" w:rsidRDefault="00A90BB2" w:rsidP="00A90BB2">
    <w:pPr>
      <w:pStyle w:val="Zhlav"/>
      <w:jc w:val="right"/>
    </w:pPr>
  </w:p>
  <w:p w:rsidR="00A90BB2" w:rsidRDefault="00A90BB2" w:rsidP="00A90BB2">
    <w:pPr>
      <w:pStyle w:val="Zhlav"/>
      <w:jc w:val="right"/>
    </w:pPr>
  </w:p>
  <w:p w:rsidR="00A90BB2" w:rsidRDefault="00A90BB2" w:rsidP="00A90BB2">
    <w:pPr>
      <w:pStyle w:val="Zhlav"/>
      <w:jc w:val="right"/>
    </w:pPr>
  </w:p>
  <w:p w:rsidR="00A90BB2" w:rsidRDefault="00A90BB2" w:rsidP="00A90BB2">
    <w:pPr>
      <w:pStyle w:val="Zhlav"/>
      <w:jc w:val="right"/>
    </w:pPr>
    <w:r>
      <w:t>Příloha č.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66C"/>
    <w:rsid w:val="0024726D"/>
    <w:rsid w:val="00344286"/>
    <w:rsid w:val="00457874"/>
    <w:rsid w:val="00914B11"/>
    <w:rsid w:val="00A90BB2"/>
    <w:rsid w:val="00D7166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521B"/>
    <w:pPr>
      <w:suppressAutoHyphens/>
      <w:spacing w:after="20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Normln"/>
    <w:pPr>
      <w:spacing w:after="140" w:line="288" w:lineRule="auto"/>
    </w:pPr>
  </w:style>
  <w:style w:type="paragraph" w:styleId="Seznam">
    <w:name w:val="List"/>
    <w:basedOn w:val="TextBody"/>
    <w:rPr>
      <w:rFonts w:cs="Mangal"/>
    </w:rPr>
  </w:style>
  <w:style w:type="paragraph" w:styleId="Titulek">
    <w:name w:val="caption"/>
    <w:basedOn w:val="Normln"/>
    <w:pPr>
      <w:suppressLineNumbers/>
      <w:spacing w:before="120" w:after="120"/>
    </w:pPr>
    <w:rPr>
      <w:rFonts w:cs="Mangal"/>
      <w:i/>
      <w:iCs/>
      <w:sz w:val="24"/>
      <w:szCs w:val="24"/>
    </w:rPr>
  </w:style>
  <w:style w:type="paragraph" w:customStyle="1" w:styleId="Index">
    <w:name w:val="Index"/>
    <w:basedOn w:val="Normln"/>
    <w:pPr>
      <w:suppressLineNumbers/>
    </w:pPr>
    <w:rPr>
      <w:rFonts w:cs="Mangal"/>
    </w:rPr>
  </w:style>
  <w:style w:type="paragraph" w:customStyle="1" w:styleId="Obsahtabulky">
    <w:name w:val="Obsah tabulky"/>
    <w:basedOn w:val="Normln"/>
    <w:rsid w:val="001D78A5"/>
    <w:pPr>
      <w:suppressLineNumbers/>
    </w:pPr>
    <w:rPr>
      <w:rFonts w:ascii="Calibri" w:eastAsia="SimSun" w:hAnsi="Calibri" w:cs="Calibri"/>
    </w:rPr>
  </w:style>
  <w:style w:type="paragraph" w:styleId="Zhlav">
    <w:name w:val="header"/>
    <w:basedOn w:val="Normln"/>
    <w:link w:val="ZhlavChar"/>
    <w:uiPriority w:val="99"/>
    <w:unhideWhenUsed/>
    <w:rsid w:val="00A90B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0BB2"/>
  </w:style>
  <w:style w:type="paragraph" w:styleId="Zpat">
    <w:name w:val="footer"/>
    <w:basedOn w:val="Normln"/>
    <w:link w:val="ZpatChar"/>
    <w:uiPriority w:val="99"/>
    <w:unhideWhenUsed/>
    <w:rsid w:val="00A90BB2"/>
    <w:pPr>
      <w:tabs>
        <w:tab w:val="center" w:pos="4536"/>
        <w:tab w:val="right" w:pos="9072"/>
      </w:tabs>
      <w:spacing w:after="0" w:line="240" w:lineRule="auto"/>
    </w:pPr>
  </w:style>
  <w:style w:type="character" w:customStyle="1" w:styleId="ZpatChar">
    <w:name w:val="Zápatí Char"/>
    <w:basedOn w:val="Standardnpsmoodstavce"/>
    <w:link w:val="Zpat"/>
    <w:uiPriority w:val="99"/>
    <w:rsid w:val="00A90BB2"/>
  </w:style>
  <w:style w:type="paragraph" w:styleId="Textbubliny">
    <w:name w:val="Balloon Text"/>
    <w:basedOn w:val="Normln"/>
    <w:link w:val="TextbublinyChar"/>
    <w:uiPriority w:val="99"/>
    <w:semiHidden/>
    <w:unhideWhenUsed/>
    <w:rsid w:val="00A90B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0B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521B"/>
    <w:pPr>
      <w:suppressAutoHyphens/>
      <w:spacing w:after="20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Normln"/>
    <w:pPr>
      <w:spacing w:after="140" w:line="288" w:lineRule="auto"/>
    </w:pPr>
  </w:style>
  <w:style w:type="paragraph" w:styleId="Seznam">
    <w:name w:val="List"/>
    <w:basedOn w:val="TextBody"/>
    <w:rPr>
      <w:rFonts w:cs="Mangal"/>
    </w:rPr>
  </w:style>
  <w:style w:type="paragraph" w:styleId="Titulek">
    <w:name w:val="caption"/>
    <w:basedOn w:val="Normln"/>
    <w:pPr>
      <w:suppressLineNumbers/>
      <w:spacing w:before="120" w:after="120"/>
    </w:pPr>
    <w:rPr>
      <w:rFonts w:cs="Mangal"/>
      <w:i/>
      <w:iCs/>
      <w:sz w:val="24"/>
      <w:szCs w:val="24"/>
    </w:rPr>
  </w:style>
  <w:style w:type="paragraph" w:customStyle="1" w:styleId="Index">
    <w:name w:val="Index"/>
    <w:basedOn w:val="Normln"/>
    <w:pPr>
      <w:suppressLineNumbers/>
    </w:pPr>
    <w:rPr>
      <w:rFonts w:cs="Mangal"/>
    </w:rPr>
  </w:style>
  <w:style w:type="paragraph" w:customStyle="1" w:styleId="Obsahtabulky">
    <w:name w:val="Obsah tabulky"/>
    <w:basedOn w:val="Normln"/>
    <w:rsid w:val="001D78A5"/>
    <w:pPr>
      <w:suppressLineNumbers/>
    </w:pPr>
    <w:rPr>
      <w:rFonts w:ascii="Calibri" w:eastAsia="SimSun" w:hAnsi="Calibri" w:cs="Calibri"/>
    </w:rPr>
  </w:style>
  <w:style w:type="paragraph" w:styleId="Zhlav">
    <w:name w:val="header"/>
    <w:basedOn w:val="Normln"/>
    <w:link w:val="ZhlavChar"/>
    <w:uiPriority w:val="99"/>
    <w:unhideWhenUsed/>
    <w:rsid w:val="00A90B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0BB2"/>
  </w:style>
  <w:style w:type="paragraph" w:styleId="Zpat">
    <w:name w:val="footer"/>
    <w:basedOn w:val="Normln"/>
    <w:link w:val="ZpatChar"/>
    <w:uiPriority w:val="99"/>
    <w:unhideWhenUsed/>
    <w:rsid w:val="00A90BB2"/>
    <w:pPr>
      <w:tabs>
        <w:tab w:val="center" w:pos="4536"/>
        <w:tab w:val="right" w:pos="9072"/>
      </w:tabs>
      <w:spacing w:after="0" w:line="240" w:lineRule="auto"/>
    </w:pPr>
  </w:style>
  <w:style w:type="character" w:customStyle="1" w:styleId="ZpatChar">
    <w:name w:val="Zápatí Char"/>
    <w:basedOn w:val="Standardnpsmoodstavce"/>
    <w:link w:val="Zpat"/>
    <w:uiPriority w:val="99"/>
    <w:rsid w:val="00A90BB2"/>
  </w:style>
  <w:style w:type="paragraph" w:styleId="Textbubliny">
    <w:name w:val="Balloon Text"/>
    <w:basedOn w:val="Normln"/>
    <w:link w:val="TextbublinyChar"/>
    <w:uiPriority w:val="99"/>
    <w:semiHidden/>
    <w:unhideWhenUsed/>
    <w:rsid w:val="00A90B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0B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1912</Words>
  <Characters>11282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dc:creator>
  <cp:lastModifiedBy>Hamplova Miloslava</cp:lastModifiedBy>
  <cp:revision>3</cp:revision>
  <cp:lastPrinted>2014-09-25T15:29:00Z</cp:lastPrinted>
  <dcterms:created xsi:type="dcterms:W3CDTF">2015-01-07T06:37:00Z</dcterms:created>
  <dcterms:modified xsi:type="dcterms:W3CDTF">2015-01-07T07:49:00Z</dcterms:modified>
  <dc:language>cs-CZ</dc:language>
</cp:coreProperties>
</file>