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11" w:rsidRPr="00340511" w:rsidRDefault="00340511" w:rsidP="009422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40511">
        <w:rPr>
          <w:rFonts w:ascii="Times New Roman" w:eastAsia="Times New Roman" w:hAnsi="Times New Roman" w:cs="Times New Roman"/>
          <w:sz w:val="28"/>
          <w:szCs w:val="28"/>
          <w:lang w:eastAsia="cs-CZ"/>
        </w:rPr>
        <w:t>PÍSEMNÁ INFORMACE</w:t>
      </w:r>
    </w:p>
    <w:p w:rsidR="00340511" w:rsidRPr="00340511" w:rsidRDefault="00340511" w:rsidP="00942206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40511">
        <w:rPr>
          <w:rFonts w:ascii="Times New Roman" w:eastAsia="Times New Roman" w:hAnsi="Times New Roman" w:cs="Times New Roman"/>
          <w:sz w:val="28"/>
          <w:szCs w:val="28"/>
          <w:lang w:eastAsia="cs-CZ"/>
        </w:rPr>
        <w:t>pro 1. zasedání Zastupitelstva Libereckého kraje v roce 201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0E6DEA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53 n)</w:t>
      </w: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340511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Monitoring Programu rozvoje Libereckého kraje 2007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–</w:t>
      </w:r>
      <w:r w:rsidRPr="00340511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2013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- </w:t>
      </w:r>
      <w:r w:rsidRPr="00340511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reakce na připomínky z jednání zastupitelstva dne 16. 12. 2014</w:t>
      </w: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Důvod předložení:</w:t>
            </w: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žádost předkladatelky</w:t>
            </w: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Michael Otta</w:t>
            </w: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odboru regionálního rozvoje a evropských projektů</w:t>
            </w: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Ivana Hujerová</w:t>
            </w:r>
          </w:p>
        </w:tc>
      </w:tr>
      <w:tr w:rsidR="00340511" w:rsidRPr="00340511" w:rsidTr="00721C6E">
        <w:tc>
          <w:tcPr>
            <w:tcW w:w="205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340511" w:rsidRPr="00340511" w:rsidRDefault="00340511" w:rsidP="00942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členka rady LK</w:t>
            </w:r>
          </w:p>
        </w:tc>
      </w:tr>
    </w:tbl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0511" w:rsidRPr="00340511" w:rsidRDefault="00340511" w:rsidP="0094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0511" w:rsidRDefault="00340511" w:rsidP="00942206">
      <w:pPr>
        <w:spacing w:after="0" w:line="240" w:lineRule="auto"/>
        <w:jc w:val="both"/>
      </w:pPr>
    </w:p>
    <w:p w:rsidR="0057481F" w:rsidRDefault="00EB6A3B" w:rsidP="00942206">
      <w:pPr>
        <w:spacing w:after="0" w:line="240" w:lineRule="auto"/>
        <w:jc w:val="both"/>
      </w:pPr>
      <w:r>
        <w:t xml:space="preserve">Na jednání Zastupitelstva Libereckého kraje dne 16. 12. 2014 předložila Ivana Hujerová, členka rady pro </w:t>
      </w:r>
      <w:r w:rsidRPr="00EB6A3B">
        <w:t>řízení hospodářského a regionálního rozvoje, evropských projektů a rozvoje venkova</w:t>
      </w:r>
      <w:r>
        <w:t xml:space="preserve">, písemnou informaci „Monitoring </w:t>
      </w:r>
      <w:r w:rsidR="00BD3D7D">
        <w:t>Programu Libereckého kraje 2007</w:t>
      </w:r>
      <w:r>
        <w:t>–201</w:t>
      </w:r>
      <w:r w:rsidR="00235B02">
        <w:t>3</w:t>
      </w:r>
      <w:r>
        <w:t>“. Při rozpravě k tomuto bodu vystoupil pan zastupitel Mgr. Jan Korytář s několika připomínkami a podněty.</w:t>
      </w:r>
    </w:p>
    <w:p w:rsidR="00942206" w:rsidRDefault="00942206" w:rsidP="00942206">
      <w:pPr>
        <w:spacing w:after="0" w:line="240" w:lineRule="auto"/>
        <w:jc w:val="both"/>
      </w:pPr>
    </w:p>
    <w:p w:rsidR="005F63F3" w:rsidRDefault="005F63F3" w:rsidP="00942206">
      <w:pPr>
        <w:spacing w:after="0" w:line="240" w:lineRule="auto"/>
        <w:jc w:val="both"/>
      </w:pPr>
      <w:r>
        <w:t>Vzhledem k tomu, že nabízená nabídka schůzky k tomuto tématu s panem zastupitelem nebyla z jeho strany přijata</w:t>
      </w:r>
      <w:r w:rsidR="009C1906">
        <w:t xml:space="preserve"> a krajský úřad neobdržel žádné písemné definování připomínek</w:t>
      </w:r>
      <w:r>
        <w:t>, vycházel odbor regionálního rozvoje a evropských projektů při tvorbě tohoto stanoviska z videozáznamu z jednání Zastupitelstva Libereckého kraje.</w:t>
      </w:r>
    </w:p>
    <w:p w:rsidR="00942206" w:rsidRDefault="00942206" w:rsidP="00942206">
      <w:pPr>
        <w:spacing w:after="0" w:line="240" w:lineRule="auto"/>
        <w:jc w:val="both"/>
      </w:pPr>
    </w:p>
    <w:p w:rsidR="005F63F3" w:rsidRDefault="009C1906" w:rsidP="00942206">
      <w:pPr>
        <w:spacing w:after="0" w:line="240" w:lineRule="auto"/>
        <w:jc w:val="both"/>
      </w:pPr>
      <w:r>
        <w:t>Níže jsou uvedeny odpovědi na jednotlivé otázky.</w:t>
      </w:r>
    </w:p>
    <w:p w:rsidR="00317B39" w:rsidRDefault="00317B39" w:rsidP="00942206">
      <w:pPr>
        <w:spacing w:after="0" w:line="240" w:lineRule="auto"/>
        <w:jc w:val="both"/>
        <w:rPr>
          <w:color w:val="1F497D"/>
          <w:u w:val="single"/>
        </w:rPr>
      </w:pPr>
    </w:p>
    <w:p w:rsidR="005F63F3" w:rsidRDefault="005F63F3" w:rsidP="00942206">
      <w:pPr>
        <w:pStyle w:val="Odstavecseseznamem"/>
        <w:numPr>
          <w:ilvl w:val="0"/>
          <w:numId w:val="4"/>
        </w:numPr>
        <w:contextualSpacing/>
        <w:jc w:val="both"/>
      </w:pPr>
      <w:r>
        <w:t>Je hlavním cílem materiálu říci, jak se peníze</w:t>
      </w:r>
      <w:r w:rsidR="00BD3D7D">
        <w:t>,</w:t>
      </w:r>
      <w:r>
        <w:t xml:space="preserve"> které vynakládáme buď z rozpočtu </w:t>
      </w:r>
      <w:proofErr w:type="gramStart"/>
      <w:r>
        <w:t>kraje nebo</w:t>
      </w:r>
      <w:proofErr w:type="gramEnd"/>
      <w:r>
        <w:t xml:space="preserve"> které získáváme z různých dalších zdrojů</w:t>
      </w:r>
      <w:r w:rsidR="00BD3D7D">
        <w:t>,</w:t>
      </w:r>
      <w:r>
        <w:t xml:space="preserve"> kryjí s cíli, které jmenujeme v Programu rozvoje kraje?</w:t>
      </w:r>
    </w:p>
    <w:p w:rsidR="009C1906" w:rsidRDefault="009C1906" w:rsidP="00942206">
      <w:pPr>
        <w:pStyle w:val="Odstavecseseznamem"/>
        <w:jc w:val="both"/>
        <w:rPr>
          <w:color w:val="FF0000"/>
        </w:rPr>
      </w:pPr>
    </w:p>
    <w:p w:rsidR="00441516" w:rsidRDefault="00441516" w:rsidP="00942206">
      <w:pPr>
        <w:pStyle w:val="Odstavecseseznamem"/>
        <w:jc w:val="both"/>
        <w:rPr>
          <w:color w:val="FF0000"/>
        </w:rPr>
      </w:pPr>
      <w:r>
        <w:rPr>
          <w:color w:val="FF0000"/>
        </w:rPr>
        <w:t>Hlavním smyslem materiálu je hodnocení toho, jak se naplňují cíle, opatření a aktivity Programu rozvoje Libereckého kraje 2007</w:t>
      </w:r>
      <w:r w:rsidR="00235B02">
        <w:rPr>
          <w:color w:val="FF0000"/>
        </w:rPr>
        <w:t>-</w:t>
      </w:r>
      <w:r>
        <w:rPr>
          <w:color w:val="FF0000"/>
        </w:rPr>
        <w:t xml:space="preserve">2013 v jednotlivých letech jeho platnosti. </w:t>
      </w:r>
      <w:r w:rsidR="00317B39">
        <w:rPr>
          <w:color w:val="FF0000"/>
        </w:rPr>
        <w:t xml:space="preserve">Monitoring Programu rozvoje se skládá ze dvou hlavních částí. První částí je slovní hodnocení naplňování </w:t>
      </w:r>
      <w:r>
        <w:rPr>
          <w:color w:val="FF0000"/>
        </w:rPr>
        <w:t>Programu, ve druhé části je hodnocení z hlediska finančních prostředků</w:t>
      </w:r>
      <w:r w:rsidR="000F1219">
        <w:rPr>
          <w:color w:val="FF0000"/>
        </w:rPr>
        <w:t>.</w:t>
      </w:r>
    </w:p>
    <w:p w:rsidR="000F1219" w:rsidRDefault="000F1219" w:rsidP="00942206">
      <w:pPr>
        <w:pStyle w:val="Odstavecseseznamem"/>
        <w:jc w:val="both"/>
        <w:rPr>
          <w:color w:val="FF0000"/>
        </w:rPr>
      </w:pPr>
    </w:p>
    <w:p w:rsidR="00D9448D" w:rsidRDefault="00D9448D" w:rsidP="00942206">
      <w:pPr>
        <w:pStyle w:val="Odstavecseseznamem"/>
        <w:jc w:val="both"/>
        <w:rPr>
          <w:color w:val="FF0000"/>
        </w:rPr>
      </w:pPr>
      <w:r>
        <w:rPr>
          <w:color w:val="FF0000"/>
        </w:rPr>
        <w:t>V rámci s</w:t>
      </w:r>
      <w:r w:rsidR="00441516">
        <w:rPr>
          <w:color w:val="FF0000"/>
        </w:rPr>
        <w:t>lovní</w:t>
      </w:r>
      <w:r>
        <w:rPr>
          <w:color w:val="FF0000"/>
        </w:rPr>
        <w:t>ho</w:t>
      </w:r>
      <w:r w:rsidR="00441516">
        <w:rPr>
          <w:color w:val="FF0000"/>
        </w:rPr>
        <w:t xml:space="preserve"> hodnocení </w:t>
      </w:r>
      <w:r>
        <w:rPr>
          <w:color w:val="FF0000"/>
        </w:rPr>
        <w:t xml:space="preserve">se posuzuje naplňování </w:t>
      </w:r>
      <w:r w:rsidR="00317B39">
        <w:rPr>
          <w:color w:val="FF0000"/>
        </w:rPr>
        <w:t>jednotlivých cílů</w:t>
      </w:r>
      <w:r>
        <w:rPr>
          <w:color w:val="FF0000"/>
        </w:rPr>
        <w:t xml:space="preserve"> (5 strategických cílů)</w:t>
      </w:r>
      <w:r w:rsidR="00441516">
        <w:rPr>
          <w:color w:val="FF0000"/>
        </w:rPr>
        <w:t>,</w:t>
      </w:r>
      <w:r w:rsidR="00317B39">
        <w:rPr>
          <w:color w:val="FF0000"/>
        </w:rPr>
        <w:t xml:space="preserve"> opatření</w:t>
      </w:r>
      <w:r>
        <w:rPr>
          <w:color w:val="FF0000"/>
        </w:rPr>
        <w:t xml:space="preserve"> (27 opatření)</w:t>
      </w:r>
      <w:r w:rsidR="00317B39">
        <w:rPr>
          <w:color w:val="FF0000"/>
        </w:rPr>
        <w:t xml:space="preserve"> a aktivit</w:t>
      </w:r>
      <w:r>
        <w:rPr>
          <w:color w:val="FF0000"/>
        </w:rPr>
        <w:t>.  D</w:t>
      </w:r>
      <w:r w:rsidR="00317B39">
        <w:rPr>
          <w:color w:val="FF0000"/>
        </w:rPr>
        <w:t>ále je posuzován počet vydaných souladů s Programem rozvoje kraje a soustava indikátorů</w:t>
      </w:r>
      <w:r w:rsidR="00441516">
        <w:rPr>
          <w:color w:val="FF0000"/>
        </w:rPr>
        <w:t xml:space="preserve"> (přibližně 200 indikátorů)</w:t>
      </w:r>
      <w:r w:rsidR="00317B39">
        <w:rPr>
          <w:color w:val="FF0000"/>
        </w:rPr>
        <w:t>.</w:t>
      </w:r>
    </w:p>
    <w:p w:rsidR="00235B02" w:rsidRDefault="00235B02" w:rsidP="00942206">
      <w:pPr>
        <w:pStyle w:val="Odstavecseseznamem"/>
        <w:jc w:val="both"/>
        <w:rPr>
          <w:color w:val="FF0000"/>
        </w:rPr>
      </w:pPr>
    </w:p>
    <w:p w:rsidR="009C1906" w:rsidRPr="00235B02" w:rsidRDefault="00D9448D" w:rsidP="00942206">
      <w:pPr>
        <w:pStyle w:val="Odstavecseseznamem"/>
        <w:jc w:val="both"/>
        <w:rPr>
          <w:color w:val="FF0000"/>
        </w:rPr>
      </w:pPr>
      <w:r>
        <w:rPr>
          <w:color w:val="FF0000"/>
        </w:rPr>
        <w:t xml:space="preserve">V rámci finančního hodnocení je </w:t>
      </w:r>
      <w:r w:rsidR="000F1219">
        <w:rPr>
          <w:color w:val="FF0000"/>
        </w:rPr>
        <w:t xml:space="preserve">sledován </w:t>
      </w:r>
      <w:r>
        <w:rPr>
          <w:color w:val="FF0000"/>
        </w:rPr>
        <w:t xml:space="preserve">objem </w:t>
      </w:r>
      <w:r w:rsidR="00317B39">
        <w:rPr>
          <w:color w:val="FF0000"/>
        </w:rPr>
        <w:t>finanční</w:t>
      </w:r>
      <w:r>
        <w:rPr>
          <w:color w:val="FF0000"/>
        </w:rPr>
        <w:t>ch</w:t>
      </w:r>
      <w:r w:rsidR="00317B39">
        <w:rPr>
          <w:color w:val="FF0000"/>
        </w:rPr>
        <w:t xml:space="preserve"> </w:t>
      </w:r>
      <w:r w:rsidR="00317B39" w:rsidRPr="00A27341">
        <w:rPr>
          <w:color w:val="FF0000"/>
        </w:rPr>
        <w:t>prostředk</w:t>
      </w:r>
      <w:r>
        <w:rPr>
          <w:color w:val="FF0000"/>
        </w:rPr>
        <w:t>ů</w:t>
      </w:r>
      <w:r w:rsidR="00317B39" w:rsidRPr="00A27341">
        <w:rPr>
          <w:color w:val="FF0000"/>
        </w:rPr>
        <w:t xml:space="preserve"> </w:t>
      </w:r>
      <w:r>
        <w:rPr>
          <w:color w:val="FF0000"/>
        </w:rPr>
        <w:t xml:space="preserve">přijatých </w:t>
      </w:r>
      <w:r w:rsidR="00235B02">
        <w:rPr>
          <w:color w:val="FF0000"/>
        </w:rPr>
        <w:t xml:space="preserve">všemi </w:t>
      </w:r>
      <w:r>
        <w:rPr>
          <w:color w:val="FF0000"/>
        </w:rPr>
        <w:t xml:space="preserve">subjekty v území </w:t>
      </w:r>
      <w:r w:rsidR="00317B39" w:rsidRPr="00A27341">
        <w:rPr>
          <w:color w:val="FF0000"/>
        </w:rPr>
        <w:t>Libereckého kraje</w:t>
      </w:r>
      <w:r w:rsidR="00441516">
        <w:rPr>
          <w:color w:val="FF0000"/>
        </w:rPr>
        <w:t>, a to jak z krajských, tak z národních a evropských</w:t>
      </w:r>
      <w:r w:rsidR="000F1219">
        <w:rPr>
          <w:color w:val="FF0000"/>
        </w:rPr>
        <w:t xml:space="preserve"> finančních zdrojů</w:t>
      </w:r>
      <w:r w:rsidR="00441516">
        <w:rPr>
          <w:color w:val="FF0000"/>
        </w:rPr>
        <w:t>.</w:t>
      </w:r>
      <w:r w:rsidR="00235B02">
        <w:rPr>
          <w:color w:val="FF0000"/>
        </w:rPr>
        <w:t xml:space="preserve"> </w:t>
      </w:r>
      <w:r w:rsidR="009C1906" w:rsidRPr="00235B02">
        <w:rPr>
          <w:color w:val="FF0000"/>
        </w:rPr>
        <w:t>Materiál tedy neslouží pouze k hodnocení prostředků vynakládaných z rozpočtu kraje</w:t>
      </w:r>
      <w:r w:rsidR="00441516" w:rsidRPr="00235B02">
        <w:rPr>
          <w:color w:val="FF0000"/>
        </w:rPr>
        <w:t xml:space="preserve">. </w:t>
      </w:r>
    </w:p>
    <w:p w:rsidR="00235B02" w:rsidRDefault="00235B02" w:rsidP="00942206">
      <w:pPr>
        <w:pStyle w:val="Odstavecseseznamem"/>
        <w:jc w:val="both"/>
      </w:pPr>
    </w:p>
    <w:p w:rsidR="005F63F3" w:rsidRDefault="005F63F3" w:rsidP="00942206">
      <w:pPr>
        <w:pStyle w:val="Odstavecseseznamem"/>
        <w:numPr>
          <w:ilvl w:val="0"/>
          <w:numId w:val="4"/>
        </w:numPr>
        <w:contextualSpacing/>
        <w:jc w:val="both"/>
      </w:pPr>
      <w:r>
        <w:t>Chybí zásadní in</w:t>
      </w:r>
      <w:r w:rsidR="00A27341">
        <w:t>formace.</w:t>
      </w:r>
      <w:r>
        <w:t xml:space="preserve"> </w:t>
      </w:r>
      <w:r w:rsidR="00A27341">
        <w:t>P</w:t>
      </w:r>
      <w:r>
        <w:t>rostředky jsou rozdělené pouze na pět nebo šest oblastí. Z materiálu nejde absolutně vyčíst, jestli se peníze z rozpočtu Libereckého kraje vynakládají v souladu se stanovenými prioritami.</w:t>
      </w:r>
      <w:r w:rsidR="00A27341">
        <w:t xml:space="preserve"> Pan zastupitel</w:t>
      </w:r>
      <w:r>
        <w:t xml:space="preserve"> považuje takovýto materiál za klíčový, když jsme si stanovili nějaký program rozvoje Libereckého kraje a ten zhruba 25 programových cílů jak se máme rozvíjet, tak bychom měli sledovat, jak na ně vynakládáme peníze. To by měl přinést tento materiál a p. Korytář tam takovéto informace nenašel.</w:t>
      </w:r>
    </w:p>
    <w:p w:rsidR="00A27341" w:rsidRDefault="00A27341" w:rsidP="00942206">
      <w:pPr>
        <w:pStyle w:val="Odstavecseseznamem"/>
        <w:contextualSpacing/>
        <w:jc w:val="both"/>
      </w:pPr>
    </w:p>
    <w:p w:rsidR="00942206" w:rsidRPr="00942206" w:rsidRDefault="00942206" w:rsidP="00942206">
      <w:pPr>
        <w:pStyle w:val="Odstavecseseznamem"/>
        <w:contextualSpacing/>
        <w:jc w:val="both"/>
        <w:rPr>
          <w:color w:val="FF0000"/>
        </w:rPr>
      </w:pPr>
      <w:r w:rsidRPr="00942206">
        <w:rPr>
          <w:color w:val="FF0000"/>
        </w:rPr>
        <w:t>V současnosti sledujeme pokrok a naplňování programu rozvoje na úrovni opatření v rámci slovního hodnocení, které je součástí materiálu předkládaného Zastupitelstvu Libereckého kraje. Slovní hodnocení je zpracováváno až do úrovně jednotlivých aktivit vedoucích k naplňování cílů opatření.</w:t>
      </w:r>
    </w:p>
    <w:p w:rsidR="00942206" w:rsidRDefault="00942206" w:rsidP="00942206">
      <w:pPr>
        <w:pStyle w:val="Odstavecseseznamem"/>
        <w:contextualSpacing/>
        <w:jc w:val="both"/>
      </w:pPr>
    </w:p>
    <w:p w:rsidR="0036144C" w:rsidRDefault="000056B4" w:rsidP="00942206">
      <w:pPr>
        <w:pStyle w:val="Odstavecseseznamem"/>
        <w:contextualSpacing/>
        <w:jc w:val="both"/>
        <w:rPr>
          <w:color w:val="FF0000"/>
        </w:rPr>
      </w:pPr>
      <w:r w:rsidRPr="00340511">
        <w:rPr>
          <w:color w:val="FF0000"/>
        </w:rPr>
        <w:t>Finanční prostředky jsou hodnoceny dle 5 strategických cílů, stanovených v Programu</w:t>
      </w:r>
      <w:r w:rsidR="00BD3D7D">
        <w:rPr>
          <w:color w:val="FF0000"/>
        </w:rPr>
        <w:t xml:space="preserve"> rozvoje Libereckého kraje 2007</w:t>
      </w:r>
      <w:r w:rsidRPr="00340511">
        <w:rPr>
          <w:color w:val="FF0000"/>
        </w:rPr>
        <w:t>–201</w:t>
      </w:r>
      <w:r w:rsidR="00D9448D">
        <w:rPr>
          <w:color w:val="FF0000"/>
        </w:rPr>
        <w:t>3</w:t>
      </w:r>
      <w:r w:rsidRPr="00340511">
        <w:rPr>
          <w:color w:val="FF0000"/>
        </w:rPr>
        <w:t xml:space="preserve">. Tyto cíle jsou dále rozpracovány do </w:t>
      </w:r>
      <w:r w:rsidR="00D9448D">
        <w:rPr>
          <w:color w:val="FF0000"/>
        </w:rPr>
        <w:t>27</w:t>
      </w:r>
      <w:r w:rsidRPr="00340511">
        <w:rPr>
          <w:color w:val="FF0000"/>
        </w:rPr>
        <w:t xml:space="preserve"> opatření a </w:t>
      </w:r>
      <w:r w:rsidR="00D9448D">
        <w:rPr>
          <w:color w:val="FF0000"/>
        </w:rPr>
        <w:t xml:space="preserve">aktivit. </w:t>
      </w:r>
      <w:r w:rsidRPr="00340511">
        <w:rPr>
          <w:color w:val="FF0000"/>
        </w:rPr>
        <w:t>Při tvorbě monitoringu programu jsou přiřazovány finanční prostředky</w:t>
      </w:r>
      <w:r w:rsidR="0036144C">
        <w:rPr>
          <w:color w:val="FF0000"/>
        </w:rPr>
        <w:t xml:space="preserve"> z krajského a státního rozpočtu</w:t>
      </w:r>
      <w:r w:rsidRPr="00340511">
        <w:rPr>
          <w:color w:val="FF0000"/>
        </w:rPr>
        <w:t xml:space="preserve"> na úrovni jednotlivých opatření a následně jsou zobecněny na úroveň jednotlivých cílů. Důvodem tohoto zobecnění je přehlednost</w:t>
      </w:r>
      <w:r w:rsidR="00340511" w:rsidRPr="00340511">
        <w:rPr>
          <w:color w:val="FF0000"/>
        </w:rPr>
        <w:t xml:space="preserve"> </w:t>
      </w:r>
      <w:r w:rsidR="0036144C">
        <w:rPr>
          <w:color w:val="FF0000"/>
        </w:rPr>
        <w:t>a větší přesnost poskytovaných informací, neboť některé prostředky lze přiřadit k více opatřením najedn</w:t>
      </w:r>
      <w:r w:rsidR="00B82034">
        <w:rPr>
          <w:color w:val="FF0000"/>
        </w:rPr>
        <w:t xml:space="preserve">ou. Hodnocení finančních prostředků z dotací evropské úrovně je složitější, protože hodnocení probíhá dle struktury </w:t>
      </w:r>
      <w:r w:rsidR="00B82034">
        <w:rPr>
          <w:color w:val="FF0000"/>
        </w:rPr>
        <w:lastRenderedPageBreak/>
        <w:t>jednotlivých operačních programů, které se nepodobají struktuře programu rozvoje. Proto se i zde pohybujeme na úrovni strategických cílů.</w:t>
      </w:r>
    </w:p>
    <w:p w:rsidR="0036144C" w:rsidRDefault="0036144C" w:rsidP="00942206">
      <w:pPr>
        <w:pStyle w:val="Odstavecseseznamem"/>
        <w:contextualSpacing/>
        <w:jc w:val="both"/>
        <w:rPr>
          <w:color w:val="FF0000"/>
        </w:rPr>
      </w:pPr>
    </w:p>
    <w:p w:rsidR="00340511" w:rsidRPr="00340511" w:rsidRDefault="00B82034" w:rsidP="00942206">
      <w:pPr>
        <w:pStyle w:val="Odstavecseseznamem"/>
        <w:contextualSpacing/>
        <w:jc w:val="both"/>
        <w:rPr>
          <w:b/>
          <w:color w:val="FF0000"/>
        </w:rPr>
      </w:pPr>
      <w:r>
        <w:rPr>
          <w:b/>
          <w:color w:val="FF0000"/>
        </w:rPr>
        <w:t xml:space="preserve">Vzhledem k tomu, že jsme si vědomi, že hodnocení naplňování programu rozvoje na úrovni strategických cílů nevyhovuje </w:t>
      </w:r>
      <w:r w:rsidR="00BD3D7D">
        <w:rPr>
          <w:b/>
          <w:color w:val="FF0000"/>
        </w:rPr>
        <w:t xml:space="preserve">vzhledem ke své obecnosti </w:t>
      </w:r>
      <w:r>
        <w:rPr>
          <w:b/>
          <w:color w:val="FF0000"/>
        </w:rPr>
        <w:t xml:space="preserve">ke sledování vynakládání finančních prostředků na priority kraje, </w:t>
      </w:r>
      <w:r w:rsidR="00340511" w:rsidRPr="00340511">
        <w:rPr>
          <w:b/>
          <w:color w:val="FF0000"/>
        </w:rPr>
        <w:t xml:space="preserve">bude odbor regionálního rozvoje </w:t>
      </w:r>
      <w:r>
        <w:rPr>
          <w:b/>
          <w:color w:val="FF0000"/>
        </w:rPr>
        <w:t>n</w:t>
      </w:r>
      <w:r w:rsidRPr="00340511">
        <w:rPr>
          <w:b/>
          <w:color w:val="FF0000"/>
        </w:rPr>
        <w:t xml:space="preserve">a </w:t>
      </w:r>
      <w:r>
        <w:rPr>
          <w:b/>
          <w:color w:val="FF0000"/>
        </w:rPr>
        <w:t>z</w:t>
      </w:r>
      <w:r w:rsidRPr="00340511">
        <w:rPr>
          <w:b/>
          <w:color w:val="FF0000"/>
        </w:rPr>
        <w:t xml:space="preserve">ákladě podnětu pana zastupitele </w:t>
      </w:r>
      <w:r w:rsidR="00340511" w:rsidRPr="00340511">
        <w:rPr>
          <w:b/>
          <w:color w:val="FF0000"/>
        </w:rPr>
        <w:t xml:space="preserve">v následujících </w:t>
      </w:r>
      <w:r w:rsidR="00942206">
        <w:rPr>
          <w:b/>
          <w:color w:val="FF0000"/>
        </w:rPr>
        <w:t>letech nejen</w:t>
      </w:r>
      <w:r w:rsidR="00340511" w:rsidRPr="00340511">
        <w:rPr>
          <w:b/>
          <w:color w:val="FF0000"/>
        </w:rPr>
        <w:t xml:space="preserve"> sledovat využití prostředků až </w:t>
      </w:r>
      <w:r w:rsidR="00942206">
        <w:rPr>
          <w:b/>
          <w:color w:val="FF0000"/>
        </w:rPr>
        <w:t>do úrovně jednotlivých opatření, ale zároveň bude toto vyhodnocení zařazeno do materiálu pro jednání členů Rady Libereckého kraje a Zastupitelstva Libereckého kraje.</w:t>
      </w:r>
    </w:p>
    <w:p w:rsidR="00A27341" w:rsidRPr="00154ACF" w:rsidRDefault="00A27341" w:rsidP="00942206">
      <w:pPr>
        <w:pStyle w:val="Odstavecseseznamem"/>
        <w:contextualSpacing/>
        <w:jc w:val="both"/>
        <w:rPr>
          <w:color w:val="1F497D" w:themeColor="text2"/>
        </w:rPr>
      </w:pPr>
    </w:p>
    <w:p w:rsidR="005F63F3" w:rsidRDefault="005F63F3" w:rsidP="00942206">
      <w:pPr>
        <w:pStyle w:val="Odstavecseseznamem"/>
        <w:numPr>
          <w:ilvl w:val="0"/>
          <w:numId w:val="4"/>
        </w:numPr>
        <w:contextualSpacing/>
        <w:jc w:val="both"/>
      </w:pPr>
      <w:r>
        <w:t>Kromě výše uvedeného je v materiálu např. napsáno, že z rozpočtu Libereckého kraje jsme vynaložili 76% prostředků na kvalitní a zdravé lidské zdroje, což se panu Korytářovi moc nezdá, pravděpodobně tam budou zahrnuty všechny mzdy krajského úřadu</w:t>
      </w:r>
      <w:r w:rsidR="00A27341">
        <w:t>. Dle grafu, pokud se odečtou finance, které jdou do školských zařízení tak tam pořád je uvedeno, že jsme z rozpočtu kraje vynaložili 35% na kvalitní a zdravé lidské zdroje. Tam jsou asi všechny mzdové náklady nejen pracovníků úřadu. V grafu je 14% jako nezařazené a na tři priority (Cíl A, D, E) je vynakládáno pouze 2% z rozpočtu.</w:t>
      </w:r>
    </w:p>
    <w:p w:rsidR="00A27341" w:rsidRDefault="00A27341" w:rsidP="00942206">
      <w:pPr>
        <w:pStyle w:val="Odstavecseseznamem"/>
        <w:contextualSpacing/>
        <w:jc w:val="both"/>
      </w:pPr>
    </w:p>
    <w:p w:rsidR="00A27341" w:rsidRPr="00A27341" w:rsidRDefault="00A27341" w:rsidP="00942206">
      <w:pPr>
        <w:pStyle w:val="Odstavecseseznamem"/>
        <w:contextualSpacing/>
        <w:jc w:val="both"/>
        <w:rPr>
          <w:color w:val="FF0000"/>
        </w:rPr>
      </w:pPr>
      <w:r w:rsidRPr="00A27341">
        <w:rPr>
          <w:color w:val="FF0000"/>
        </w:rPr>
        <w:t xml:space="preserve">Strategický cíl B – Kvalitní a zdravé lidské zdroje je dále rozpracován do 7 dílčích opatření. Tato opatření se týkají následujících oblastí – vzdělávání, zaměstnanost, zdravotnictví, sociální služby, sport, kultura a krizové řízení. Mzdové prostředky krajského úřadu </w:t>
      </w:r>
      <w:r w:rsidR="00BA5F78">
        <w:rPr>
          <w:color w:val="FF0000"/>
        </w:rPr>
        <w:t>nejsou zahrnuty ve strategickém cíli B a jsou součástí výdajů ve skupině „nezařazené“</w:t>
      </w:r>
      <w:r w:rsidRPr="00A27341">
        <w:rPr>
          <w:color w:val="FF0000"/>
        </w:rPr>
        <w:t>. Vysvětlení k tomu, co graf znázorňuje je uvedeno přímo pod zmí</w:t>
      </w:r>
      <w:r w:rsidR="00942206">
        <w:rPr>
          <w:color w:val="FF0000"/>
        </w:rPr>
        <w:t>něným grafem v rámci materiálu předkládaného zastup</w:t>
      </w:r>
      <w:r w:rsidR="00BD3D7D">
        <w:rPr>
          <w:color w:val="FF0000"/>
        </w:rPr>
        <w:t>itelstvu kraje dne 16. 12. 2014 (viz následující text).</w:t>
      </w:r>
    </w:p>
    <w:p w:rsidR="00A27341" w:rsidRDefault="00A27341" w:rsidP="00942206">
      <w:pPr>
        <w:pStyle w:val="Odstavecseseznamem"/>
        <w:contextualSpacing/>
        <w:jc w:val="both"/>
      </w:pPr>
    </w:p>
    <w:tbl>
      <w:tblPr>
        <w:tblW w:w="0" w:type="auto"/>
        <w:tblInd w:w="-3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A27341" w:rsidRPr="00446365" w:rsidTr="00721C6E">
        <w:tc>
          <w:tcPr>
            <w:tcW w:w="4606" w:type="dxa"/>
            <w:vMerge w:val="restart"/>
            <w:shd w:val="clear" w:color="auto" w:fill="auto"/>
          </w:tcPr>
          <w:p w:rsidR="00A27341" w:rsidRPr="00446365" w:rsidRDefault="00A27341" w:rsidP="00942206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311659" wp14:editId="0E333D76">
                  <wp:extent cx="2769870" cy="4257675"/>
                  <wp:effectExtent l="0" t="0" r="0" b="0"/>
                  <wp:docPr id="3" name="Graf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A27341" w:rsidRPr="00446365" w:rsidRDefault="00A27341" w:rsidP="00942206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5EC98559" wp14:editId="740D8AFC">
                  <wp:extent cx="2769870" cy="1362075"/>
                  <wp:effectExtent l="0" t="0" r="0" b="0"/>
                  <wp:docPr id="2" name="Graf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A27341" w:rsidRPr="00446365" w:rsidTr="00721C6E">
        <w:tc>
          <w:tcPr>
            <w:tcW w:w="4606" w:type="dxa"/>
            <w:vMerge/>
            <w:shd w:val="clear" w:color="auto" w:fill="auto"/>
          </w:tcPr>
          <w:p w:rsidR="00A27341" w:rsidRPr="00446365" w:rsidRDefault="00A27341" w:rsidP="00942206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606" w:type="dxa"/>
            <w:shd w:val="clear" w:color="auto" w:fill="auto"/>
          </w:tcPr>
          <w:p w:rsidR="00A27341" w:rsidRPr="00446365" w:rsidRDefault="00A27341" w:rsidP="00942206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99D5B7" wp14:editId="16A8A42D">
                  <wp:extent cx="2769870" cy="2901950"/>
                  <wp:effectExtent l="0" t="0" r="0" b="0"/>
                  <wp:docPr id="1" name="Graf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A27341" w:rsidRDefault="00A27341" w:rsidP="00942206">
      <w:pPr>
        <w:pStyle w:val="Odstavecseseznamem"/>
        <w:contextualSpacing/>
        <w:jc w:val="both"/>
      </w:pPr>
    </w:p>
    <w:p w:rsidR="00A27341" w:rsidRDefault="00A27341" w:rsidP="00942206">
      <w:pPr>
        <w:pStyle w:val="Odstavecseseznamem"/>
        <w:contextualSpacing/>
        <w:jc w:val="both"/>
      </w:pPr>
    </w:p>
    <w:p w:rsidR="00A27341" w:rsidRPr="00340511" w:rsidRDefault="00340511" w:rsidP="00942206">
      <w:pPr>
        <w:pStyle w:val="Odstavecseseznamem"/>
        <w:contextualSpacing/>
        <w:jc w:val="both"/>
        <w:rPr>
          <w:i/>
          <w:color w:val="FF0000"/>
        </w:rPr>
      </w:pPr>
      <w:r w:rsidRPr="00340511">
        <w:rPr>
          <w:i/>
          <w:color w:val="FF0000"/>
        </w:rPr>
        <w:t>„</w:t>
      </w:r>
      <w:r w:rsidR="00A27341" w:rsidRPr="00340511">
        <w:rPr>
          <w:i/>
          <w:color w:val="FF0000"/>
        </w:rPr>
        <w:t>Přes polovinu výdajů z krajského rozpočtu tvořily účelové transfery do resortu školství přijaté</w:t>
      </w:r>
    </w:p>
    <w:p w:rsidR="00A27341" w:rsidRPr="00340511" w:rsidRDefault="00A27341" w:rsidP="00942206">
      <w:pPr>
        <w:pStyle w:val="Odstavecseseznamem"/>
        <w:contextualSpacing/>
        <w:jc w:val="both"/>
        <w:rPr>
          <w:i/>
          <w:color w:val="FF0000"/>
        </w:rPr>
      </w:pPr>
      <w:r w:rsidRPr="00340511">
        <w:rPr>
          <w:i/>
          <w:color w:val="FF0000"/>
        </w:rPr>
        <w:t>ze státního rozpočtu. Tyto výdaje zároveň tvoří 84% všech přijatých transferů ze státního</w:t>
      </w:r>
      <w:r w:rsidR="00942206">
        <w:rPr>
          <w:i/>
          <w:color w:val="FF0000"/>
        </w:rPr>
        <w:t xml:space="preserve"> </w:t>
      </w:r>
      <w:r w:rsidRPr="00340511">
        <w:rPr>
          <w:i/>
          <w:color w:val="FF0000"/>
        </w:rPr>
        <w:t>rozpočtu, proto se pokusíme tyto transfery oddělit. Pokud ze sledování vyjmeme tyto</w:t>
      </w:r>
      <w:r w:rsidR="00942206">
        <w:rPr>
          <w:i/>
          <w:color w:val="FF0000"/>
        </w:rPr>
        <w:t xml:space="preserve"> </w:t>
      </w:r>
      <w:r w:rsidRPr="00340511">
        <w:rPr>
          <w:i/>
          <w:color w:val="FF0000"/>
        </w:rPr>
        <w:t>transfery do školství a sledujeme zbylé finance ve výši přibližně 2,8 mld. Kč</w:t>
      </w:r>
      <w:r w:rsidR="00BD3D7D">
        <w:rPr>
          <w:i/>
          <w:color w:val="FF0000"/>
        </w:rPr>
        <w:t>,</w:t>
      </w:r>
      <w:r w:rsidRPr="00340511">
        <w:rPr>
          <w:i/>
          <w:color w:val="FF0000"/>
        </w:rPr>
        <w:t xml:space="preserve"> je nejvíce</w:t>
      </w:r>
      <w:r w:rsidR="00942206">
        <w:rPr>
          <w:i/>
          <w:color w:val="FF0000"/>
        </w:rPr>
        <w:t xml:space="preserve"> </w:t>
      </w:r>
      <w:r w:rsidRPr="00340511">
        <w:rPr>
          <w:i/>
          <w:color w:val="FF0000"/>
        </w:rPr>
        <w:t xml:space="preserve">finančních prostředků vydáváno na Cíl C, který je převážně zaměřen na dopravu. Do </w:t>
      </w:r>
      <w:proofErr w:type="gramStart"/>
      <w:r w:rsidRPr="00340511">
        <w:rPr>
          <w:i/>
          <w:color w:val="FF0000"/>
        </w:rPr>
        <w:t>cíle B</w:t>
      </w:r>
      <w:r w:rsidR="00942206">
        <w:rPr>
          <w:i/>
          <w:color w:val="FF0000"/>
        </w:rPr>
        <w:t xml:space="preserve"> </w:t>
      </w:r>
      <w:r w:rsidRPr="00340511">
        <w:rPr>
          <w:i/>
          <w:color w:val="FF0000"/>
        </w:rPr>
        <w:t xml:space="preserve"> –Kvalitní</w:t>
      </w:r>
      <w:proofErr w:type="gramEnd"/>
      <w:r w:rsidRPr="00340511">
        <w:rPr>
          <w:i/>
          <w:color w:val="FF0000"/>
        </w:rPr>
        <w:t xml:space="preserve"> a lidské zdroje, zaměřeného na školství, zaměstnanost, sociální služby, </w:t>
      </w:r>
      <w:proofErr w:type="spellStart"/>
      <w:r w:rsidRPr="00340511">
        <w:rPr>
          <w:i/>
          <w:color w:val="FF0000"/>
        </w:rPr>
        <w:t>zdravotní</w:t>
      </w:r>
      <w:r w:rsidR="0064263D">
        <w:rPr>
          <w:i/>
          <w:color w:val="FF0000"/>
        </w:rPr>
        <w:t>péči</w:t>
      </w:r>
      <w:proofErr w:type="spellEnd"/>
      <w:r w:rsidR="0064263D">
        <w:rPr>
          <w:i/>
          <w:color w:val="FF0000"/>
        </w:rPr>
        <w:t xml:space="preserve">, krizové řízení, kulturu a sport </w:t>
      </w:r>
      <w:r w:rsidRPr="00340511">
        <w:rPr>
          <w:i/>
          <w:color w:val="FF0000"/>
        </w:rPr>
        <w:t>je zaměřeno kolem 35 % výdajů rozpočtu. V případě prostředků jinde nezařazených se jedná o výdaje v rámci finančních operací, výdaje</w:t>
      </w:r>
      <w:r w:rsidR="00BD3D7D">
        <w:rPr>
          <w:i/>
          <w:color w:val="FF0000"/>
        </w:rPr>
        <w:t xml:space="preserve"> </w:t>
      </w:r>
      <w:r w:rsidRPr="00340511">
        <w:rPr>
          <w:i/>
          <w:color w:val="FF0000"/>
        </w:rPr>
        <w:t>na fungování krajského úřadu a orgánů samosprávy a zajištění voleb.</w:t>
      </w:r>
      <w:r w:rsidR="00340511" w:rsidRPr="00340511">
        <w:rPr>
          <w:i/>
          <w:color w:val="FF0000"/>
        </w:rPr>
        <w:t>“</w:t>
      </w:r>
    </w:p>
    <w:p w:rsidR="00A27341" w:rsidRDefault="00A27341" w:rsidP="00942206">
      <w:pPr>
        <w:pStyle w:val="Odstavecseseznamem"/>
        <w:contextualSpacing/>
        <w:jc w:val="both"/>
      </w:pPr>
    </w:p>
    <w:p w:rsidR="00340511" w:rsidRDefault="00340511" w:rsidP="00942206">
      <w:pPr>
        <w:pStyle w:val="Odstavecseseznamem"/>
        <w:contextualSpacing/>
        <w:jc w:val="both"/>
      </w:pPr>
    </w:p>
    <w:p w:rsidR="005F63F3" w:rsidRDefault="000056B4" w:rsidP="00942206">
      <w:pPr>
        <w:pStyle w:val="Odstavecseseznamem"/>
        <w:numPr>
          <w:ilvl w:val="0"/>
          <w:numId w:val="4"/>
        </w:numPr>
        <w:contextualSpacing/>
        <w:jc w:val="both"/>
      </w:pPr>
      <w:r>
        <w:t xml:space="preserve">Pan zastupitel </w:t>
      </w:r>
      <w:r w:rsidR="005F63F3">
        <w:t>by uvítal</w:t>
      </w:r>
      <w:r>
        <w:t>,</w:t>
      </w:r>
      <w:r w:rsidR="005F63F3">
        <w:t xml:space="preserve"> pokud by sledování bylo nejen na úrovni šesti cílů ale na úrovni 25 podcílů. Včetně uvedení metodiky, jakým způsobem jsou přiřazování prostředky k jednotlivým cílů</w:t>
      </w:r>
      <w:r>
        <w:t>m.</w:t>
      </w:r>
    </w:p>
    <w:p w:rsidR="000056B4" w:rsidRDefault="000056B4" w:rsidP="00942206">
      <w:pPr>
        <w:pStyle w:val="Odstavecseseznamem"/>
        <w:contextualSpacing/>
        <w:jc w:val="both"/>
      </w:pPr>
    </w:p>
    <w:p w:rsidR="000056B4" w:rsidRDefault="00BA5F78" w:rsidP="00942206">
      <w:pPr>
        <w:pStyle w:val="Odstavecseseznamem"/>
        <w:contextualSpacing/>
        <w:jc w:val="both"/>
        <w:rPr>
          <w:color w:val="FF0000"/>
        </w:rPr>
      </w:pPr>
      <w:r>
        <w:rPr>
          <w:color w:val="FF0000"/>
        </w:rPr>
        <w:t>Na začátku každé kapitoly každoročně předkládaného monitoringu programu rozvoje kraje</w:t>
      </w:r>
      <w:r w:rsidR="00BA5A81">
        <w:rPr>
          <w:color w:val="FF0000"/>
        </w:rPr>
        <w:t xml:space="preserve"> </w:t>
      </w:r>
      <w:r w:rsidR="000056B4" w:rsidRPr="000056B4">
        <w:rPr>
          <w:color w:val="FF0000"/>
        </w:rPr>
        <w:t xml:space="preserve">je uvedena metodika, která říká, z jakých dat byly jednotlivé informace pořizovány a jakým způsobem probíhalo přiřazování k jednotlivým cílům. V kapitole týkající se hodnocení krajských prostředků je uvedeno: </w:t>
      </w:r>
    </w:p>
    <w:p w:rsidR="00340511" w:rsidRPr="000056B4" w:rsidRDefault="00340511" w:rsidP="00942206">
      <w:pPr>
        <w:pStyle w:val="Odstavecseseznamem"/>
        <w:contextualSpacing/>
        <w:jc w:val="both"/>
        <w:rPr>
          <w:color w:val="FF0000"/>
        </w:rPr>
      </w:pPr>
    </w:p>
    <w:p w:rsidR="000056B4" w:rsidRPr="00340511" w:rsidRDefault="000056B4" w:rsidP="00942206">
      <w:pPr>
        <w:pStyle w:val="Odstavecseseznamem"/>
        <w:contextualSpacing/>
        <w:jc w:val="both"/>
        <w:rPr>
          <w:i/>
          <w:color w:val="FF0000"/>
        </w:rPr>
      </w:pPr>
      <w:r w:rsidRPr="00340511">
        <w:rPr>
          <w:i/>
          <w:color w:val="FF0000"/>
        </w:rPr>
        <w:t>„Při sledování finančních prostředků použitých k naplňování jednotlivých cílů bylo využito dat ze Závěrečného účtu kraje za rok 2013, schválen</w:t>
      </w:r>
      <w:r w:rsidR="00BD3D7D">
        <w:rPr>
          <w:i/>
          <w:color w:val="FF0000"/>
        </w:rPr>
        <w:t>ého</w:t>
      </w:r>
      <w:bookmarkStart w:id="0" w:name="_GoBack"/>
      <w:bookmarkEnd w:id="0"/>
      <w:r w:rsidRPr="00340511">
        <w:rPr>
          <w:i/>
          <w:color w:val="FF0000"/>
        </w:rPr>
        <w:t xml:space="preserve"> Zastupitelstvem Libereckého kraje usnesením č. 219/14/ZK. Výdaje z rozpočtu rozdělené do skupin dle paragrafů rozpočtové skladby byly přiřazovány ke strategickým cílům PR LK. Většina výdajů současně slouží k naplňování více strategických cílů, a proto byly přiřazovány k těm strategickým cílům, které svým charakterem naplňují nejvíce.“</w:t>
      </w:r>
    </w:p>
    <w:p w:rsidR="000056B4" w:rsidRPr="000056B4" w:rsidRDefault="000056B4" w:rsidP="00942206">
      <w:pPr>
        <w:pStyle w:val="Odstavecseseznamem"/>
        <w:contextualSpacing/>
        <w:jc w:val="both"/>
        <w:rPr>
          <w:color w:val="FF0000"/>
        </w:rPr>
      </w:pPr>
    </w:p>
    <w:p w:rsidR="000056B4" w:rsidRPr="00340511" w:rsidRDefault="000056B4" w:rsidP="00942206">
      <w:pPr>
        <w:pStyle w:val="Odstavecseseznamem"/>
        <w:contextualSpacing/>
        <w:jc w:val="both"/>
        <w:rPr>
          <w:b/>
        </w:rPr>
      </w:pPr>
      <w:r w:rsidRPr="00340511">
        <w:rPr>
          <w:b/>
          <w:color w:val="FF0000"/>
        </w:rPr>
        <w:t>Tabulka s výčtem všech paragrafů současně s jejich přiřazením k jednotlivým opatřením není v</w:t>
      </w:r>
      <w:r w:rsidR="00BA5F78">
        <w:rPr>
          <w:b/>
          <w:color w:val="FF0000"/>
        </w:rPr>
        <w:t> monitoringu,</w:t>
      </w:r>
      <w:r w:rsidR="00BA5F78" w:rsidRPr="00BA5F78">
        <w:rPr>
          <w:b/>
          <w:color w:val="FF0000"/>
        </w:rPr>
        <w:t xml:space="preserve"> </w:t>
      </w:r>
      <w:r w:rsidR="00BA5F78">
        <w:rPr>
          <w:b/>
          <w:color w:val="FF0000"/>
        </w:rPr>
        <w:t>pravidelně předkládaném</w:t>
      </w:r>
      <w:r w:rsidR="00BA5F78">
        <w:rPr>
          <w:b/>
          <w:color w:val="FF0000"/>
        </w:rPr>
        <w:t xml:space="preserve"> zastupitelstvu,</w:t>
      </w:r>
      <w:r w:rsidRPr="00340511">
        <w:rPr>
          <w:b/>
          <w:color w:val="FF0000"/>
        </w:rPr>
        <w:t xml:space="preserve"> uvedena. </w:t>
      </w:r>
      <w:r w:rsidR="00B82034">
        <w:rPr>
          <w:b/>
          <w:color w:val="FF0000"/>
        </w:rPr>
        <w:t xml:space="preserve">Z tohoto důvodu je uvedena v příloze č. 1 tohoto materiálu a </w:t>
      </w:r>
      <w:r w:rsidR="00BA5A81">
        <w:rPr>
          <w:b/>
          <w:color w:val="FF0000"/>
        </w:rPr>
        <w:t>v</w:t>
      </w:r>
      <w:r w:rsidRPr="00340511">
        <w:rPr>
          <w:b/>
          <w:color w:val="FF0000"/>
        </w:rPr>
        <w:t xml:space="preserve"> následujících </w:t>
      </w:r>
      <w:r w:rsidR="00942206">
        <w:rPr>
          <w:b/>
          <w:color w:val="FF0000"/>
        </w:rPr>
        <w:t>letech</w:t>
      </w:r>
      <w:r w:rsidRPr="00340511">
        <w:rPr>
          <w:b/>
          <w:color w:val="FF0000"/>
        </w:rPr>
        <w:t xml:space="preserve"> </w:t>
      </w:r>
      <w:r w:rsidR="00B82034">
        <w:rPr>
          <w:b/>
          <w:color w:val="FF0000"/>
        </w:rPr>
        <w:t>bude monitoring programu rozvoje</w:t>
      </w:r>
      <w:r w:rsidRPr="00340511">
        <w:rPr>
          <w:b/>
          <w:color w:val="FF0000"/>
        </w:rPr>
        <w:t xml:space="preserve"> o tuto tabulku doplněn.</w:t>
      </w:r>
    </w:p>
    <w:p w:rsidR="005F63F3" w:rsidRDefault="005F63F3" w:rsidP="00942206">
      <w:pPr>
        <w:spacing w:after="0" w:line="240" w:lineRule="auto"/>
        <w:jc w:val="both"/>
      </w:pPr>
    </w:p>
    <w:sectPr w:rsidR="005F63F3" w:rsidSect="005F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19E"/>
    <w:multiLevelType w:val="hybridMultilevel"/>
    <w:tmpl w:val="57FE0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31D14"/>
    <w:multiLevelType w:val="hybridMultilevel"/>
    <w:tmpl w:val="6B9CC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13C2F"/>
    <w:multiLevelType w:val="hybridMultilevel"/>
    <w:tmpl w:val="29A27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B"/>
    <w:rsid w:val="000056B4"/>
    <w:rsid w:val="000E6DEA"/>
    <w:rsid w:val="000F1219"/>
    <w:rsid w:val="00154ACF"/>
    <w:rsid w:val="00235B02"/>
    <w:rsid w:val="00317B39"/>
    <w:rsid w:val="00340511"/>
    <w:rsid w:val="0036144C"/>
    <w:rsid w:val="00441516"/>
    <w:rsid w:val="0057481F"/>
    <w:rsid w:val="005F63F3"/>
    <w:rsid w:val="005F65C9"/>
    <w:rsid w:val="0064263D"/>
    <w:rsid w:val="0083622A"/>
    <w:rsid w:val="008B58EB"/>
    <w:rsid w:val="008C71CF"/>
    <w:rsid w:val="00942206"/>
    <w:rsid w:val="009C1906"/>
    <w:rsid w:val="00A27341"/>
    <w:rsid w:val="00B82034"/>
    <w:rsid w:val="00BA5A81"/>
    <w:rsid w:val="00BA5F78"/>
    <w:rsid w:val="00BD3D7D"/>
    <w:rsid w:val="00CD3600"/>
    <w:rsid w:val="00D9448D"/>
    <w:rsid w:val="00EB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3F3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3F3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hmell\Documents\Dokumenty\Monitoring\2012\kraj\tabulky%20a%20grafy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hmell\Documents\Dokumenty\Monitoring\2013\Kraj\tabulky%20a%20grafy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hmell\Documents\Dokumenty\Monitoring\2013\Kraj\tabulky%20a%20grafy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Skutečné výdaje z rozpočtu LK v roce 2012 dle opatření PR LK</a:t>
            </a:r>
          </a:p>
        </c:rich>
      </c:tx>
      <c:layout>
        <c:manualLayout>
          <c:xMode val="edge"/>
          <c:yMode val="edge"/>
          <c:x val="0.15807596215421524"/>
          <c:y val="3.13199105145414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274982129853045"/>
          <c:y val="0.20581700445898976"/>
          <c:w val="0.63230452743948506"/>
          <c:h val="0.4116340089179795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3"/>
          <c:dPt>
            <c:idx val="0"/>
            <c:bubble3D val="0"/>
            <c:spPr>
              <a:solidFill>
                <a:srgbClr val="99CCFF"/>
              </a:solidFill>
              <a:ln w="25400">
                <a:noFill/>
              </a:ln>
            </c:spPr>
          </c:dPt>
          <c:dPt>
            <c:idx val="1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CC99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CCFFCC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FFFF99"/>
              </a:solidFill>
              <a:ln w="25400">
                <a:noFill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25400">
                <a:noFill/>
              </a:ln>
            </c:spPr>
          </c:dPt>
          <c:dLbls>
            <c:dLbl>
              <c:idx val="3"/>
              <c:layout>
                <c:manualLayout>
                  <c:x val="1.3518461116524022E-2"/>
                  <c:y val="-4.874824520336513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8283212818631028E-2"/>
                  <c:y val="-1.147163692085751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grafy!$A$5:$A$10</c:f>
              <c:strCache>
                <c:ptCount val="6"/>
                <c:pt idx="0">
                  <c:v>Dynamická a konkurenceschopná ekonomika</c:v>
                </c:pt>
                <c:pt idx="1">
                  <c:v>Kvalitní a zdravé lidské zdroje</c:v>
                </c:pt>
                <c:pt idx="2">
                  <c:v>Komplexní a kvalitní infrastruktura</c:v>
                </c:pt>
                <c:pt idx="3">
                  <c:v>Zdravé životní prostředí bez zátěží</c:v>
                </c:pt>
                <c:pt idx="4">
                  <c:v>Udržitelný rozvoj území a občanské společnosti</c:v>
                </c:pt>
                <c:pt idx="5">
                  <c:v>Nezařazené</c:v>
                </c:pt>
              </c:strCache>
            </c:strRef>
          </c:cat>
          <c:val>
            <c:numRef>
              <c:f>grafy!$B$5:$B$10</c:f>
              <c:numCache>
                <c:formatCode>#,##0.00</c:formatCode>
                <c:ptCount val="6"/>
                <c:pt idx="0">
                  <c:v>21315892.140000001</c:v>
                </c:pt>
                <c:pt idx="1">
                  <c:v>4858434825.1800013</c:v>
                </c:pt>
                <c:pt idx="2">
                  <c:v>1127197180.97</c:v>
                </c:pt>
                <c:pt idx="3">
                  <c:v>36647103.800000004</c:v>
                </c:pt>
                <c:pt idx="4">
                  <c:v>26532339.31000001</c:v>
                </c:pt>
                <c:pt idx="5" formatCode="General">
                  <c:v>341588247.66000015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271481271026689"/>
          <c:y val="0.67114234881713619"/>
          <c:w val="0.82818158039523393"/>
          <c:h val="0.277405626310134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45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Celkové výdaje z krajského rozpočtu LK 2013 v tis.</a:t>
            </a:r>
          </a:p>
        </c:rich>
      </c:tx>
      <c:layout>
        <c:manualLayout>
          <c:xMode val="edge"/>
          <c:yMode val="edge"/>
          <c:x val="0.13058455321950729"/>
          <c:y val="5.5944055944055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9347378877318501E-2"/>
          <c:y val="0.32867132867132864"/>
          <c:w val="0.82474503579063252"/>
          <c:h val="0.3356643356643358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grafy!$A$30</c:f>
              <c:strCache>
                <c:ptCount val="1"/>
                <c:pt idx="0">
                  <c:v>Výdaje kraje                                  </c:v>
                </c:pt>
              </c:strCache>
            </c:strRef>
          </c:tx>
          <c:spPr>
            <a:solidFill>
              <a:srgbClr val="CC99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grafy!$B$30</c:f>
              <c:numCache>
                <c:formatCode>0</c:formatCode>
                <c:ptCount val="1"/>
                <c:pt idx="0">
                  <c:v>2813834.2235900029</c:v>
                </c:pt>
              </c:numCache>
            </c:numRef>
          </c:val>
        </c:ser>
        <c:ser>
          <c:idx val="1"/>
          <c:order val="1"/>
          <c:tx>
            <c:strRef>
              <c:f>grafy!$A$31</c:f>
              <c:strCache>
                <c:ptCount val="1"/>
                <c:pt idx="0">
                  <c:v>Transfery ze státního rozpočtu    </c:v>
                </c:pt>
              </c:strCache>
            </c:strRef>
          </c:tx>
          <c:spPr>
            <a:solidFill>
              <a:srgbClr val="FF808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grafy!$B$31</c:f>
              <c:numCache>
                <c:formatCode>General</c:formatCode>
                <c:ptCount val="1"/>
                <c:pt idx="0">
                  <c:v>4087975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9711360"/>
        <c:axId val="109712896"/>
      </c:barChart>
      <c:catAx>
        <c:axId val="109711360"/>
        <c:scaling>
          <c:orientation val="minMax"/>
        </c:scaling>
        <c:delete val="1"/>
        <c:axPos val="l"/>
        <c:majorTickMark val="out"/>
        <c:minorTickMark val="none"/>
        <c:tickLblPos val="none"/>
        <c:crossAx val="109712896"/>
        <c:crosses val="autoZero"/>
        <c:auto val="1"/>
        <c:lblAlgn val="ctr"/>
        <c:lblOffset val="100"/>
        <c:noMultiLvlLbl val="0"/>
      </c:catAx>
      <c:valAx>
        <c:axId val="109712896"/>
        <c:scaling>
          <c:orientation val="minMax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10971136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7182130584192441E-2"/>
          <c:y val="0.86713286713286708"/>
          <c:w val="0.97251183808209563"/>
          <c:h val="0.1118881118881118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35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/>
              <a:t>Výdaje z rozpočtu LK 2013 dle opatření PR LK - bez vlivu účelových dotací resortu školství</a:t>
            </a:r>
          </a:p>
        </c:rich>
      </c:tx>
      <c:layout>
        <c:manualLayout>
          <c:xMode val="edge"/>
          <c:yMode val="edge"/>
          <c:x val="0.12371170098583047"/>
          <c:y val="3.60655737704918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3367776014067917"/>
          <c:y val="0.29836065573770515"/>
          <c:w val="0.5841944003516979"/>
          <c:h val="0.5573770491803276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4"/>
          <c:dPt>
            <c:idx val="0"/>
            <c:bubble3D val="0"/>
            <c:spPr>
              <a:solidFill>
                <a:srgbClr val="99CCFF"/>
              </a:solidFill>
              <a:ln w="25400">
                <a:noFill/>
              </a:ln>
            </c:spPr>
          </c:dPt>
          <c:dPt>
            <c:idx val="1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CC99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CCFFCC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FFFF99"/>
              </a:solidFill>
              <a:ln w="25400">
                <a:noFill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25400">
                <a:noFill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grafy!$A$5:$A$10</c:f>
              <c:strCache>
                <c:ptCount val="6"/>
                <c:pt idx="0">
                  <c:v>Dynamická a konkurenceschopná ekonomika</c:v>
                </c:pt>
                <c:pt idx="1">
                  <c:v>Kvalitní a zdravé lidské zdroje</c:v>
                </c:pt>
                <c:pt idx="2">
                  <c:v>Komplexní a kvalitní infrastruktura</c:v>
                </c:pt>
                <c:pt idx="3">
                  <c:v>Zdravé životní prostředí bez zátěží</c:v>
                </c:pt>
                <c:pt idx="4">
                  <c:v>Udržitelný rozvoj území a občanské společnosti</c:v>
                </c:pt>
                <c:pt idx="5">
                  <c:v>Nezařazené</c:v>
                </c:pt>
              </c:strCache>
            </c:strRef>
          </c:cat>
          <c:val>
            <c:numRef>
              <c:f>grafy!$C$5:$C$10</c:f>
              <c:numCache>
                <c:formatCode>#,##0.00</c:formatCode>
                <c:ptCount val="6"/>
                <c:pt idx="0">
                  <c:v>33469460.52</c:v>
                </c:pt>
                <c:pt idx="1">
                  <c:v>1201454492.4300022</c:v>
                </c:pt>
                <c:pt idx="2">
                  <c:v>1693404814.9100001</c:v>
                </c:pt>
                <c:pt idx="3">
                  <c:v>32598998.389999997</c:v>
                </c:pt>
                <c:pt idx="4">
                  <c:v>22350581.859999999</c:v>
                </c:pt>
                <c:pt idx="5">
                  <c:v>475510271.57000005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45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1082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 Lukas</dc:creator>
  <cp:lastModifiedBy>Chmel Lukas</cp:lastModifiedBy>
  <cp:revision>3</cp:revision>
  <cp:lastPrinted>2015-01-15T10:40:00Z</cp:lastPrinted>
  <dcterms:created xsi:type="dcterms:W3CDTF">2015-01-15T08:11:00Z</dcterms:created>
  <dcterms:modified xsi:type="dcterms:W3CDTF">2015-01-15T10:45:00Z</dcterms:modified>
</cp:coreProperties>
</file>