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5C2" w:rsidRDefault="00B165C2" w:rsidP="00B165C2">
      <w:pPr>
        <w:pStyle w:val="Titulek"/>
        <w:jc w:val="both"/>
      </w:pPr>
      <w:bookmarkStart w:id="0" w:name="_Toc306700583"/>
      <w:bookmarkStart w:id="1" w:name="_Toc398728584"/>
      <w:bookmarkStart w:id="2" w:name="_GoBack"/>
      <w:bookmarkEnd w:id="2"/>
      <w:r>
        <w:t>P01: Sazebník pro stanovování výše prominutí povinnosti odvodu za porušení rozpočtové kázně a výklad jeho jednotlivých položek</w:t>
      </w:r>
      <w:bookmarkEnd w:id="0"/>
      <w:r>
        <w:rPr>
          <w:rStyle w:val="Znakapoznpodarou"/>
        </w:rPr>
        <w:footnoteReference w:id="1"/>
      </w:r>
      <w:bookmarkEnd w:id="1"/>
    </w:p>
    <w:tbl>
      <w:tblPr>
        <w:tblW w:w="54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67"/>
        <w:gridCol w:w="707"/>
        <w:gridCol w:w="2835"/>
        <w:gridCol w:w="1131"/>
        <w:gridCol w:w="1412"/>
        <w:gridCol w:w="2979"/>
      </w:tblGrid>
      <w:tr w:rsidR="00B165C2" w:rsidRPr="00A012FE" w:rsidTr="007A106C">
        <w:trPr>
          <w:trHeight w:val="1275"/>
        </w:trPr>
        <w:tc>
          <w:tcPr>
            <w:tcW w:w="527" w:type="pct"/>
            <w:shd w:val="clear" w:color="auto" w:fill="auto"/>
            <w:noWrap/>
            <w:vAlign w:val="center"/>
            <w:hideMark/>
          </w:tcPr>
          <w:p w:rsidR="00B165C2" w:rsidRPr="00A012FE" w:rsidRDefault="00B165C2" w:rsidP="007A106C">
            <w:pPr>
              <w:jc w:val="center"/>
              <w:rPr>
                <w:b/>
                <w:bCs/>
                <w:color w:val="000000"/>
                <w:sz w:val="20"/>
                <w:szCs w:val="20"/>
              </w:rPr>
            </w:pPr>
            <w:r w:rsidRPr="00A012FE">
              <w:rPr>
                <w:b/>
                <w:bCs/>
                <w:color w:val="000000"/>
                <w:sz w:val="20"/>
                <w:szCs w:val="20"/>
              </w:rPr>
              <w:t>Oblast</w:t>
            </w:r>
          </w:p>
        </w:tc>
        <w:tc>
          <w:tcPr>
            <w:tcW w:w="349" w:type="pct"/>
            <w:shd w:val="clear" w:color="auto" w:fill="auto"/>
            <w:vAlign w:val="center"/>
            <w:hideMark/>
          </w:tcPr>
          <w:p w:rsidR="00B165C2" w:rsidRPr="00A012FE" w:rsidRDefault="00B165C2" w:rsidP="007A106C">
            <w:pPr>
              <w:jc w:val="center"/>
              <w:rPr>
                <w:b/>
                <w:bCs/>
                <w:color w:val="000000"/>
                <w:sz w:val="20"/>
                <w:szCs w:val="20"/>
              </w:rPr>
            </w:pPr>
            <w:r w:rsidRPr="00A012FE">
              <w:rPr>
                <w:b/>
                <w:bCs/>
                <w:color w:val="000000"/>
                <w:sz w:val="20"/>
                <w:szCs w:val="20"/>
              </w:rPr>
              <w:t>Číslo řádku</w:t>
            </w:r>
          </w:p>
        </w:tc>
        <w:tc>
          <w:tcPr>
            <w:tcW w:w="1399" w:type="pct"/>
            <w:shd w:val="clear" w:color="auto" w:fill="auto"/>
            <w:noWrap/>
            <w:vAlign w:val="center"/>
            <w:hideMark/>
          </w:tcPr>
          <w:p w:rsidR="00B165C2" w:rsidRPr="00A012FE" w:rsidRDefault="00B165C2" w:rsidP="007A106C">
            <w:pPr>
              <w:jc w:val="center"/>
              <w:rPr>
                <w:b/>
                <w:bCs/>
                <w:color w:val="000000"/>
                <w:sz w:val="20"/>
                <w:szCs w:val="20"/>
              </w:rPr>
            </w:pPr>
            <w:r w:rsidRPr="00A012FE">
              <w:rPr>
                <w:b/>
                <w:bCs/>
                <w:color w:val="000000"/>
                <w:sz w:val="20"/>
                <w:szCs w:val="20"/>
              </w:rPr>
              <w:t>Porušení</w:t>
            </w:r>
          </w:p>
        </w:tc>
        <w:tc>
          <w:tcPr>
            <w:tcW w:w="558" w:type="pct"/>
            <w:shd w:val="clear" w:color="auto" w:fill="auto"/>
            <w:vAlign w:val="center"/>
            <w:hideMark/>
          </w:tcPr>
          <w:p w:rsidR="00B165C2" w:rsidRPr="00A012FE" w:rsidRDefault="00B165C2" w:rsidP="007A106C">
            <w:pPr>
              <w:jc w:val="center"/>
              <w:rPr>
                <w:b/>
                <w:bCs/>
                <w:color w:val="000000"/>
                <w:sz w:val="20"/>
                <w:szCs w:val="20"/>
              </w:rPr>
            </w:pPr>
            <w:r>
              <w:rPr>
                <w:b/>
                <w:bCs/>
                <w:color w:val="000000"/>
                <w:sz w:val="20"/>
                <w:szCs w:val="20"/>
              </w:rPr>
              <w:t>V</w:t>
            </w:r>
            <w:r w:rsidRPr="00A012FE">
              <w:rPr>
                <w:b/>
                <w:bCs/>
                <w:color w:val="000000"/>
                <w:sz w:val="20"/>
                <w:szCs w:val="20"/>
              </w:rPr>
              <w:t>ýše možného prominutí odvodu (pevná sazba/procentuální rozmezí)</w:t>
            </w:r>
            <w:r w:rsidRPr="00A012FE">
              <w:rPr>
                <w:rStyle w:val="Znakapoznpodarou"/>
                <w:b/>
                <w:bCs/>
                <w:color w:val="000000"/>
                <w:sz w:val="20"/>
                <w:szCs w:val="20"/>
              </w:rPr>
              <w:footnoteReference w:id="2"/>
            </w:r>
          </w:p>
        </w:tc>
        <w:tc>
          <w:tcPr>
            <w:tcW w:w="697" w:type="pct"/>
            <w:shd w:val="clear" w:color="auto" w:fill="auto"/>
            <w:vAlign w:val="center"/>
            <w:hideMark/>
          </w:tcPr>
          <w:p w:rsidR="00B165C2" w:rsidRPr="00A012FE" w:rsidRDefault="00B165C2" w:rsidP="007A106C">
            <w:pPr>
              <w:jc w:val="center"/>
              <w:rPr>
                <w:b/>
                <w:bCs/>
                <w:color w:val="000000"/>
                <w:sz w:val="20"/>
                <w:szCs w:val="20"/>
              </w:rPr>
            </w:pPr>
            <w:r w:rsidRPr="00A012FE">
              <w:rPr>
                <w:b/>
                <w:bCs/>
                <w:color w:val="000000"/>
                <w:sz w:val="20"/>
                <w:szCs w:val="20"/>
              </w:rPr>
              <w:t>Výchozí částka pro výpočet odvodu za PRK, resp. prominutí</w:t>
            </w:r>
          </w:p>
        </w:tc>
        <w:tc>
          <w:tcPr>
            <w:tcW w:w="1470" w:type="pct"/>
            <w:shd w:val="clear" w:color="auto" w:fill="auto"/>
            <w:vAlign w:val="center"/>
            <w:hideMark/>
          </w:tcPr>
          <w:p w:rsidR="00B165C2" w:rsidRPr="00A012FE" w:rsidRDefault="00B165C2" w:rsidP="007A106C">
            <w:pPr>
              <w:rPr>
                <w:b/>
                <w:bCs/>
                <w:color w:val="000000"/>
                <w:sz w:val="20"/>
                <w:szCs w:val="20"/>
              </w:rPr>
            </w:pPr>
            <w:r w:rsidRPr="00A012FE">
              <w:rPr>
                <w:b/>
                <w:bCs/>
                <w:color w:val="000000"/>
                <w:sz w:val="20"/>
                <w:szCs w:val="20"/>
              </w:rPr>
              <w:t>Komentář</w:t>
            </w:r>
          </w:p>
        </w:tc>
      </w:tr>
      <w:tr w:rsidR="00B165C2" w:rsidRPr="00A012FE" w:rsidTr="007A106C">
        <w:trPr>
          <w:trHeight w:val="1020"/>
        </w:trPr>
        <w:tc>
          <w:tcPr>
            <w:tcW w:w="527" w:type="pct"/>
            <w:vMerge w:val="restart"/>
            <w:shd w:val="clear" w:color="auto" w:fill="auto"/>
            <w:noWrap/>
            <w:textDirection w:val="btLr"/>
            <w:vAlign w:val="center"/>
            <w:hideMark/>
          </w:tcPr>
          <w:p w:rsidR="00B165C2" w:rsidRPr="00A012FE" w:rsidRDefault="00B165C2" w:rsidP="007A106C">
            <w:pPr>
              <w:jc w:val="center"/>
              <w:rPr>
                <w:color w:val="000000"/>
                <w:sz w:val="20"/>
                <w:szCs w:val="20"/>
              </w:rPr>
            </w:pPr>
            <w:r w:rsidRPr="00A012FE">
              <w:rPr>
                <w:color w:val="000000"/>
                <w:sz w:val="20"/>
                <w:szCs w:val="20"/>
              </w:rPr>
              <w:t>Financování</w:t>
            </w:r>
          </w:p>
        </w:tc>
        <w:tc>
          <w:tcPr>
            <w:tcW w:w="349" w:type="pct"/>
            <w:shd w:val="clear" w:color="auto" w:fill="auto"/>
            <w:noWrap/>
            <w:vAlign w:val="center"/>
            <w:hideMark/>
          </w:tcPr>
          <w:p w:rsidR="00B165C2" w:rsidRPr="00A012FE" w:rsidRDefault="00B165C2" w:rsidP="007A106C">
            <w:pPr>
              <w:jc w:val="center"/>
              <w:rPr>
                <w:color w:val="000000"/>
                <w:sz w:val="20"/>
                <w:szCs w:val="20"/>
              </w:rPr>
            </w:pPr>
            <w:r w:rsidRPr="00A012FE">
              <w:rPr>
                <w:color w:val="000000"/>
                <w:sz w:val="20"/>
                <w:szCs w:val="20"/>
              </w:rPr>
              <w:t>1</w:t>
            </w:r>
          </w:p>
        </w:tc>
        <w:tc>
          <w:tcPr>
            <w:tcW w:w="1399"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Provedení neoprávněného výdaje z projektového účtu/pokladny (vrácení finančních prostředků na stanovený účet do 5 pracovních dnů od převodu, vč. 5. dne).</w:t>
            </w:r>
          </w:p>
        </w:tc>
        <w:tc>
          <w:tcPr>
            <w:tcW w:w="558"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98 – 99 %</w:t>
            </w:r>
          </w:p>
        </w:tc>
        <w:tc>
          <w:tcPr>
            <w:tcW w:w="697"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částka týkající se neoprávněného výdaje</w:t>
            </w:r>
          </w:p>
        </w:tc>
        <w:tc>
          <w:tcPr>
            <w:tcW w:w="1470" w:type="pct"/>
            <w:vMerge w:val="restar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 xml:space="preserve">Dle těchto bodů se postupuje pouze v případě mylných plateb </w:t>
            </w:r>
          </w:p>
        </w:tc>
      </w:tr>
      <w:tr w:rsidR="00B165C2" w:rsidRPr="00A012FE" w:rsidTr="007A106C">
        <w:trPr>
          <w:trHeight w:val="1275"/>
        </w:trPr>
        <w:tc>
          <w:tcPr>
            <w:tcW w:w="527" w:type="pct"/>
            <w:vMerge/>
            <w:vAlign w:val="center"/>
            <w:hideMark/>
          </w:tcPr>
          <w:p w:rsidR="00B165C2" w:rsidRPr="00A012FE" w:rsidRDefault="00B165C2" w:rsidP="007A106C">
            <w:pPr>
              <w:rPr>
                <w:color w:val="000000"/>
                <w:sz w:val="20"/>
                <w:szCs w:val="20"/>
              </w:rPr>
            </w:pPr>
          </w:p>
        </w:tc>
        <w:tc>
          <w:tcPr>
            <w:tcW w:w="349" w:type="pct"/>
            <w:shd w:val="clear" w:color="auto" w:fill="auto"/>
            <w:noWrap/>
            <w:vAlign w:val="center"/>
            <w:hideMark/>
          </w:tcPr>
          <w:p w:rsidR="00B165C2" w:rsidRPr="00A012FE" w:rsidRDefault="00B165C2" w:rsidP="007A106C">
            <w:pPr>
              <w:jc w:val="center"/>
              <w:rPr>
                <w:color w:val="000000"/>
                <w:sz w:val="20"/>
                <w:szCs w:val="20"/>
              </w:rPr>
            </w:pPr>
            <w:r w:rsidRPr="00A012FE">
              <w:rPr>
                <w:color w:val="000000"/>
                <w:sz w:val="20"/>
                <w:szCs w:val="20"/>
              </w:rPr>
              <w:t>2</w:t>
            </w:r>
          </w:p>
        </w:tc>
        <w:tc>
          <w:tcPr>
            <w:tcW w:w="1399"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Provedení neoprávněného výdaje z projektového účtu/pokladny (vrácení finančních prostředků na stanovený účet nad 5 pracovních dnů od převodu do zjištění podezření na nesrovnalost ZS = den ukončení veřejnosprávní kontroly).</w:t>
            </w:r>
          </w:p>
        </w:tc>
        <w:tc>
          <w:tcPr>
            <w:tcW w:w="558"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90 %</w:t>
            </w:r>
          </w:p>
        </w:tc>
        <w:tc>
          <w:tcPr>
            <w:tcW w:w="697"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částka týkající se neoprávněného výdaje</w:t>
            </w:r>
          </w:p>
        </w:tc>
        <w:tc>
          <w:tcPr>
            <w:tcW w:w="1470" w:type="pct"/>
            <w:vMerge/>
            <w:vAlign w:val="center"/>
            <w:hideMark/>
          </w:tcPr>
          <w:p w:rsidR="00B165C2" w:rsidRPr="00A012FE" w:rsidRDefault="00B165C2" w:rsidP="007A106C">
            <w:pPr>
              <w:rPr>
                <w:color w:val="000000"/>
                <w:sz w:val="20"/>
                <w:szCs w:val="20"/>
              </w:rPr>
            </w:pPr>
          </w:p>
        </w:tc>
      </w:tr>
      <w:tr w:rsidR="00B165C2" w:rsidRPr="00A012FE" w:rsidTr="007A106C">
        <w:trPr>
          <w:trHeight w:val="1020"/>
        </w:trPr>
        <w:tc>
          <w:tcPr>
            <w:tcW w:w="527" w:type="pct"/>
            <w:vMerge/>
            <w:vAlign w:val="center"/>
            <w:hideMark/>
          </w:tcPr>
          <w:p w:rsidR="00B165C2" w:rsidRPr="00A012FE" w:rsidRDefault="00B165C2" w:rsidP="007A106C">
            <w:pPr>
              <w:rPr>
                <w:color w:val="000000"/>
                <w:sz w:val="20"/>
                <w:szCs w:val="20"/>
              </w:rPr>
            </w:pPr>
          </w:p>
        </w:tc>
        <w:tc>
          <w:tcPr>
            <w:tcW w:w="349" w:type="pct"/>
            <w:shd w:val="clear" w:color="auto" w:fill="auto"/>
            <w:noWrap/>
            <w:vAlign w:val="center"/>
            <w:hideMark/>
          </w:tcPr>
          <w:p w:rsidR="00B165C2" w:rsidRPr="00A012FE" w:rsidRDefault="00B165C2" w:rsidP="007A106C">
            <w:pPr>
              <w:jc w:val="center"/>
              <w:rPr>
                <w:color w:val="000000"/>
                <w:sz w:val="20"/>
                <w:szCs w:val="20"/>
              </w:rPr>
            </w:pPr>
            <w:r w:rsidRPr="00A012FE">
              <w:rPr>
                <w:color w:val="000000"/>
                <w:sz w:val="20"/>
                <w:szCs w:val="20"/>
              </w:rPr>
              <w:t>3</w:t>
            </w:r>
          </w:p>
        </w:tc>
        <w:tc>
          <w:tcPr>
            <w:tcW w:w="1399"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Provedení neoprávněného výdaje z projektového účtu/pokladny (pokud byly prostředky vráceny na stanovený účet v poskytovatelem stanoveném termínu po zjištění podezření na nesrovnalost).</w:t>
            </w:r>
          </w:p>
        </w:tc>
        <w:tc>
          <w:tcPr>
            <w:tcW w:w="558"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80 %</w:t>
            </w:r>
          </w:p>
        </w:tc>
        <w:tc>
          <w:tcPr>
            <w:tcW w:w="697"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částka týkající se neoprávněného výdaje</w:t>
            </w:r>
          </w:p>
        </w:tc>
        <w:tc>
          <w:tcPr>
            <w:tcW w:w="1470" w:type="pct"/>
            <w:vMerge/>
            <w:vAlign w:val="center"/>
            <w:hideMark/>
          </w:tcPr>
          <w:p w:rsidR="00B165C2" w:rsidRPr="00A012FE" w:rsidRDefault="00B165C2" w:rsidP="007A106C">
            <w:pPr>
              <w:rPr>
                <w:color w:val="000000"/>
                <w:sz w:val="20"/>
                <w:szCs w:val="20"/>
              </w:rPr>
            </w:pPr>
          </w:p>
        </w:tc>
      </w:tr>
      <w:tr w:rsidR="00B165C2" w:rsidRPr="00A012FE" w:rsidTr="007A106C">
        <w:trPr>
          <w:trHeight w:val="765"/>
        </w:trPr>
        <w:tc>
          <w:tcPr>
            <w:tcW w:w="527" w:type="pct"/>
            <w:vMerge/>
            <w:vAlign w:val="center"/>
            <w:hideMark/>
          </w:tcPr>
          <w:p w:rsidR="00B165C2" w:rsidRPr="00A012FE" w:rsidRDefault="00B165C2" w:rsidP="007A106C">
            <w:pPr>
              <w:rPr>
                <w:color w:val="000000"/>
                <w:sz w:val="20"/>
                <w:szCs w:val="20"/>
              </w:rPr>
            </w:pPr>
          </w:p>
        </w:tc>
        <w:tc>
          <w:tcPr>
            <w:tcW w:w="349" w:type="pct"/>
            <w:shd w:val="clear" w:color="auto" w:fill="auto"/>
            <w:noWrap/>
            <w:vAlign w:val="center"/>
            <w:hideMark/>
          </w:tcPr>
          <w:p w:rsidR="00B165C2" w:rsidRPr="00A012FE" w:rsidRDefault="00B165C2" w:rsidP="007A106C">
            <w:pPr>
              <w:jc w:val="center"/>
              <w:rPr>
                <w:color w:val="000000"/>
                <w:sz w:val="20"/>
                <w:szCs w:val="20"/>
              </w:rPr>
            </w:pPr>
            <w:r w:rsidRPr="00A012FE">
              <w:rPr>
                <w:color w:val="000000"/>
                <w:sz w:val="20"/>
                <w:szCs w:val="20"/>
              </w:rPr>
              <w:t>4</w:t>
            </w:r>
          </w:p>
        </w:tc>
        <w:tc>
          <w:tcPr>
            <w:tcW w:w="1399"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Provedení neoprávněného výdaje z projektového účtu/pokladny (nenavrácení na stanovený účet ve stanoveném termínu).</w:t>
            </w:r>
          </w:p>
        </w:tc>
        <w:tc>
          <w:tcPr>
            <w:tcW w:w="558"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0 %</w:t>
            </w:r>
          </w:p>
        </w:tc>
        <w:tc>
          <w:tcPr>
            <w:tcW w:w="697"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částka týkající se neoprávněného výdaje</w:t>
            </w:r>
          </w:p>
        </w:tc>
        <w:tc>
          <w:tcPr>
            <w:tcW w:w="1470"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Postupuje se jako v případě neprokázaného výdaje.</w:t>
            </w:r>
          </w:p>
        </w:tc>
      </w:tr>
      <w:tr w:rsidR="00B165C2" w:rsidRPr="00A012FE" w:rsidTr="007A106C">
        <w:trPr>
          <w:trHeight w:val="1275"/>
        </w:trPr>
        <w:tc>
          <w:tcPr>
            <w:tcW w:w="527" w:type="pct"/>
            <w:vMerge/>
            <w:vAlign w:val="center"/>
            <w:hideMark/>
          </w:tcPr>
          <w:p w:rsidR="00B165C2" w:rsidRPr="00A012FE" w:rsidRDefault="00B165C2" w:rsidP="007A106C">
            <w:pPr>
              <w:rPr>
                <w:color w:val="000000"/>
                <w:sz w:val="20"/>
                <w:szCs w:val="20"/>
              </w:rPr>
            </w:pPr>
          </w:p>
        </w:tc>
        <w:tc>
          <w:tcPr>
            <w:tcW w:w="349" w:type="pct"/>
            <w:shd w:val="clear" w:color="auto" w:fill="auto"/>
            <w:noWrap/>
            <w:vAlign w:val="center"/>
            <w:hideMark/>
          </w:tcPr>
          <w:p w:rsidR="00B165C2" w:rsidRPr="00A012FE" w:rsidRDefault="00B165C2" w:rsidP="007A106C">
            <w:pPr>
              <w:jc w:val="center"/>
              <w:rPr>
                <w:color w:val="000000"/>
                <w:sz w:val="20"/>
                <w:szCs w:val="20"/>
              </w:rPr>
            </w:pPr>
            <w:r w:rsidRPr="00A012FE">
              <w:rPr>
                <w:color w:val="000000"/>
                <w:sz w:val="20"/>
                <w:szCs w:val="20"/>
              </w:rPr>
              <w:t>5</w:t>
            </w:r>
          </w:p>
        </w:tc>
        <w:tc>
          <w:tcPr>
            <w:tcW w:w="1399"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Výdaje, které nebyly poskytovatelem uznány z důvodu porušení zásad 3E nebo z důvodu nedodržení právních předpisů.</w:t>
            </w:r>
          </w:p>
        </w:tc>
        <w:tc>
          <w:tcPr>
            <w:tcW w:w="558"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0 %</w:t>
            </w:r>
          </w:p>
        </w:tc>
        <w:tc>
          <w:tcPr>
            <w:tcW w:w="697"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částka týkající se neoprávněného výdaje</w:t>
            </w:r>
          </w:p>
        </w:tc>
        <w:tc>
          <w:tcPr>
            <w:tcW w:w="1470"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Vyjma případu poch</w:t>
            </w:r>
            <w:r>
              <w:rPr>
                <w:color w:val="000000"/>
                <w:sz w:val="20"/>
                <w:szCs w:val="20"/>
              </w:rPr>
              <w:t>ybení v </w:t>
            </w:r>
            <w:r w:rsidRPr="00A012FE">
              <w:rPr>
                <w:color w:val="000000"/>
                <w:sz w:val="20"/>
                <w:szCs w:val="20"/>
              </w:rPr>
              <w:t xml:space="preserve">postupech pro zadání veřejné zakázky. V těchto případech se postupuje dle bodu </w:t>
            </w:r>
            <w:r>
              <w:rPr>
                <w:color w:val="000000"/>
                <w:sz w:val="20"/>
                <w:szCs w:val="20"/>
              </w:rPr>
              <w:t xml:space="preserve">33 - 36 </w:t>
            </w:r>
            <w:r w:rsidRPr="00A012FE">
              <w:rPr>
                <w:color w:val="000000"/>
                <w:sz w:val="20"/>
                <w:szCs w:val="20"/>
              </w:rPr>
              <w:t>Sazebníku.</w:t>
            </w:r>
          </w:p>
        </w:tc>
      </w:tr>
      <w:tr w:rsidR="00B165C2" w:rsidRPr="00A012FE" w:rsidTr="007A106C">
        <w:trPr>
          <w:trHeight w:val="765"/>
        </w:trPr>
        <w:tc>
          <w:tcPr>
            <w:tcW w:w="527" w:type="pct"/>
            <w:vMerge/>
            <w:vAlign w:val="center"/>
            <w:hideMark/>
          </w:tcPr>
          <w:p w:rsidR="00B165C2" w:rsidRPr="00A012FE" w:rsidRDefault="00B165C2" w:rsidP="007A106C">
            <w:pPr>
              <w:rPr>
                <w:color w:val="000000"/>
                <w:sz w:val="20"/>
                <w:szCs w:val="20"/>
              </w:rPr>
            </w:pPr>
          </w:p>
        </w:tc>
        <w:tc>
          <w:tcPr>
            <w:tcW w:w="349" w:type="pct"/>
            <w:shd w:val="clear" w:color="auto" w:fill="auto"/>
            <w:noWrap/>
            <w:vAlign w:val="center"/>
            <w:hideMark/>
          </w:tcPr>
          <w:p w:rsidR="00B165C2" w:rsidRPr="00A012FE" w:rsidRDefault="00B165C2" w:rsidP="007A106C">
            <w:pPr>
              <w:jc w:val="center"/>
              <w:rPr>
                <w:color w:val="000000"/>
                <w:sz w:val="20"/>
                <w:szCs w:val="20"/>
              </w:rPr>
            </w:pPr>
            <w:r w:rsidRPr="00A012FE">
              <w:rPr>
                <w:color w:val="000000"/>
                <w:sz w:val="20"/>
                <w:szCs w:val="20"/>
              </w:rPr>
              <w:t>6</w:t>
            </w:r>
          </w:p>
        </w:tc>
        <w:tc>
          <w:tcPr>
            <w:tcW w:w="1399"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Výdaje, které nebyly poskytovatelem uznány vyjma případů, kdy výdaj není uznán z důvodu porušení lhůty / termínu při realizaci výdaje.</w:t>
            </w:r>
          </w:p>
        </w:tc>
        <w:tc>
          <w:tcPr>
            <w:tcW w:w="558"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0 %</w:t>
            </w:r>
          </w:p>
        </w:tc>
        <w:tc>
          <w:tcPr>
            <w:tcW w:w="697"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částka týkající se nezpůsobilého výdaje</w:t>
            </w:r>
          </w:p>
        </w:tc>
        <w:tc>
          <w:tcPr>
            <w:tcW w:w="1470"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 </w:t>
            </w:r>
          </w:p>
        </w:tc>
      </w:tr>
      <w:tr w:rsidR="00B165C2" w:rsidRPr="00A012FE" w:rsidTr="007A106C">
        <w:trPr>
          <w:trHeight w:val="1275"/>
        </w:trPr>
        <w:tc>
          <w:tcPr>
            <w:tcW w:w="527" w:type="pct"/>
            <w:vMerge/>
            <w:vAlign w:val="center"/>
            <w:hideMark/>
          </w:tcPr>
          <w:p w:rsidR="00B165C2" w:rsidRPr="00A012FE" w:rsidRDefault="00B165C2" w:rsidP="007A106C">
            <w:pPr>
              <w:rPr>
                <w:color w:val="000000"/>
                <w:sz w:val="20"/>
                <w:szCs w:val="20"/>
              </w:rPr>
            </w:pPr>
          </w:p>
        </w:tc>
        <w:tc>
          <w:tcPr>
            <w:tcW w:w="349" w:type="pct"/>
            <w:shd w:val="clear" w:color="auto" w:fill="auto"/>
            <w:noWrap/>
            <w:vAlign w:val="center"/>
            <w:hideMark/>
          </w:tcPr>
          <w:p w:rsidR="00B165C2" w:rsidRPr="00A012FE" w:rsidRDefault="00B165C2" w:rsidP="007A106C">
            <w:pPr>
              <w:jc w:val="center"/>
              <w:rPr>
                <w:color w:val="000000"/>
                <w:sz w:val="20"/>
                <w:szCs w:val="20"/>
              </w:rPr>
            </w:pPr>
            <w:r w:rsidRPr="00A012FE">
              <w:rPr>
                <w:color w:val="000000"/>
                <w:sz w:val="20"/>
                <w:szCs w:val="20"/>
              </w:rPr>
              <w:t>7</w:t>
            </w:r>
          </w:p>
        </w:tc>
        <w:tc>
          <w:tcPr>
            <w:tcW w:w="1399"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Převedení finančních prostředků způsobilých výdajů z projektového účtu na účet příjemce/finančního partnera před skutečnou úhradou (do 10 pracovních dnů od převodu, včetně 10. dne).</w:t>
            </w:r>
          </w:p>
        </w:tc>
        <w:tc>
          <w:tcPr>
            <w:tcW w:w="558"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99 %</w:t>
            </w:r>
          </w:p>
        </w:tc>
        <w:tc>
          <w:tcPr>
            <w:tcW w:w="697"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částka dotčená převodem</w:t>
            </w:r>
          </w:p>
        </w:tc>
        <w:tc>
          <w:tcPr>
            <w:tcW w:w="1470"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Lze použít pouze za předpokladu, že nedošlo k dalšímu pochyb</w:t>
            </w:r>
            <w:r>
              <w:rPr>
                <w:color w:val="000000"/>
                <w:sz w:val="20"/>
                <w:szCs w:val="20"/>
              </w:rPr>
              <w:t>e</w:t>
            </w:r>
            <w:r w:rsidRPr="00A012FE">
              <w:rPr>
                <w:color w:val="000000"/>
                <w:sz w:val="20"/>
                <w:szCs w:val="20"/>
              </w:rPr>
              <w:t xml:space="preserve">ní uvedenému v Sazebníku. </w:t>
            </w:r>
          </w:p>
        </w:tc>
      </w:tr>
      <w:tr w:rsidR="00B165C2" w:rsidRPr="00A012FE" w:rsidTr="007A106C">
        <w:trPr>
          <w:trHeight w:val="1020"/>
        </w:trPr>
        <w:tc>
          <w:tcPr>
            <w:tcW w:w="527" w:type="pct"/>
            <w:vMerge/>
            <w:vAlign w:val="center"/>
            <w:hideMark/>
          </w:tcPr>
          <w:p w:rsidR="00B165C2" w:rsidRPr="00A012FE" w:rsidRDefault="00B165C2" w:rsidP="007A106C">
            <w:pPr>
              <w:rPr>
                <w:color w:val="000000"/>
                <w:sz w:val="20"/>
                <w:szCs w:val="20"/>
              </w:rPr>
            </w:pPr>
          </w:p>
        </w:tc>
        <w:tc>
          <w:tcPr>
            <w:tcW w:w="349" w:type="pct"/>
            <w:shd w:val="clear" w:color="auto" w:fill="auto"/>
            <w:noWrap/>
            <w:vAlign w:val="center"/>
            <w:hideMark/>
          </w:tcPr>
          <w:p w:rsidR="00B165C2" w:rsidRPr="00A012FE" w:rsidRDefault="00B165C2" w:rsidP="007A106C">
            <w:pPr>
              <w:jc w:val="center"/>
              <w:rPr>
                <w:color w:val="000000"/>
                <w:sz w:val="20"/>
                <w:szCs w:val="20"/>
              </w:rPr>
            </w:pPr>
            <w:r w:rsidRPr="00A012FE">
              <w:rPr>
                <w:color w:val="000000"/>
                <w:sz w:val="20"/>
                <w:szCs w:val="20"/>
              </w:rPr>
              <w:t>8</w:t>
            </w:r>
          </w:p>
        </w:tc>
        <w:tc>
          <w:tcPr>
            <w:tcW w:w="1399"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Převedení finančních prostředků způsobilých výdajů z projektového účtu na účet příjemce/finančního partnera před skutečnou úhradou (nad 10 pracovních dnů od převodu).</w:t>
            </w:r>
          </w:p>
        </w:tc>
        <w:tc>
          <w:tcPr>
            <w:tcW w:w="558"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95 %</w:t>
            </w:r>
          </w:p>
        </w:tc>
        <w:tc>
          <w:tcPr>
            <w:tcW w:w="697"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částka dotčená převodem</w:t>
            </w:r>
          </w:p>
        </w:tc>
        <w:tc>
          <w:tcPr>
            <w:tcW w:w="1470"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Lze použít pouze za předpokladu, že nedošlo k dalšímu pochyb</w:t>
            </w:r>
            <w:r>
              <w:rPr>
                <w:color w:val="000000"/>
                <w:sz w:val="20"/>
                <w:szCs w:val="20"/>
              </w:rPr>
              <w:t>e</w:t>
            </w:r>
            <w:r w:rsidRPr="00A012FE">
              <w:rPr>
                <w:color w:val="000000"/>
                <w:sz w:val="20"/>
                <w:szCs w:val="20"/>
              </w:rPr>
              <w:t>ní uvedenému v Sazebníku.</w:t>
            </w:r>
          </w:p>
        </w:tc>
      </w:tr>
      <w:tr w:rsidR="00B165C2" w:rsidRPr="00A012FE" w:rsidTr="007A106C">
        <w:trPr>
          <w:trHeight w:val="1020"/>
        </w:trPr>
        <w:tc>
          <w:tcPr>
            <w:tcW w:w="527" w:type="pct"/>
            <w:vMerge/>
            <w:vAlign w:val="center"/>
            <w:hideMark/>
          </w:tcPr>
          <w:p w:rsidR="00B165C2" w:rsidRPr="00A012FE" w:rsidRDefault="00B165C2" w:rsidP="007A106C">
            <w:pPr>
              <w:rPr>
                <w:color w:val="000000"/>
                <w:sz w:val="20"/>
                <w:szCs w:val="20"/>
              </w:rPr>
            </w:pPr>
          </w:p>
        </w:tc>
        <w:tc>
          <w:tcPr>
            <w:tcW w:w="349" w:type="pct"/>
            <w:shd w:val="clear" w:color="auto" w:fill="auto"/>
            <w:noWrap/>
            <w:vAlign w:val="center"/>
            <w:hideMark/>
          </w:tcPr>
          <w:p w:rsidR="00B165C2" w:rsidRPr="00A012FE" w:rsidRDefault="00B165C2" w:rsidP="007A106C">
            <w:pPr>
              <w:jc w:val="center"/>
              <w:rPr>
                <w:color w:val="000000"/>
                <w:sz w:val="20"/>
                <w:szCs w:val="20"/>
              </w:rPr>
            </w:pPr>
            <w:r w:rsidRPr="00A012FE">
              <w:rPr>
                <w:color w:val="000000"/>
                <w:sz w:val="20"/>
                <w:szCs w:val="20"/>
              </w:rPr>
              <w:t>9</w:t>
            </w:r>
          </w:p>
        </w:tc>
        <w:tc>
          <w:tcPr>
            <w:tcW w:w="1399"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Použití investičních prostředků na úhradu neinvestičních výdajů za předpokladu, že dané neinvestiční výdaje jsou součástí schváleného rozpočtu a naopak.</w:t>
            </w:r>
            <w:r>
              <w:rPr>
                <w:rStyle w:val="Znakapoznpodarou"/>
                <w:color w:val="000000"/>
                <w:sz w:val="20"/>
                <w:szCs w:val="20"/>
              </w:rPr>
              <w:footnoteReference w:id="3"/>
            </w:r>
          </w:p>
        </w:tc>
        <w:tc>
          <w:tcPr>
            <w:tcW w:w="558"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100 %</w:t>
            </w:r>
          </w:p>
        </w:tc>
        <w:tc>
          <w:tcPr>
            <w:tcW w:w="697"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výše výdaje</w:t>
            </w:r>
          </w:p>
        </w:tc>
        <w:tc>
          <w:tcPr>
            <w:tcW w:w="1470"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 </w:t>
            </w:r>
          </w:p>
        </w:tc>
      </w:tr>
      <w:tr w:rsidR="00B165C2" w:rsidRPr="00A012FE" w:rsidTr="007A106C">
        <w:trPr>
          <w:trHeight w:val="525"/>
        </w:trPr>
        <w:tc>
          <w:tcPr>
            <w:tcW w:w="527" w:type="pct"/>
            <w:vMerge/>
            <w:vAlign w:val="center"/>
            <w:hideMark/>
          </w:tcPr>
          <w:p w:rsidR="00B165C2" w:rsidRPr="00A012FE" w:rsidRDefault="00B165C2" w:rsidP="007A106C">
            <w:pPr>
              <w:rPr>
                <w:color w:val="000000"/>
                <w:sz w:val="20"/>
                <w:szCs w:val="20"/>
              </w:rPr>
            </w:pPr>
          </w:p>
        </w:tc>
        <w:tc>
          <w:tcPr>
            <w:tcW w:w="349" w:type="pct"/>
            <w:shd w:val="clear" w:color="auto" w:fill="auto"/>
            <w:noWrap/>
            <w:vAlign w:val="center"/>
            <w:hideMark/>
          </w:tcPr>
          <w:p w:rsidR="00B165C2" w:rsidRPr="00A012FE" w:rsidRDefault="00B165C2" w:rsidP="007A106C">
            <w:pPr>
              <w:jc w:val="center"/>
              <w:rPr>
                <w:color w:val="000000"/>
                <w:sz w:val="20"/>
                <w:szCs w:val="20"/>
              </w:rPr>
            </w:pPr>
            <w:r w:rsidRPr="00A012FE">
              <w:rPr>
                <w:color w:val="000000"/>
                <w:sz w:val="20"/>
                <w:szCs w:val="20"/>
              </w:rPr>
              <w:t>10</w:t>
            </w:r>
          </w:p>
        </w:tc>
        <w:tc>
          <w:tcPr>
            <w:tcW w:w="1399"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Z dotace proplacený výdaj, ale nebylo uskutečněno plnění.</w:t>
            </w:r>
          </w:p>
        </w:tc>
        <w:tc>
          <w:tcPr>
            <w:tcW w:w="558"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0 %</w:t>
            </w:r>
          </w:p>
        </w:tc>
        <w:tc>
          <w:tcPr>
            <w:tcW w:w="697"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výše uskutečněného výdaje</w:t>
            </w:r>
          </w:p>
        </w:tc>
        <w:tc>
          <w:tcPr>
            <w:tcW w:w="1470"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 </w:t>
            </w:r>
          </w:p>
        </w:tc>
      </w:tr>
      <w:tr w:rsidR="00B165C2" w:rsidRPr="00A012FE" w:rsidTr="007A106C">
        <w:trPr>
          <w:trHeight w:val="720"/>
        </w:trPr>
        <w:tc>
          <w:tcPr>
            <w:tcW w:w="527" w:type="pct"/>
            <w:vMerge/>
            <w:vAlign w:val="center"/>
            <w:hideMark/>
          </w:tcPr>
          <w:p w:rsidR="00B165C2" w:rsidRPr="00A012FE" w:rsidRDefault="00B165C2" w:rsidP="007A106C">
            <w:pPr>
              <w:rPr>
                <w:color w:val="000000"/>
                <w:sz w:val="20"/>
                <w:szCs w:val="20"/>
              </w:rPr>
            </w:pPr>
          </w:p>
        </w:tc>
        <w:tc>
          <w:tcPr>
            <w:tcW w:w="349" w:type="pct"/>
            <w:vMerge w:val="restart"/>
            <w:shd w:val="clear" w:color="auto" w:fill="auto"/>
            <w:noWrap/>
            <w:vAlign w:val="center"/>
            <w:hideMark/>
          </w:tcPr>
          <w:p w:rsidR="00B165C2" w:rsidRPr="00A012FE" w:rsidRDefault="00B165C2" w:rsidP="007A106C">
            <w:pPr>
              <w:jc w:val="center"/>
              <w:rPr>
                <w:color w:val="000000"/>
                <w:sz w:val="20"/>
                <w:szCs w:val="20"/>
              </w:rPr>
            </w:pPr>
            <w:r w:rsidRPr="00A012FE">
              <w:rPr>
                <w:color w:val="000000"/>
                <w:sz w:val="20"/>
                <w:szCs w:val="20"/>
              </w:rPr>
              <w:t>11</w:t>
            </w:r>
          </w:p>
        </w:tc>
        <w:tc>
          <w:tcPr>
            <w:tcW w:w="1399" w:type="pct"/>
            <w:vMerge w:val="restar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Nevedení oddělené evidence ve vztahu k projektu.</w:t>
            </w:r>
          </w:p>
        </w:tc>
        <w:tc>
          <w:tcPr>
            <w:tcW w:w="558" w:type="pct"/>
            <w:vMerge w:val="restar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0 %</w:t>
            </w:r>
          </w:p>
        </w:tc>
        <w:tc>
          <w:tcPr>
            <w:tcW w:w="697" w:type="pct"/>
            <w:vMerge w:val="restart"/>
            <w:shd w:val="clear" w:color="auto" w:fill="auto"/>
            <w:vAlign w:val="center"/>
            <w:hideMark/>
          </w:tcPr>
          <w:p w:rsidR="00B165C2" w:rsidRDefault="00B165C2" w:rsidP="007A106C">
            <w:pPr>
              <w:rPr>
                <w:color w:val="000000"/>
                <w:sz w:val="20"/>
                <w:szCs w:val="20"/>
              </w:rPr>
            </w:pPr>
            <w:r>
              <w:rPr>
                <w:color w:val="000000"/>
                <w:sz w:val="20"/>
                <w:szCs w:val="20"/>
              </w:rPr>
              <w:t>a) dotace</w:t>
            </w:r>
          </w:p>
          <w:p w:rsidR="00B165C2" w:rsidRPr="00A012FE" w:rsidRDefault="00B165C2" w:rsidP="007A106C">
            <w:pPr>
              <w:rPr>
                <w:color w:val="000000"/>
                <w:sz w:val="20"/>
                <w:szCs w:val="20"/>
              </w:rPr>
            </w:pPr>
            <w:r w:rsidRPr="00A012FE">
              <w:rPr>
                <w:color w:val="000000"/>
                <w:sz w:val="20"/>
                <w:szCs w:val="20"/>
              </w:rPr>
              <w:t>b) výše výdaje realizovaného mimo oddělenou evidenci</w:t>
            </w:r>
          </w:p>
        </w:tc>
        <w:tc>
          <w:tcPr>
            <w:tcW w:w="1470" w:type="pct"/>
            <w:vMerge w:val="restart"/>
            <w:shd w:val="clear" w:color="auto" w:fill="auto"/>
            <w:vAlign w:val="center"/>
            <w:hideMark/>
          </w:tcPr>
          <w:p w:rsidR="00B165C2" w:rsidRDefault="00B165C2" w:rsidP="007A106C">
            <w:pPr>
              <w:rPr>
                <w:color w:val="000000"/>
                <w:sz w:val="20"/>
                <w:szCs w:val="20"/>
              </w:rPr>
            </w:pPr>
            <w:r w:rsidRPr="00A012FE">
              <w:rPr>
                <w:color w:val="000000"/>
                <w:sz w:val="20"/>
                <w:szCs w:val="20"/>
              </w:rPr>
              <w:t xml:space="preserve">a) Pokud není </w:t>
            </w:r>
            <w:r>
              <w:rPr>
                <w:color w:val="000000"/>
                <w:sz w:val="20"/>
                <w:szCs w:val="20"/>
              </w:rPr>
              <w:t>oddělená evidence vedena vůbec.</w:t>
            </w:r>
          </w:p>
          <w:p w:rsidR="00B165C2" w:rsidRPr="00A012FE" w:rsidRDefault="00B165C2" w:rsidP="007A106C">
            <w:pPr>
              <w:rPr>
                <w:color w:val="000000"/>
                <w:sz w:val="20"/>
                <w:szCs w:val="20"/>
              </w:rPr>
            </w:pPr>
            <w:r w:rsidRPr="00A012FE">
              <w:rPr>
                <w:color w:val="000000"/>
                <w:sz w:val="20"/>
                <w:szCs w:val="20"/>
              </w:rPr>
              <w:t>b) Je</w:t>
            </w:r>
            <w:r>
              <w:rPr>
                <w:color w:val="000000"/>
                <w:sz w:val="20"/>
                <w:szCs w:val="20"/>
              </w:rPr>
              <w:t>-</w:t>
            </w:r>
            <w:r w:rsidRPr="00A012FE">
              <w:rPr>
                <w:color w:val="000000"/>
                <w:sz w:val="20"/>
                <w:szCs w:val="20"/>
              </w:rPr>
              <w:t>li oddělená evidence vedena, pouze některý výdaj/výdaje takto nejsou zaúčtovány</w:t>
            </w:r>
            <w:r>
              <w:rPr>
                <w:color w:val="000000"/>
                <w:sz w:val="20"/>
                <w:szCs w:val="20"/>
              </w:rPr>
              <w:t>.</w:t>
            </w:r>
          </w:p>
        </w:tc>
      </w:tr>
      <w:tr w:rsidR="00B165C2" w:rsidRPr="00A012FE" w:rsidTr="007A106C">
        <w:trPr>
          <w:trHeight w:val="855"/>
        </w:trPr>
        <w:tc>
          <w:tcPr>
            <w:tcW w:w="527" w:type="pct"/>
            <w:vMerge/>
            <w:vAlign w:val="center"/>
            <w:hideMark/>
          </w:tcPr>
          <w:p w:rsidR="00B165C2" w:rsidRPr="00A012FE" w:rsidRDefault="00B165C2" w:rsidP="007A106C">
            <w:pPr>
              <w:rPr>
                <w:color w:val="000000"/>
                <w:sz w:val="20"/>
                <w:szCs w:val="20"/>
              </w:rPr>
            </w:pPr>
          </w:p>
        </w:tc>
        <w:tc>
          <w:tcPr>
            <w:tcW w:w="349" w:type="pct"/>
            <w:vMerge/>
            <w:vAlign w:val="center"/>
            <w:hideMark/>
          </w:tcPr>
          <w:p w:rsidR="00B165C2" w:rsidRPr="00A012FE" w:rsidRDefault="00B165C2" w:rsidP="007A106C">
            <w:pPr>
              <w:rPr>
                <w:color w:val="000000"/>
                <w:sz w:val="20"/>
                <w:szCs w:val="20"/>
              </w:rPr>
            </w:pPr>
          </w:p>
        </w:tc>
        <w:tc>
          <w:tcPr>
            <w:tcW w:w="1399" w:type="pct"/>
            <w:vMerge/>
            <w:vAlign w:val="center"/>
            <w:hideMark/>
          </w:tcPr>
          <w:p w:rsidR="00B165C2" w:rsidRPr="00A012FE" w:rsidRDefault="00B165C2" w:rsidP="007A106C">
            <w:pPr>
              <w:rPr>
                <w:color w:val="000000"/>
                <w:sz w:val="20"/>
                <w:szCs w:val="20"/>
              </w:rPr>
            </w:pPr>
          </w:p>
        </w:tc>
        <w:tc>
          <w:tcPr>
            <w:tcW w:w="558" w:type="pct"/>
            <w:vMerge/>
            <w:vAlign w:val="center"/>
            <w:hideMark/>
          </w:tcPr>
          <w:p w:rsidR="00B165C2" w:rsidRPr="00A012FE" w:rsidRDefault="00B165C2" w:rsidP="007A106C">
            <w:pPr>
              <w:rPr>
                <w:color w:val="000000"/>
                <w:sz w:val="20"/>
                <w:szCs w:val="20"/>
              </w:rPr>
            </w:pPr>
          </w:p>
        </w:tc>
        <w:tc>
          <w:tcPr>
            <w:tcW w:w="697" w:type="pct"/>
            <w:vMerge/>
            <w:vAlign w:val="center"/>
            <w:hideMark/>
          </w:tcPr>
          <w:p w:rsidR="00B165C2" w:rsidRPr="00A012FE" w:rsidRDefault="00B165C2" w:rsidP="007A106C">
            <w:pPr>
              <w:rPr>
                <w:color w:val="000000"/>
                <w:sz w:val="20"/>
                <w:szCs w:val="20"/>
              </w:rPr>
            </w:pPr>
          </w:p>
        </w:tc>
        <w:tc>
          <w:tcPr>
            <w:tcW w:w="1470" w:type="pct"/>
            <w:vMerge/>
            <w:vAlign w:val="center"/>
            <w:hideMark/>
          </w:tcPr>
          <w:p w:rsidR="00B165C2" w:rsidRPr="00A012FE" w:rsidRDefault="00B165C2" w:rsidP="007A106C">
            <w:pPr>
              <w:rPr>
                <w:color w:val="000000"/>
                <w:sz w:val="20"/>
                <w:szCs w:val="20"/>
              </w:rPr>
            </w:pPr>
          </w:p>
        </w:tc>
      </w:tr>
      <w:tr w:rsidR="00B165C2" w:rsidRPr="00A012FE" w:rsidTr="007A106C">
        <w:trPr>
          <w:trHeight w:val="1200"/>
        </w:trPr>
        <w:tc>
          <w:tcPr>
            <w:tcW w:w="527" w:type="pct"/>
            <w:vMerge/>
            <w:vAlign w:val="center"/>
            <w:hideMark/>
          </w:tcPr>
          <w:p w:rsidR="00B165C2" w:rsidRPr="00A012FE" w:rsidRDefault="00B165C2" w:rsidP="007A106C">
            <w:pPr>
              <w:rPr>
                <w:color w:val="000000"/>
                <w:sz w:val="20"/>
                <w:szCs w:val="20"/>
              </w:rPr>
            </w:pPr>
          </w:p>
        </w:tc>
        <w:tc>
          <w:tcPr>
            <w:tcW w:w="349" w:type="pct"/>
            <w:shd w:val="clear" w:color="auto" w:fill="auto"/>
            <w:noWrap/>
            <w:vAlign w:val="center"/>
            <w:hideMark/>
          </w:tcPr>
          <w:p w:rsidR="00B165C2" w:rsidRPr="00A012FE" w:rsidRDefault="00B165C2" w:rsidP="007A106C">
            <w:pPr>
              <w:jc w:val="center"/>
              <w:rPr>
                <w:color w:val="000000"/>
                <w:sz w:val="20"/>
                <w:szCs w:val="20"/>
              </w:rPr>
            </w:pPr>
            <w:r w:rsidRPr="00A012FE">
              <w:rPr>
                <w:color w:val="000000"/>
                <w:sz w:val="20"/>
                <w:szCs w:val="20"/>
              </w:rPr>
              <w:t>12</w:t>
            </w:r>
          </w:p>
        </w:tc>
        <w:tc>
          <w:tcPr>
            <w:tcW w:w="1399"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Nedodržení požadavku na zákaz dvojího financování.</w:t>
            </w:r>
          </w:p>
        </w:tc>
        <w:tc>
          <w:tcPr>
            <w:tcW w:w="558"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0 %</w:t>
            </w:r>
          </w:p>
        </w:tc>
        <w:tc>
          <w:tcPr>
            <w:tcW w:w="697"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výše výdaje financovaného/uplatněného ze dvou/více veřejných zdrojů</w:t>
            </w:r>
          </w:p>
        </w:tc>
        <w:tc>
          <w:tcPr>
            <w:tcW w:w="1470"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 </w:t>
            </w:r>
          </w:p>
        </w:tc>
      </w:tr>
      <w:tr w:rsidR="00B165C2" w:rsidRPr="00A012FE" w:rsidTr="007A106C">
        <w:trPr>
          <w:trHeight w:val="765"/>
        </w:trPr>
        <w:tc>
          <w:tcPr>
            <w:tcW w:w="527" w:type="pct"/>
            <w:vMerge/>
            <w:vAlign w:val="center"/>
            <w:hideMark/>
          </w:tcPr>
          <w:p w:rsidR="00B165C2" w:rsidRPr="00A012FE" w:rsidRDefault="00B165C2" w:rsidP="007A106C">
            <w:pPr>
              <w:rPr>
                <w:color w:val="000000"/>
                <w:sz w:val="20"/>
                <w:szCs w:val="20"/>
              </w:rPr>
            </w:pPr>
          </w:p>
        </w:tc>
        <w:tc>
          <w:tcPr>
            <w:tcW w:w="349" w:type="pct"/>
            <w:shd w:val="clear" w:color="auto" w:fill="auto"/>
            <w:noWrap/>
            <w:vAlign w:val="center"/>
            <w:hideMark/>
          </w:tcPr>
          <w:p w:rsidR="00B165C2" w:rsidRPr="00A012FE" w:rsidRDefault="00B165C2" w:rsidP="007A106C">
            <w:pPr>
              <w:jc w:val="center"/>
              <w:rPr>
                <w:color w:val="000000"/>
                <w:sz w:val="20"/>
                <w:szCs w:val="20"/>
              </w:rPr>
            </w:pPr>
            <w:r w:rsidRPr="00A012FE">
              <w:rPr>
                <w:color w:val="000000"/>
                <w:sz w:val="20"/>
                <w:szCs w:val="20"/>
              </w:rPr>
              <w:t>13</w:t>
            </w:r>
          </w:p>
        </w:tc>
        <w:tc>
          <w:tcPr>
            <w:tcW w:w="1399"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Nenahlášení příjmů projektu (mimo kladné úroky z projektového bankovního účtu).</w:t>
            </w:r>
          </w:p>
        </w:tc>
        <w:tc>
          <w:tcPr>
            <w:tcW w:w="558"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0 %</w:t>
            </w:r>
          </w:p>
        </w:tc>
        <w:tc>
          <w:tcPr>
            <w:tcW w:w="697"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výše neodečteného nebo nenahlášeného příjmu</w:t>
            </w:r>
          </w:p>
        </w:tc>
        <w:tc>
          <w:tcPr>
            <w:tcW w:w="1470"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 </w:t>
            </w:r>
          </w:p>
        </w:tc>
      </w:tr>
      <w:tr w:rsidR="00B165C2" w:rsidRPr="00A012FE" w:rsidTr="007A106C">
        <w:trPr>
          <w:trHeight w:val="5865"/>
        </w:trPr>
        <w:tc>
          <w:tcPr>
            <w:tcW w:w="527" w:type="pct"/>
            <w:vMerge/>
            <w:vAlign w:val="center"/>
            <w:hideMark/>
          </w:tcPr>
          <w:p w:rsidR="00B165C2" w:rsidRPr="00A012FE" w:rsidRDefault="00B165C2" w:rsidP="007A106C">
            <w:pPr>
              <w:rPr>
                <w:color w:val="000000"/>
                <w:sz w:val="20"/>
                <w:szCs w:val="20"/>
              </w:rPr>
            </w:pPr>
          </w:p>
        </w:tc>
        <w:tc>
          <w:tcPr>
            <w:tcW w:w="349" w:type="pct"/>
            <w:shd w:val="clear" w:color="auto" w:fill="auto"/>
            <w:noWrap/>
            <w:vAlign w:val="center"/>
            <w:hideMark/>
          </w:tcPr>
          <w:p w:rsidR="00B165C2" w:rsidRPr="00A012FE" w:rsidRDefault="00B165C2" w:rsidP="007A106C">
            <w:pPr>
              <w:jc w:val="center"/>
              <w:rPr>
                <w:color w:val="000000"/>
                <w:sz w:val="20"/>
                <w:szCs w:val="20"/>
              </w:rPr>
            </w:pPr>
            <w:r w:rsidRPr="00A012FE">
              <w:rPr>
                <w:color w:val="000000"/>
                <w:sz w:val="20"/>
                <w:szCs w:val="20"/>
              </w:rPr>
              <w:t>14</w:t>
            </w:r>
          </w:p>
        </w:tc>
        <w:tc>
          <w:tcPr>
            <w:tcW w:w="1399"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Překročení nastavených limitů jednotlivých kapitol rozpočtu při závěrečném vyúčtování projektu nebo při provedení nepodstatné změny projektu.</w:t>
            </w:r>
          </w:p>
        </w:tc>
        <w:tc>
          <w:tcPr>
            <w:tcW w:w="558"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100 nebo 95 %</w:t>
            </w:r>
          </w:p>
        </w:tc>
        <w:tc>
          <w:tcPr>
            <w:tcW w:w="697"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částka překračující stanovený limit</w:t>
            </w:r>
          </w:p>
        </w:tc>
        <w:tc>
          <w:tcPr>
            <w:tcW w:w="1470" w:type="pct"/>
            <w:shd w:val="clear" w:color="000000" w:fill="FFFFFF"/>
            <w:vAlign w:val="center"/>
            <w:hideMark/>
          </w:tcPr>
          <w:p w:rsidR="00B165C2" w:rsidRPr="00A012FE" w:rsidRDefault="00B165C2" w:rsidP="007A106C">
            <w:pPr>
              <w:rPr>
                <w:color w:val="000000"/>
                <w:sz w:val="20"/>
                <w:szCs w:val="20"/>
              </w:rPr>
            </w:pPr>
            <w:r w:rsidRPr="00A012FE">
              <w:rPr>
                <w:color w:val="000000"/>
                <w:sz w:val="20"/>
                <w:szCs w:val="20"/>
              </w:rPr>
              <w:t>100 % lze prominout pouze v případě překročení limitů kapitol při závěrečném vyúčtování projektu vyjma případu překročení limitu 60</w:t>
            </w:r>
            <w:r>
              <w:rPr>
                <w:color w:val="000000"/>
                <w:sz w:val="20"/>
                <w:szCs w:val="20"/>
              </w:rPr>
              <w:t xml:space="preserve"> </w:t>
            </w:r>
            <w:r w:rsidRPr="00A012FE">
              <w:rPr>
                <w:color w:val="000000"/>
                <w:sz w:val="20"/>
                <w:szCs w:val="20"/>
              </w:rPr>
              <w:t>% u kapitoly „</w:t>
            </w:r>
            <w:r>
              <w:rPr>
                <w:color w:val="000000"/>
                <w:sz w:val="20"/>
                <w:szCs w:val="20"/>
              </w:rPr>
              <w:t>N</w:t>
            </w:r>
            <w:r w:rsidRPr="00A012FE">
              <w:rPr>
                <w:color w:val="000000"/>
                <w:sz w:val="20"/>
                <w:szCs w:val="20"/>
              </w:rPr>
              <w:t>ákup služeb“ u projektů aplikujících NN. Činí</w:t>
            </w:r>
            <w:r>
              <w:rPr>
                <w:color w:val="000000"/>
                <w:sz w:val="20"/>
                <w:szCs w:val="20"/>
              </w:rPr>
              <w:t>-</w:t>
            </w:r>
            <w:r w:rsidRPr="00A012FE">
              <w:rPr>
                <w:color w:val="000000"/>
                <w:sz w:val="20"/>
                <w:szCs w:val="20"/>
              </w:rPr>
              <w:t>li podíl kapitoly „</w:t>
            </w:r>
            <w:r>
              <w:rPr>
                <w:color w:val="000000"/>
                <w:sz w:val="20"/>
                <w:szCs w:val="20"/>
              </w:rPr>
              <w:t>N</w:t>
            </w:r>
            <w:r w:rsidRPr="00A012FE">
              <w:rPr>
                <w:color w:val="000000"/>
                <w:sz w:val="20"/>
                <w:szCs w:val="20"/>
              </w:rPr>
              <w:t>ákup služeb“ u projektu aplikujícího NN více než 60</w:t>
            </w:r>
            <w:r>
              <w:rPr>
                <w:color w:val="000000"/>
                <w:sz w:val="20"/>
                <w:szCs w:val="20"/>
              </w:rPr>
              <w:t xml:space="preserve"> </w:t>
            </w:r>
            <w:r w:rsidRPr="00A012FE">
              <w:rPr>
                <w:color w:val="000000"/>
                <w:sz w:val="20"/>
                <w:szCs w:val="20"/>
              </w:rPr>
              <w:t>%, lze prominout pouze tu část odvodu, jejímž započtením do způsobilých výdajů projektu nedojde k překročení podílů 59</w:t>
            </w:r>
            <w:r>
              <w:rPr>
                <w:color w:val="000000"/>
                <w:sz w:val="20"/>
                <w:szCs w:val="20"/>
              </w:rPr>
              <w:t xml:space="preserve"> % kapitoly „N</w:t>
            </w:r>
            <w:r w:rsidRPr="00A012FE">
              <w:rPr>
                <w:color w:val="000000"/>
                <w:sz w:val="20"/>
                <w:szCs w:val="20"/>
              </w:rPr>
              <w:t>ákup služeb“ na celkových způsobilých výdajích projektu.  Byl</w:t>
            </w:r>
            <w:r>
              <w:rPr>
                <w:color w:val="000000"/>
                <w:sz w:val="20"/>
                <w:szCs w:val="20"/>
              </w:rPr>
              <w:t>-</w:t>
            </w:r>
            <w:r w:rsidRPr="00A012FE">
              <w:rPr>
                <w:color w:val="000000"/>
                <w:sz w:val="20"/>
                <w:szCs w:val="20"/>
              </w:rPr>
              <w:t xml:space="preserve">li překročen limit v průběhu realizace projektu při provedení nepodstatné změny rozpočtu, pak je možné prominout 95 %.  </w:t>
            </w:r>
          </w:p>
        </w:tc>
      </w:tr>
      <w:tr w:rsidR="00B165C2" w:rsidRPr="00A012FE" w:rsidTr="007A106C">
        <w:trPr>
          <w:trHeight w:val="765"/>
        </w:trPr>
        <w:tc>
          <w:tcPr>
            <w:tcW w:w="527" w:type="pct"/>
            <w:vMerge/>
            <w:vAlign w:val="center"/>
            <w:hideMark/>
          </w:tcPr>
          <w:p w:rsidR="00B165C2" w:rsidRPr="00A012FE" w:rsidRDefault="00B165C2" w:rsidP="007A106C">
            <w:pPr>
              <w:rPr>
                <w:color w:val="000000"/>
                <w:sz w:val="20"/>
                <w:szCs w:val="20"/>
              </w:rPr>
            </w:pPr>
          </w:p>
        </w:tc>
        <w:tc>
          <w:tcPr>
            <w:tcW w:w="349" w:type="pct"/>
            <w:shd w:val="clear" w:color="auto" w:fill="auto"/>
            <w:noWrap/>
            <w:vAlign w:val="center"/>
            <w:hideMark/>
          </w:tcPr>
          <w:p w:rsidR="00B165C2" w:rsidRPr="00A012FE" w:rsidRDefault="00B165C2" w:rsidP="007A106C">
            <w:pPr>
              <w:jc w:val="center"/>
              <w:rPr>
                <w:color w:val="000000"/>
                <w:sz w:val="20"/>
                <w:szCs w:val="20"/>
              </w:rPr>
            </w:pPr>
            <w:r w:rsidRPr="00A012FE">
              <w:rPr>
                <w:color w:val="000000"/>
                <w:sz w:val="20"/>
                <w:szCs w:val="20"/>
              </w:rPr>
              <w:t>15</w:t>
            </w:r>
          </w:p>
        </w:tc>
        <w:tc>
          <w:tcPr>
            <w:tcW w:w="1399"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Při závěrečném vyúčtování zjištěno překročení stanoveného limitu při čerpání nepřímých nákladů nebo limitu pro křížové financování.</w:t>
            </w:r>
          </w:p>
        </w:tc>
        <w:tc>
          <w:tcPr>
            <w:tcW w:w="558"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0 %</w:t>
            </w:r>
          </w:p>
        </w:tc>
        <w:tc>
          <w:tcPr>
            <w:tcW w:w="697"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částka překračující stanovený limit</w:t>
            </w:r>
          </w:p>
        </w:tc>
        <w:tc>
          <w:tcPr>
            <w:tcW w:w="1470" w:type="pct"/>
            <w:shd w:val="clear" w:color="000000" w:fill="FFFFFF"/>
            <w:noWrap/>
            <w:vAlign w:val="center"/>
            <w:hideMark/>
          </w:tcPr>
          <w:p w:rsidR="00B165C2" w:rsidRPr="00A012FE" w:rsidRDefault="00B165C2" w:rsidP="007A106C">
            <w:pPr>
              <w:rPr>
                <w:color w:val="000000"/>
                <w:sz w:val="20"/>
                <w:szCs w:val="20"/>
              </w:rPr>
            </w:pPr>
            <w:r w:rsidRPr="00A012FE">
              <w:rPr>
                <w:color w:val="000000"/>
                <w:sz w:val="20"/>
                <w:szCs w:val="20"/>
              </w:rPr>
              <w:t> </w:t>
            </w:r>
          </w:p>
        </w:tc>
      </w:tr>
      <w:tr w:rsidR="00B165C2" w:rsidRPr="00A012FE" w:rsidTr="007A106C">
        <w:trPr>
          <w:trHeight w:val="750"/>
        </w:trPr>
        <w:tc>
          <w:tcPr>
            <w:tcW w:w="527" w:type="pct"/>
            <w:vMerge/>
            <w:vAlign w:val="center"/>
            <w:hideMark/>
          </w:tcPr>
          <w:p w:rsidR="00B165C2" w:rsidRPr="00A012FE" w:rsidRDefault="00B165C2" w:rsidP="007A106C">
            <w:pPr>
              <w:rPr>
                <w:color w:val="000000"/>
                <w:sz w:val="20"/>
                <w:szCs w:val="20"/>
              </w:rPr>
            </w:pPr>
          </w:p>
        </w:tc>
        <w:tc>
          <w:tcPr>
            <w:tcW w:w="349" w:type="pct"/>
            <w:shd w:val="clear" w:color="auto" w:fill="auto"/>
            <w:noWrap/>
            <w:vAlign w:val="center"/>
            <w:hideMark/>
          </w:tcPr>
          <w:p w:rsidR="00B165C2" w:rsidRPr="00A012FE" w:rsidRDefault="00B165C2" w:rsidP="007A106C">
            <w:pPr>
              <w:jc w:val="center"/>
              <w:rPr>
                <w:color w:val="000000"/>
                <w:sz w:val="20"/>
                <w:szCs w:val="20"/>
              </w:rPr>
            </w:pPr>
            <w:r w:rsidRPr="00A012FE">
              <w:rPr>
                <w:color w:val="000000"/>
                <w:sz w:val="20"/>
                <w:szCs w:val="20"/>
              </w:rPr>
              <w:t>16</w:t>
            </w:r>
          </w:p>
        </w:tc>
        <w:tc>
          <w:tcPr>
            <w:tcW w:w="1399"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Nezřízení zvláštního bankovního účtu finančního partnera – pokud byla zjednána náprava.</w:t>
            </w:r>
          </w:p>
        </w:tc>
        <w:tc>
          <w:tcPr>
            <w:tcW w:w="558"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95 – 99%</w:t>
            </w:r>
          </w:p>
        </w:tc>
        <w:tc>
          <w:tcPr>
            <w:tcW w:w="697"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dotace</w:t>
            </w:r>
          </w:p>
        </w:tc>
        <w:tc>
          <w:tcPr>
            <w:tcW w:w="1470"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 </w:t>
            </w:r>
          </w:p>
        </w:tc>
      </w:tr>
      <w:tr w:rsidR="00B165C2" w:rsidRPr="00A012FE" w:rsidTr="007A106C">
        <w:trPr>
          <w:trHeight w:val="510"/>
        </w:trPr>
        <w:tc>
          <w:tcPr>
            <w:tcW w:w="527" w:type="pct"/>
            <w:vMerge/>
            <w:vAlign w:val="center"/>
            <w:hideMark/>
          </w:tcPr>
          <w:p w:rsidR="00B165C2" w:rsidRPr="00A012FE" w:rsidRDefault="00B165C2" w:rsidP="007A106C">
            <w:pPr>
              <w:rPr>
                <w:color w:val="000000"/>
                <w:sz w:val="20"/>
                <w:szCs w:val="20"/>
              </w:rPr>
            </w:pPr>
          </w:p>
        </w:tc>
        <w:tc>
          <w:tcPr>
            <w:tcW w:w="349" w:type="pct"/>
            <w:shd w:val="clear" w:color="auto" w:fill="auto"/>
            <w:noWrap/>
            <w:vAlign w:val="center"/>
            <w:hideMark/>
          </w:tcPr>
          <w:p w:rsidR="00B165C2" w:rsidRPr="00A012FE" w:rsidRDefault="00B165C2" w:rsidP="007A106C">
            <w:pPr>
              <w:jc w:val="center"/>
              <w:rPr>
                <w:color w:val="000000"/>
                <w:sz w:val="20"/>
                <w:szCs w:val="20"/>
              </w:rPr>
            </w:pPr>
            <w:r w:rsidRPr="00A012FE">
              <w:rPr>
                <w:color w:val="000000"/>
                <w:sz w:val="20"/>
                <w:szCs w:val="20"/>
              </w:rPr>
              <w:t>17</w:t>
            </w:r>
          </w:p>
        </w:tc>
        <w:tc>
          <w:tcPr>
            <w:tcW w:w="1399"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Nezřízení zvláštního bankovního účtu příjemce – pokud byla zjednána náprava.</w:t>
            </w:r>
          </w:p>
        </w:tc>
        <w:tc>
          <w:tcPr>
            <w:tcW w:w="558"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95 – 99 %</w:t>
            </w:r>
          </w:p>
        </w:tc>
        <w:tc>
          <w:tcPr>
            <w:tcW w:w="697"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dotace</w:t>
            </w:r>
          </w:p>
        </w:tc>
        <w:tc>
          <w:tcPr>
            <w:tcW w:w="1470"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 </w:t>
            </w:r>
          </w:p>
        </w:tc>
      </w:tr>
      <w:tr w:rsidR="00B165C2" w:rsidRPr="00A012FE" w:rsidTr="007A106C">
        <w:trPr>
          <w:trHeight w:val="255"/>
        </w:trPr>
        <w:tc>
          <w:tcPr>
            <w:tcW w:w="527" w:type="pct"/>
            <w:vMerge/>
            <w:vAlign w:val="center"/>
            <w:hideMark/>
          </w:tcPr>
          <w:p w:rsidR="00B165C2" w:rsidRPr="00A012FE" w:rsidRDefault="00B165C2" w:rsidP="007A106C">
            <w:pPr>
              <w:rPr>
                <w:color w:val="000000"/>
                <w:sz w:val="20"/>
                <w:szCs w:val="20"/>
              </w:rPr>
            </w:pPr>
          </w:p>
        </w:tc>
        <w:tc>
          <w:tcPr>
            <w:tcW w:w="349" w:type="pct"/>
            <w:shd w:val="clear" w:color="auto" w:fill="auto"/>
            <w:noWrap/>
            <w:vAlign w:val="center"/>
            <w:hideMark/>
          </w:tcPr>
          <w:p w:rsidR="00B165C2" w:rsidRPr="00A012FE" w:rsidRDefault="00B165C2" w:rsidP="007A106C">
            <w:pPr>
              <w:jc w:val="center"/>
              <w:rPr>
                <w:color w:val="000000"/>
                <w:sz w:val="20"/>
                <w:szCs w:val="20"/>
              </w:rPr>
            </w:pPr>
            <w:r w:rsidRPr="00A012FE">
              <w:rPr>
                <w:color w:val="000000"/>
                <w:sz w:val="20"/>
                <w:szCs w:val="20"/>
              </w:rPr>
              <w:t>18</w:t>
            </w:r>
          </w:p>
        </w:tc>
        <w:tc>
          <w:tcPr>
            <w:tcW w:w="1399"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Nevrácení přeplatku z finančního vypořádání.</w:t>
            </w:r>
          </w:p>
        </w:tc>
        <w:tc>
          <w:tcPr>
            <w:tcW w:w="558"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0 %</w:t>
            </w:r>
          </w:p>
        </w:tc>
        <w:tc>
          <w:tcPr>
            <w:tcW w:w="697"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částka přeplatku</w:t>
            </w:r>
          </w:p>
        </w:tc>
        <w:tc>
          <w:tcPr>
            <w:tcW w:w="1470"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 </w:t>
            </w:r>
          </w:p>
        </w:tc>
      </w:tr>
      <w:tr w:rsidR="00B165C2" w:rsidRPr="00A012FE" w:rsidTr="007A106C">
        <w:trPr>
          <w:trHeight w:val="1020"/>
        </w:trPr>
        <w:tc>
          <w:tcPr>
            <w:tcW w:w="527" w:type="pct"/>
            <w:vMerge/>
            <w:vAlign w:val="center"/>
            <w:hideMark/>
          </w:tcPr>
          <w:p w:rsidR="00B165C2" w:rsidRPr="00A012FE" w:rsidRDefault="00B165C2" w:rsidP="007A106C">
            <w:pPr>
              <w:rPr>
                <w:color w:val="000000"/>
                <w:sz w:val="20"/>
                <w:szCs w:val="20"/>
              </w:rPr>
            </w:pPr>
          </w:p>
        </w:tc>
        <w:tc>
          <w:tcPr>
            <w:tcW w:w="349" w:type="pct"/>
            <w:vMerge w:val="restart"/>
            <w:shd w:val="clear" w:color="auto" w:fill="auto"/>
            <w:noWrap/>
            <w:vAlign w:val="center"/>
            <w:hideMark/>
          </w:tcPr>
          <w:p w:rsidR="00B165C2" w:rsidRPr="00A012FE" w:rsidRDefault="00B165C2" w:rsidP="007A106C">
            <w:pPr>
              <w:jc w:val="center"/>
              <w:rPr>
                <w:color w:val="000000"/>
                <w:sz w:val="20"/>
                <w:szCs w:val="20"/>
              </w:rPr>
            </w:pPr>
            <w:r w:rsidRPr="00A012FE">
              <w:rPr>
                <w:color w:val="000000"/>
                <w:sz w:val="20"/>
                <w:szCs w:val="20"/>
              </w:rPr>
              <w:t>19</w:t>
            </w:r>
          </w:p>
        </w:tc>
        <w:tc>
          <w:tcPr>
            <w:tcW w:w="1399" w:type="pct"/>
            <w:vMerge w:val="restar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Nezajištění povinné udržitelnosti projektu.</w:t>
            </w:r>
          </w:p>
        </w:tc>
        <w:tc>
          <w:tcPr>
            <w:tcW w:w="558" w:type="pct"/>
            <w:vMerge w:val="restar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0 – 99 %</w:t>
            </w:r>
          </w:p>
        </w:tc>
        <w:tc>
          <w:tcPr>
            <w:tcW w:w="697" w:type="pct"/>
            <w:vMerge w:val="restar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dotace</w:t>
            </w:r>
          </w:p>
        </w:tc>
        <w:tc>
          <w:tcPr>
            <w:tcW w:w="1470"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Bod bude použit v případě porušení povinnosti udržitelnosti stanovené poskytovatelem.</w:t>
            </w:r>
          </w:p>
        </w:tc>
      </w:tr>
      <w:tr w:rsidR="00B165C2" w:rsidRPr="00A012FE" w:rsidTr="007A106C">
        <w:trPr>
          <w:trHeight w:val="1530"/>
        </w:trPr>
        <w:tc>
          <w:tcPr>
            <w:tcW w:w="527" w:type="pct"/>
            <w:vMerge/>
            <w:vAlign w:val="center"/>
            <w:hideMark/>
          </w:tcPr>
          <w:p w:rsidR="00B165C2" w:rsidRPr="00A012FE" w:rsidRDefault="00B165C2" w:rsidP="007A106C">
            <w:pPr>
              <w:rPr>
                <w:color w:val="000000"/>
                <w:sz w:val="20"/>
                <w:szCs w:val="20"/>
              </w:rPr>
            </w:pPr>
          </w:p>
        </w:tc>
        <w:tc>
          <w:tcPr>
            <w:tcW w:w="349" w:type="pct"/>
            <w:vMerge/>
            <w:vAlign w:val="center"/>
            <w:hideMark/>
          </w:tcPr>
          <w:p w:rsidR="00B165C2" w:rsidRPr="00A012FE" w:rsidRDefault="00B165C2" w:rsidP="007A106C">
            <w:pPr>
              <w:rPr>
                <w:color w:val="000000"/>
                <w:sz w:val="20"/>
                <w:szCs w:val="20"/>
              </w:rPr>
            </w:pPr>
          </w:p>
        </w:tc>
        <w:tc>
          <w:tcPr>
            <w:tcW w:w="1399" w:type="pct"/>
            <w:vMerge/>
            <w:vAlign w:val="center"/>
            <w:hideMark/>
          </w:tcPr>
          <w:p w:rsidR="00B165C2" w:rsidRPr="00A012FE" w:rsidRDefault="00B165C2" w:rsidP="007A106C">
            <w:pPr>
              <w:rPr>
                <w:color w:val="000000"/>
                <w:sz w:val="20"/>
                <w:szCs w:val="20"/>
              </w:rPr>
            </w:pPr>
          </w:p>
        </w:tc>
        <w:tc>
          <w:tcPr>
            <w:tcW w:w="558" w:type="pct"/>
            <w:vMerge/>
            <w:vAlign w:val="center"/>
            <w:hideMark/>
          </w:tcPr>
          <w:p w:rsidR="00B165C2" w:rsidRPr="00A012FE" w:rsidRDefault="00B165C2" w:rsidP="007A106C">
            <w:pPr>
              <w:rPr>
                <w:color w:val="000000"/>
                <w:sz w:val="20"/>
                <w:szCs w:val="20"/>
              </w:rPr>
            </w:pPr>
          </w:p>
        </w:tc>
        <w:tc>
          <w:tcPr>
            <w:tcW w:w="697" w:type="pct"/>
            <w:vMerge/>
            <w:vAlign w:val="center"/>
            <w:hideMark/>
          </w:tcPr>
          <w:p w:rsidR="00B165C2" w:rsidRPr="00A012FE" w:rsidRDefault="00B165C2" w:rsidP="007A106C">
            <w:pPr>
              <w:rPr>
                <w:color w:val="000000"/>
                <w:sz w:val="20"/>
                <w:szCs w:val="20"/>
              </w:rPr>
            </w:pPr>
          </w:p>
        </w:tc>
        <w:tc>
          <w:tcPr>
            <w:tcW w:w="1470"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 xml:space="preserve">Prominutí je však nepřípustné, pokud se jedná o nedodržení povinnosti zachování stálosti operací dle čl. 57 nařízení rady (ES) č. 1083/2006. </w:t>
            </w:r>
          </w:p>
        </w:tc>
      </w:tr>
      <w:tr w:rsidR="00B165C2" w:rsidRPr="00A012FE" w:rsidTr="007A106C">
        <w:trPr>
          <w:trHeight w:val="1275"/>
        </w:trPr>
        <w:tc>
          <w:tcPr>
            <w:tcW w:w="527" w:type="pct"/>
            <w:vMerge/>
            <w:vAlign w:val="center"/>
            <w:hideMark/>
          </w:tcPr>
          <w:p w:rsidR="00B165C2" w:rsidRPr="00A012FE" w:rsidRDefault="00B165C2" w:rsidP="007A106C">
            <w:pPr>
              <w:rPr>
                <w:color w:val="000000"/>
                <w:sz w:val="20"/>
                <w:szCs w:val="20"/>
              </w:rPr>
            </w:pPr>
          </w:p>
        </w:tc>
        <w:tc>
          <w:tcPr>
            <w:tcW w:w="349" w:type="pct"/>
            <w:vMerge/>
            <w:vAlign w:val="center"/>
            <w:hideMark/>
          </w:tcPr>
          <w:p w:rsidR="00B165C2" w:rsidRPr="00A012FE" w:rsidRDefault="00B165C2" w:rsidP="007A106C">
            <w:pPr>
              <w:rPr>
                <w:color w:val="000000"/>
                <w:sz w:val="20"/>
                <w:szCs w:val="20"/>
              </w:rPr>
            </w:pPr>
          </w:p>
        </w:tc>
        <w:tc>
          <w:tcPr>
            <w:tcW w:w="1399" w:type="pct"/>
            <w:vMerge/>
            <w:vAlign w:val="center"/>
            <w:hideMark/>
          </w:tcPr>
          <w:p w:rsidR="00B165C2" w:rsidRPr="00A012FE" w:rsidRDefault="00B165C2" w:rsidP="007A106C">
            <w:pPr>
              <w:rPr>
                <w:color w:val="000000"/>
                <w:sz w:val="20"/>
                <w:szCs w:val="20"/>
              </w:rPr>
            </w:pPr>
          </w:p>
        </w:tc>
        <w:tc>
          <w:tcPr>
            <w:tcW w:w="558" w:type="pct"/>
            <w:vMerge/>
            <w:vAlign w:val="center"/>
            <w:hideMark/>
          </w:tcPr>
          <w:p w:rsidR="00B165C2" w:rsidRPr="00A012FE" w:rsidRDefault="00B165C2" w:rsidP="007A106C">
            <w:pPr>
              <w:rPr>
                <w:color w:val="000000"/>
                <w:sz w:val="20"/>
                <w:szCs w:val="20"/>
              </w:rPr>
            </w:pPr>
          </w:p>
        </w:tc>
        <w:tc>
          <w:tcPr>
            <w:tcW w:w="697" w:type="pct"/>
            <w:vMerge/>
            <w:vAlign w:val="center"/>
            <w:hideMark/>
          </w:tcPr>
          <w:p w:rsidR="00B165C2" w:rsidRPr="00A012FE" w:rsidRDefault="00B165C2" w:rsidP="007A106C">
            <w:pPr>
              <w:rPr>
                <w:color w:val="000000"/>
                <w:sz w:val="20"/>
                <w:szCs w:val="20"/>
              </w:rPr>
            </w:pPr>
          </w:p>
        </w:tc>
        <w:tc>
          <w:tcPr>
            <w:tcW w:w="1470" w:type="pct"/>
            <w:shd w:val="clear" w:color="auto" w:fill="auto"/>
            <w:vAlign w:val="center"/>
            <w:hideMark/>
          </w:tcPr>
          <w:p w:rsidR="00B165C2" w:rsidRDefault="00B165C2" w:rsidP="007A106C">
            <w:pPr>
              <w:rPr>
                <w:color w:val="000000"/>
                <w:sz w:val="20"/>
                <w:szCs w:val="20"/>
              </w:rPr>
            </w:pPr>
            <w:r w:rsidRPr="00A012FE">
              <w:rPr>
                <w:color w:val="000000"/>
                <w:sz w:val="20"/>
                <w:szCs w:val="20"/>
              </w:rPr>
              <w:t xml:space="preserve">Procento prominutí bude odpovídat procentu ze stanovené doby, po kterou byla udržitelnost naplněna. </w:t>
            </w:r>
          </w:p>
          <w:p w:rsidR="00B165C2" w:rsidRPr="00A012FE" w:rsidRDefault="00B165C2" w:rsidP="007A106C">
            <w:pPr>
              <w:rPr>
                <w:color w:val="000000"/>
                <w:sz w:val="20"/>
                <w:szCs w:val="20"/>
              </w:rPr>
            </w:pPr>
            <w:r w:rsidRPr="00A012FE">
              <w:rPr>
                <w:color w:val="000000"/>
                <w:sz w:val="20"/>
                <w:szCs w:val="20"/>
              </w:rPr>
              <w:t xml:space="preserve">Příklad: </w:t>
            </w:r>
          </w:p>
        </w:tc>
      </w:tr>
      <w:tr w:rsidR="00B165C2" w:rsidRPr="00A012FE" w:rsidTr="007A106C">
        <w:trPr>
          <w:trHeight w:val="1275"/>
        </w:trPr>
        <w:tc>
          <w:tcPr>
            <w:tcW w:w="527" w:type="pct"/>
            <w:vMerge/>
            <w:vAlign w:val="center"/>
            <w:hideMark/>
          </w:tcPr>
          <w:p w:rsidR="00B165C2" w:rsidRPr="00A012FE" w:rsidRDefault="00B165C2" w:rsidP="007A106C">
            <w:pPr>
              <w:rPr>
                <w:color w:val="000000"/>
                <w:sz w:val="20"/>
                <w:szCs w:val="20"/>
              </w:rPr>
            </w:pPr>
          </w:p>
        </w:tc>
        <w:tc>
          <w:tcPr>
            <w:tcW w:w="349" w:type="pct"/>
            <w:vMerge/>
            <w:vAlign w:val="center"/>
            <w:hideMark/>
          </w:tcPr>
          <w:p w:rsidR="00B165C2" w:rsidRPr="00A012FE" w:rsidRDefault="00B165C2" w:rsidP="007A106C">
            <w:pPr>
              <w:rPr>
                <w:color w:val="000000"/>
                <w:sz w:val="20"/>
                <w:szCs w:val="20"/>
              </w:rPr>
            </w:pPr>
          </w:p>
        </w:tc>
        <w:tc>
          <w:tcPr>
            <w:tcW w:w="1399" w:type="pct"/>
            <w:vMerge/>
            <w:vAlign w:val="center"/>
            <w:hideMark/>
          </w:tcPr>
          <w:p w:rsidR="00B165C2" w:rsidRPr="00A012FE" w:rsidRDefault="00B165C2" w:rsidP="007A106C">
            <w:pPr>
              <w:rPr>
                <w:color w:val="000000"/>
                <w:sz w:val="20"/>
                <w:szCs w:val="20"/>
              </w:rPr>
            </w:pPr>
          </w:p>
        </w:tc>
        <w:tc>
          <w:tcPr>
            <w:tcW w:w="558" w:type="pct"/>
            <w:vMerge/>
            <w:vAlign w:val="center"/>
            <w:hideMark/>
          </w:tcPr>
          <w:p w:rsidR="00B165C2" w:rsidRPr="00A012FE" w:rsidRDefault="00B165C2" w:rsidP="007A106C">
            <w:pPr>
              <w:rPr>
                <w:color w:val="000000"/>
                <w:sz w:val="20"/>
                <w:szCs w:val="20"/>
              </w:rPr>
            </w:pPr>
          </w:p>
        </w:tc>
        <w:tc>
          <w:tcPr>
            <w:tcW w:w="697" w:type="pct"/>
            <w:vMerge/>
            <w:vAlign w:val="center"/>
            <w:hideMark/>
          </w:tcPr>
          <w:p w:rsidR="00B165C2" w:rsidRPr="00A012FE" w:rsidRDefault="00B165C2" w:rsidP="007A106C">
            <w:pPr>
              <w:rPr>
                <w:color w:val="000000"/>
                <w:sz w:val="20"/>
                <w:szCs w:val="20"/>
              </w:rPr>
            </w:pPr>
          </w:p>
        </w:tc>
        <w:tc>
          <w:tcPr>
            <w:tcW w:w="1470"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Udržitelnost stanovena v délce 4 roky. Udržitelnost byla příjemcem zajištěna pouze po dobu 1 roku. Prominutí tedy činí 25 %.</w:t>
            </w:r>
          </w:p>
        </w:tc>
      </w:tr>
      <w:tr w:rsidR="00B165C2" w:rsidRPr="00A012FE" w:rsidTr="007A106C">
        <w:trPr>
          <w:trHeight w:val="1020"/>
        </w:trPr>
        <w:tc>
          <w:tcPr>
            <w:tcW w:w="527" w:type="pct"/>
            <w:vMerge/>
            <w:vAlign w:val="center"/>
            <w:hideMark/>
          </w:tcPr>
          <w:p w:rsidR="00B165C2" w:rsidRPr="00A012FE" w:rsidRDefault="00B165C2" w:rsidP="007A106C">
            <w:pPr>
              <w:rPr>
                <w:color w:val="000000"/>
                <w:sz w:val="20"/>
                <w:szCs w:val="20"/>
              </w:rPr>
            </w:pPr>
          </w:p>
        </w:tc>
        <w:tc>
          <w:tcPr>
            <w:tcW w:w="349" w:type="pct"/>
            <w:vMerge/>
            <w:vAlign w:val="center"/>
            <w:hideMark/>
          </w:tcPr>
          <w:p w:rsidR="00B165C2" w:rsidRPr="00A012FE" w:rsidRDefault="00B165C2" w:rsidP="007A106C">
            <w:pPr>
              <w:rPr>
                <w:color w:val="000000"/>
                <w:sz w:val="20"/>
                <w:szCs w:val="20"/>
              </w:rPr>
            </w:pPr>
          </w:p>
        </w:tc>
        <w:tc>
          <w:tcPr>
            <w:tcW w:w="1399" w:type="pct"/>
            <w:vMerge/>
            <w:vAlign w:val="center"/>
            <w:hideMark/>
          </w:tcPr>
          <w:p w:rsidR="00B165C2" w:rsidRPr="00A012FE" w:rsidRDefault="00B165C2" w:rsidP="007A106C">
            <w:pPr>
              <w:rPr>
                <w:color w:val="000000"/>
                <w:sz w:val="20"/>
                <w:szCs w:val="20"/>
              </w:rPr>
            </w:pPr>
          </w:p>
        </w:tc>
        <w:tc>
          <w:tcPr>
            <w:tcW w:w="558" w:type="pct"/>
            <w:vMerge/>
            <w:vAlign w:val="center"/>
            <w:hideMark/>
          </w:tcPr>
          <w:p w:rsidR="00B165C2" w:rsidRPr="00A012FE" w:rsidRDefault="00B165C2" w:rsidP="007A106C">
            <w:pPr>
              <w:rPr>
                <w:color w:val="000000"/>
                <w:sz w:val="20"/>
                <w:szCs w:val="20"/>
              </w:rPr>
            </w:pPr>
          </w:p>
        </w:tc>
        <w:tc>
          <w:tcPr>
            <w:tcW w:w="697" w:type="pct"/>
            <w:vMerge/>
            <w:vAlign w:val="center"/>
            <w:hideMark/>
          </w:tcPr>
          <w:p w:rsidR="00B165C2" w:rsidRPr="00A012FE" w:rsidRDefault="00B165C2" w:rsidP="007A106C">
            <w:pPr>
              <w:rPr>
                <w:color w:val="000000"/>
                <w:sz w:val="20"/>
                <w:szCs w:val="20"/>
              </w:rPr>
            </w:pPr>
          </w:p>
        </w:tc>
        <w:tc>
          <w:tcPr>
            <w:tcW w:w="1470" w:type="pct"/>
            <w:shd w:val="clear" w:color="auto" w:fill="auto"/>
            <w:vAlign w:val="center"/>
            <w:hideMark/>
          </w:tcPr>
          <w:p w:rsidR="00B165C2" w:rsidRPr="00A012FE" w:rsidRDefault="00B165C2" w:rsidP="007A106C">
            <w:pPr>
              <w:rPr>
                <w:color w:val="000000"/>
                <w:sz w:val="20"/>
                <w:szCs w:val="20"/>
              </w:rPr>
            </w:pPr>
            <w:r>
              <w:rPr>
                <w:color w:val="000000"/>
                <w:sz w:val="20"/>
                <w:szCs w:val="20"/>
              </w:rPr>
              <w:t>Z věcného hlediska, je-</w:t>
            </w:r>
            <w:r w:rsidRPr="00A012FE">
              <w:rPr>
                <w:color w:val="000000"/>
                <w:sz w:val="20"/>
                <w:szCs w:val="20"/>
              </w:rPr>
              <w:t xml:space="preserve">li udržitelnost plněna jen částečně, užije se obdobný postup. </w:t>
            </w:r>
          </w:p>
        </w:tc>
      </w:tr>
      <w:tr w:rsidR="00B165C2" w:rsidRPr="00A012FE" w:rsidTr="007A106C">
        <w:trPr>
          <w:trHeight w:val="255"/>
        </w:trPr>
        <w:tc>
          <w:tcPr>
            <w:tcW w:w="527" w:type="pct"/>
            <w:vMerge/>
            <w:vAlign w:val="center"/>
            <w:hideMark/>
          </w:tcPr>
          <w:p w:rsidR="00B165C2" w:rsidRPr="00A012FE" w:rsidRDefault="00B165C2" w:rsidP="007A106C">
            <w:pPr>
              <w:rPr>
                <w:color w:val="000000"/>
                <w:sz w:val="20"/>
                <w:szCs w:val="20"/>
              </w:rPr>
            </w:pPr>
          </w:p>
        </w:tc>
        <w:tc>
          <w:tcPr>
            <w:tcW w:w="349" w:type="pct"/>
            <w:vMerge/>
            <w:vAlign w:val="center"/>
            <w:hideMark/>
          </w:tcPr>
          <w:p w:rsidR="00B165C2" w:rsidRPr="00A012FE" w:rsidRDefault="00B165C2" w:rsidP="007A106C">
            <w:pPr>
              <w:rPr>
                <w:color w:val="000000"/>
                <w:sz w:val="20"/>
                <w:szCs w:val="20"/>
              </w:rPr>
            </w:pPr>
          </w:p>
        </w:tc>
        <w:tc>
          <w:tcPr>
            <w:tcW w:w="1399" w:type="pct"/>
            <w:vMerge/>
            <w:vAlign w:val="center"/>
            <w:hideMark/>
          </w:tcPr>
          <w:p w:rsidR="00B165C2" w:rsidRPr="00A012FE" w:rsidRDefault="00B165C2" w:rsidP="007A106C">
            <w:pPr>
              <w:rPr>
                <w:color w:val="000000"/>
                <w:sz w:val="20"/>
                <w:szCs w:val="20"/>
              </w:rPr>
            </w:pPr>
          </w:p>
        </w:tc>
        <w:tc>
          <w:tcPr>
            <w:tcW w:w="558" w:type="pct"/>
            <w:vMerge/>
            <w:vAlign w:val="center"/>
            <w:hideMark/>
          </w:tcPr>
          <w:p w:rsidR="00B165C2" w:rsidRPr="00A012FE" w:rsidRDefault="00B165C2" w:rsidP="007A106C">
            <w:pPr>
              <w:rPr>
                <w:color w:val="000000"/>
                <w:sz w:val="20"/>
                <w:szCs w:val="20"/>
              </w:rPr>
            </w:pPr>
          </w:p>
        </w:tc>
        <w:tc>
          <w:tcPr>
            <w:tcW w:w="697" w:type="pct"/>
            <w:vMerge/>
            <w:vAlign w:val="center"/>
            <w:hideMark/>
          </w:tcPr>
          <w:p w:rsidR="00B165C2" w:rsidRPr="00A012FE" w:rsidRDefault="00B165C2" w:rsidP="007A106C">
            <w:pPr>
              <w:rPr>
                <w:color w:val="000000"/>
                <w:sz w:val="20"/>
                <w:szCs w:val="20"/>
              </w:rPr>
            </w:pPr>
          </w:p>
        </w:tc>
        <w:tc>
          <w:tcPr>
            <w:tcW w:w="1470"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Příklad:</w:t>
            </w:r>
          </w:p>
        </w:tc>
      </w:tr>
      <w:tr w:rsidR="00B165C2" w:rsidRPr="00A012FE" w:rsidTr="007A106C">
        <w:trPr>
          <w:trHeight w:val="1275"/>
        </w:trPr>
        <w:tc>
          <w:tcPr>
            <w:tcW w:w="527" w:type="pct"/>
            <w:vMerge/>
            <w:vAlign w:val="center"/>
            <w:hideMark/>
          </w:tcPr>
          <w:p w:rsidR="00B165C2" w:rsidRPr="00A012FE" w:rsidRDefault="00B165C2" w:rsidP="007A106C">
            <w:pPr>
              <w:rPr>
                <w:color w:val="000000"/>
                <w:sz w:val="20"/>
                <w:szCs w:val="20"/>
              </w:rPr>
            </w:pPr>
          </w:p>
        </w:tc>
        <w:tc>
          <w:tcPr>
            <w:tcW w:w="349" w:type="pct"/>
            <w:vMerge/>
            <w:vAlign w:val="center"/>
            <w:hideMark/>
          </w:tcPr>
          <w:p w:rsidR="00B165C2" w:rsidRPr="00A012FE" w:rsidRDefault="00B165C2" w:rsidP="007A106C">
            <w:pPr>
              <w:rPr>
                <w:color w:val="000000"/>
                <w:sz w:val="20"/>
                <w:szCs w:val="20"/>
              </w:rPr>
            </w:pPr>
          </w:p>
        </w:tc>
        <w:tc>
          <w:tcPr>
            <w:tcW w:w="1399" w:type="pct"/>
            <w:vMerge/>
            <w:vAlign w:val="center"/>
            <w:hideMark/>
          </w:tcPr>
          <w:p w:rsidR="00B165C2" w:rsidRPr="00A012FE" w:rsidRDefault="00B165C2" w:rsidP="007A106C">
            <w:pPr>
              <w:rPr>
                <w:color w:val="000000"/>
                <w:sz w:val="20"/>
                <w:szCs w:val="20"/>
              </w:rPr>
            </w:pPr>
          </w:p>
        </w:tc>
        <w:tc>
          <w:tcPr>
            <w:tcW w:w="558" w:type="pct"/>
            <w:vMerge/>
            <w:vAlign w:val="center"/>
            <w:hideMark/>
          </w:tcPr>
          <w:p w:rsidR="00B165C2" w:rsidRPr="00A012FE" w:rsidRDefault="00B165C2" w:rsidP="007A106C">
            <w:pPr>
              <w:rPr>
                <w:color w:val="000000"/>
                <w:sz w:val="20"/>
                <w:szCs w:val="20"/>
              </w:rPr>
            </w:pPr>
          </w:p>
        </w:tc>
        <w:tc>
          <w:tcPr>
            <w:tcW w:w="697" w:type="pct"/>
            <w:vMerge/>
            <w:vAlign w:val="center"/>
            <w:hideMark/>
          </w:tcPr>
          <w:p w:rsidR="00B165C2" w:rsidRPr="00A012FE" w:rsidRDefault="00B165C2" w:rsidP="007A106C">
            <w:pPr>
              <w:rPr>
                <w:color w:val="000000"/>
                <w:sz w:val="20"/>
                <w:szCs w:val="20"/>
              </w:rPr>
            </w:pPr>
          </w:p>
        </w:tc>
        <w:tc>
          <w:tcPr>
            <w:tcW w:w="1470"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Udržitelnost stanovena v délce 5 let. Příjemce se zavázal k realizaci 4 kurzů ročně, ale plní pouze 2 ročně. Prominutí činí 50 %.</w:t>
            </w:r>
          </w:p>
        </w:tc>
      </w:tr>
      <w:tr w:rsidR="00B165C2" w:rsidRPr="00A012FE" w:rsidTr="007A106C">
        <w:trPr>
          <w:trHeight w:val="2295"/>
        </w:trPr>
        <w:tc>
          <w:tcPr>
            <w:tcW w:w="527" w:type="pct"/>
            <w:shd w:val="clear" w:color="auto" w:fill="auto"/>
            <w:noWrap/>
            <w:textDirection w:val="btLr"/>
            <w:vAlign w:val="center"/>
            <w:hideMark/>
          </w:tcPr>
          <w:p w:rsidR="00B165C2" w:rsidRPr="00A012FE" w:rsidRDefault="00B165C2" w:rsidP="007A106C">
            <w:pPr>
              <w:jc w:val="center"/>
              <w:rPr>
                <w:color w:val="000000"/>
                <w:sz w:val="20"/>
                <w:szCs w:val="20"/>
              </w:rPr>
            </w:pPr>
            <w:r w:rsidRPr="00A012FE">
              <w:rPr>
                <w:color w:val="000000"/>
                <w:sz w:val="20"/>
                <w:szCs w:val="20"/>
              </w:rPr>
              <w:t>Publicita</w:t>
            </w:r>
          </w:p>
        </w:tc>
        <w:tc>
          <w:tcPr>
            <w:tcW w:w="349" w:type="pct"/>
            <w:shd w:val="clear" w:color="auto" w:fill="auto"/>
            <w:noWrap/>
            <w:vAlign w:val="center"/>
            <w:hideMark/>
          </w:tcPr>
          <w:p w:rsidR="00B165C2" w:rsidRPr="00A012FE" w:rsidRDefault="00B165C2" w:rsidP="007A106C">
            <w:pPr>
              <w:jc w:val="center"/>
              <w:rPr>
                <w:color w:val="000000"/>
                <w:sz w:val="20"/>
                <w:szCs w:val="20"/>
              </w:rPr>
            </w:pPr>
            <w:r w:rsidRPr="00A012FE">
              <w:rPr>
                <w:color w:val="000000"/>
                <w:sz w:val="20"/>
                <w:szCs w:val="20"/>
              </w:rPr>
              <w:t>20</w:t>
            </w:r>
          </w:p>
        </w:tc>
        <w:tc>
          <w:tcPr>
            <w:tcW w:w="1399"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Porušení povinnosti zajistit informační a propagační opatření, nemá</w:t>
            </w:r>
            <w:r>
              <w:rPr>
                <w:color w:val="000000"/>
                <w:sz w:val="20"/>
                <w:szCs w:val="20"/>
              </w:rPr>
              <w:t>-</w:t>
            </w:r>
            <w:r w:rsidRPr="00A012FE">
              <w:rPr>
                <w:color w:val="000000"/>
                <w:sz w:val="20"/>
                <w:szCs w:val="20"/>
              </w:rPr>
              <w:t>li nedodržení povinnosti vliv na naplnění účelu dotace.</w:t>
            </w:r>
          </w:p>
        </w:tc>
        <w:tc>
          <w:tcPr>
            <w:tcW w:w="558"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95 – 99 %</w:t>
            </w:r>
          </w:p>
        </w:tc>
        <w:tc>
          <w:tcPr>
            <w:tcW w:w="697"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 xml:space="preserve">dotace </w:t>
            </w:r>
          </w:p>
        </w:tc>
        <w:tc>
          <w:tcPr>
            <w:tcW w:w="1470"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 xml:space="preserve">Pro stanovení konkrétní výše prominutí je nutno posuzovat závažnost daného pochybení např. nezajištění povinného prvku publicity je závažnější než situace, kdy je prvek publicity zajištěn, ale je uveden chybně. </w:t>
            </w:r>
          </w:p>
        </w:tc>
      </w:tr>
      <w:tr w:rsidR="00B165C2" w:rsidRPr="00A012FE" w:rsidTr="007A106C">
        <w:trPr>
          <w:trHeight w:val="510"/>
        </w:trPr>
        <w:tc>
          <w:tcPr>
            <w:tcW w:w="527" w:type="pct"/>
            <w:vMerge w:val="restart"/>
            <w:shd w:val="clear" w:color="auto" w:fill="auto"/>
            <w:textDirection w:val="btLr"/>
            <w:vAlign w:val="center"/>
            <w:hideMark/>
          </w:tcPr>
          <w:p w:rsidR="00B165C2" w:rsidRPr="00A012FE" w:rsidRDefault="00B165C2" w:rsidP="007A106C">
            <w:pPr>
              <w:jc w:val="center"/>
              <w:rPr>
                <w:color w:val="000000"/>
                <w:sz w:val="20"/>
                <w:szCs w:val="20"/>
              </w:rPr>
            </w:pPr>
            <w:r w:rsidRPr="00A012FE">
              <w:rPr>
                <w:color w:val="000000"/>
                <w:sz w:val="20"/>
                <w:szCs w:val="20"/>
              </w:rPr>
              <w:t>Nakládání s majetkem v době realizace a udržitelnosti projektu</w:t>
            </w:r>
          </w:p>
        </w:tc>
        <w:tc>
          <w:tcPr>
            <w:tcW w:w="349" w:type="pct"/>
            <w:shd w:val="clear" w:color="auto" w:fill="auto"/>
            <w:noWrap/>
            <w:vAlign w:val="center"/>
            <w:hideMark/>
          </w:tcPr>
          <w:p w:rsidR="00B165C2" w:rsidRPr="00A012FE" w:rsidRDefault="00B165C2" w:rsidP="007A106C">
            <w:pPr>
              <w:jc w:val="center"/>
              <w:rPr>
                <w:color w:val="000000"/>
                <w:sz w:val="20"/>
                <w:szCs w:val="20"/>
              </w:rPr>
            </w:pPr>
            <w:r w:rsidRPr="00A012FE">
              <w:rPr>
                <w:color w:val="000000"/>
                <w:sz w:val="20"/>
                <w:szCs w:val="20"/>
              </w:rPr>
              <w:t>21</w:t>
            </w:r>
          </w:p>
        </w:tc>
        <w:tc>
          <w:tcPr>
            <w:tcW w:w="1399"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Pronajmutí či převod majetku pořízeného z dotace.</w:t>
            </w:r>
          </w:p>
        </w:tc>
        <w:tc>
          <w:tcPr>
            <w:tcW w:w="558"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0 %</w:t>
            </w:r>
          </w:p>
        </w:tc>
        <w:tc>
          <w:tcPr>
            <w:tcW w:w="697"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výdaje vážící se k majetku</w:t>
            </w:r>
          </w:p>
        </w:tc>
        <w:tc>
          <w:tcPr>
            <w:tcW w:w="1470"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 </w:t>
            </w:r>
          </w:p>
        </w:tc>
      </w:tr>
      <w:tr w:rsidR="00B165C2" w:rsidRPr="00A012FE" w:rsidTr="007A106C">
        <w:trPr>
          <w:trHeight w:val="765"/>
        </w:trPr>
        <w:tc>
          <w:tcPr>
            <w:tcW w:w="527" w:type="pct"/>
            <w:vMerge/>
            <w:vAlign w:val="center"/>
            <w:hideMark/>
          </w:tcPr>
          <w:p w:rsidR="00B165C2" w:rsidRPr="00A012FE" w:rsidRDefault="00B165C2" w:rsidP="007A106C">
            <w:pPr>
              <w:rPr>
                <w:color w:val="000000"/>
                <w:sz w:val="20"/>
                <w:szCs w:val="20"/>
              </w:rPr>
            </w:pPr>
          </w:p>
        </w:tc>
        <w:tc>
          <w:tcPr>
            <w:tcW w:w="349" w:type="pct"/>
            <w:shd w:val="clear" w:color="auto" w:fill="auto"/>
            <w:noWrap/>
            <w:vAlign w:val="center"/>
            <w:hideMark/>
          </w:tcPr>
          <w:p w:rsidR="00B165C2" w:rsidRPr="00A012FE" w:rsidRDefault="00B165C2" w:rsidP="007A106C">
            <w:pPr>
              <w:jc w:val="center"/>
              <w:rPr>
                <w:color w:val="000000"/>
                <w:sz w:val="20"/>
                <w:szCs w:val="20"/>
              </w:rPr>
            </w:pPr>
            <w:r w:rsidRPr="00A012FE">
              <w:rPr>
                <w:color w:val="000000"/>
                <w:sz w:val="20"/>
                <w:szCs w:val="20"/>
              </w:rPr>
              <w:t>22</w:t>
            </w:r>
          </w:p>
        </w:tc>
        <w:tc>
          <w:tcPr>
            <w:tcW w:w="1399"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 xml:space="preserve">Předčasné vyřazení dlouhodobého majetku pořízeného z projektu z evidence včetně příp. doby udržitelnosti projektu. </w:t>
            </w:r>
          </w:p>
        </w:tc>
        <w:tc>
          <w:tcPr>
            <w:tcW w:w="558"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0 %</w:t>
            </w:r>
          </w:p>
        </w:tc>
        <w:tc>
          <w:tcPr>
            <w:tcW w:w="697"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výdaj vztahující se k majetku</w:t>
            </w:r>
          </w:p>
        </w:tc>
        <w:tc>
          <w:tcPr>
            <w:tcW w:w="1470" w:type="pct"/>
            <w:shd w:val="clear" w:color="auto" w:fill="auto"/>
            <w:noWrap/>
            <w:vAlign w:val="center"/>
            <w:hideMark/>
          </w:tcPr>
          <w:p w:rsidR="00B165C2" w:rsidRPr="00A012FE" w:rsidRDefault="00B165C2" w:rsidP="007A106C">
            <w:pPr>
              <w:rPr>
                <w:color w:val="000000"/>
                <w:sz w:val="20"/>
                <w:szCs w:val="20"/>
              </w:rPr>
            </w:pPr>
          </w:p>
        </w:tc>
      </w:tr>
      <w:tr w:rsidR="00B165C2" w:rsidRPr="00A012FE" w:rsidTr="007A106C">
        <w:trPr>
          <w:trHeight w:val="1110"/>
        </w:trPr>
        <w:tc>
          <w:tcPr>
            <w:tcW w:w="527" w:type="pct"/>
            <w:vMerge/>
            <w:vAlign w:val="center"/>
            <w:hideMark/>
          </w:tcPr>
          <w:p w:rsidR="00B165C2" w:rsidRPr="00A012FE" w:rsidRDefault="00B165C2" w:rsidP="007A106C">
            <w:pPr>
              <w:rPr>
                <w:color w:val="000000"/>
                <w:sz w:val="20"/>
                <w:szCs w:val="20"/>
              </w:rPr>
            </w:pPr>
          </w:p>
        </w:tc>
        <w:tc>
          <w:tcPr>
            <w:tcW w:w="349" w:type="pct"/>
            <w:shd w:val="clear" w:color="auto" w:fill="auto"/>
            <w:noWrap/>
            <w:vAlign w:val="center"/>
            <w:hideMark/>
          </w:tcPr>
          <w:p w:rsidR="00B165C2" w:rsidRPr="00A012FE" w:rsidRDefault="00B165C2" w:rsidP="007A106C">
            <w:pPr>
              <w:jc w:val="center"/>
              <w:rPr>
                <w:color w:val="000000"/>
                <w:sz w:val="20"/>
                <w:szCs w:val="20"/>
              </w:rPr>
            </w:pPr>
            <w:r w:rsidRPr="00A012FE">
              <w:rPr>
                <w:color w:val="000000"/>
                <w:sz w:val="20"/>
                <w:szCs w:val="20"/>
              </w:rPr>
              <w:t>23</w:t>
            </w:r>
          </w:p>
        </w:tc>
        <w:tc>
          <w:tcPr>
            <w:tcW w:w="1399"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Nezařazení majetku podpořeného z dotace do účetní nebo majetkové evidence.</w:t>
            </w:r>
          </w:p>
        </w:tc>
        <w:tc>
          <w:tcPr>
            <w:tcW w:w="558"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0 %</w:t>
            </w:r>
          </w:p>
        </w:tc>
        <w:tc>
          <w:tcPr>
            <w:tcW w:w="697"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výdaj vztahující se k majetku</w:t>
            </w:r>
          </w:p>
        </w:tc>
        <w:tc>
          <w:tcPr>
            <w:tcW w:w="1470"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V případě, kdy nelze zjednat nápravu nebo dohledat výdaj či obdobně.</w:t>
            </w:r>
          </w:p>
        </w:tc>
      </w:tr>
      <w:tr w:rsidR="00B165C2" w:rsidRPr="00A012FE" w:rsidTr="007A106C">
        <w:trPr>
          <w:trHeight w:val="765"/>
        </w:trPr>
        <w:tc>
          <w:tcPr>
            <w:tcW w:w="527" w:type="pct"/>
            <w:vMerge/>
            <w:vAlign w:val="center"/>
            <w:hideMark/>
          </w:tcPr>
          <w:p w:rsidR="00B165C2" w:rsidRPr="00A012FE" w:rsidRDefault="00B165C2" w:rsidP="007A106C">
            <w:pPr>
              <w:rPr>
                <w:color w:val="000000"/>
                <w:sz w:val="20"/>
                <w:szCs w:val="20"/>
              </w:rPr>
            </w:pPr>
          </w:p>
        </w:tc>
        <w:tc>
          <w:tcPr>
            <w:tcW w:w="349" w:type="pct"/>
            <w:shd w:val="clear" w:color="auto" w:fill="auto"/>
            <w:noWrap/>
            <w:vAlign w:val="center"/>
            <w:hideMark/>
          </w:tcPr>
          <w:p w:rsidR="00B165C2" w:rsidRPr="00A012FE" w:rsidRDefault="00B165C2" w:rsidP="007A106C">
            <w:pPr>
              <w:jc w:val="center"/>
              <w:rPr>
                <w:color w:val="000000"/>
                <w:sz w:val="20"/>
                <w:szCs w:val="20"/>
              </w:rPr>
            </w:pPr>
            <w:r w:rsidRPr="00A012FE">
              <w:rPr>
                <w:color w:val="000000"/>
                <w:sz w:val="20"/>
                <w:szCs w:val="20"/>
              </w:rPr>
              <w:t>24a</w:t>
            </w:r>
          </w:p>
        </w:tc>
        <w:tc>
          <w:tcPr>
            <w:tcW w:w="1399"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Ztráta majetku podpořeného z dotace v rozporu se smlouvou o poskytnutí dotace – pokud nebyl obnoven.</w:t>
            </w:r>
          </w:p>
        </w:tc>
        <w:tc>
          <w:tcPr>
            <w:tcW w:w="558"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0 %</w:t>
            </w:r>
          </w:p>
        </w:tc>
        <w:tc>
          <w:tcPr>
            <w:tcW w:w="697"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výdaj vztahující se k majetku</w:t>
            </w:r>
          </w:p>
        </w:tc>
        <w:tc>
          <w:tcPr>
            <w:tcW w:w="1470"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 </w:t>
            </w:r>
          </w:p>
        </w:tc>
      </w:tr>
      <w:tr w:rsidR="00B165C2" w:rsidRPr="00A012FE" w:rsidTr="007A106C">
        <w:trPr>
          <w:trHeight w:val="765"/>
        </w:trPr>
        <w:tc>
          <w:tcPr>
            <w:tcW w:w="527" w:type="pct"/>
            <w:vMerge/>
            <w:vAlign w:val="center"/>
            <w:hideMark/>
          </w:tcPr>
          <w:p w:rsidR="00B165C2" w:rsidRPr="00A012FE" w:rsidRDefault="00B165C2" w:rsidP="007A106C">
            <w:pPr>
              <w:rPr>
                <w:color w:val="000000"/>
                <w:sz w:val="20"/>
                <w:szCs w:val="20"/>
              </w:rPr>
            </w:pPr>
          </w:p>
        </w:tc>
        <w:tc>
          <w:tcPr>
            <w:tcW w:w="349" w:type="pct"/>
            <w:shd w:val="clear" w:color="auto" w:fill="auto"/>
            <w:noWrap/>
            <w:vAlign w:val="center"/>
            <w:hideMark/>
          </w:tcPr>
          <w:p w:rsidR="00B165C2" w:rsidRPr="00A012FE" w:rsidRDefault="00B165C2" w:rsidP="007A106C">
            <w:pPr>
              <w:jc w:val="center"/>
              <w:rPr>
                <w:color w:val="000000"/>
                <w:sz w:val="20"/>
                <w:szCs w:val="20"/>
              </w:rPr>
            </w:pPr>
            <w:r w:rsidRPr="00A012FE">
              <w:rPr>
                <w:color w:val="000000"/>
                <w:sz w:val="20"/>
                <w:szCs w:val="20"/>
              </w:rPr>
              <w:t>24b</w:t>
            </w:r>
          </w:p>
        </w:tc>
        <w:tc>
          <w:tcPr>
            <w:tcW w:w="1399"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Ztráta majetku podpořeného z dotace v rozporu se smlouvou o poskytnutí dotace – pokud byl obnoven.</w:t>
            </w:r>
          </w:p>
        </w:tc>
        <w:tc>
          <w:tcPr>
            <w:tcW w:w="558"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100 %</w:t>
            </w:r>
          </w:p>
        </w:tc>
        <w:tc>
          <w:tcPr>
            <w:tcW w:w="697" w:type="pct"/>
            <w:shd w:val="clear" w:color="auto" w:fill="auto"/>
            <w:vAlign w:val="center"/>
            <w:hideMark/>
          </w:tcPr>
          <w:p w:rsidR="00B165C2" w:rsidRPr="00A012FE" w:rsidRDefault="00B165C2" w:rsidP="007A106C">
            <w:pPr>
              <w:rPr>
                <w:color w:val="000000"/>
                <w:sz w:val="20"/>
                <w:szCs w:val="20"/>
              </w:rPr>
            </w:pPr>
            <w:r>
              <w:rPr>
                <w:color w:val="000000"/>
                <w:sz w:val="20"/>
                <w:szCs w:val="20"/>
              </w:rPr>
              <w:t>výdaj vztahující</w:t>
            </w:r>
            <w:r w:rsidRPr="00A012FE">
              <w:rPr>
                <w:color w:val="000000"/>
                <w:sz w:val="20"/>
                <w:szCs w:val="20"/>
              </w:rPr>
              <w:t xml:space="preserve"> se k majetku</w:t>
            </w:r>
          </w:p>
        </w:tc>
        <w:tc>
          <w:tcPr>
            <w:tcW w:w="1470"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 </w:t>
            </w:r>
          </w:p>
        </w:tc>
      </w:tr>
      <w:tr w:rsidR="00B165C2" w:rsidRPr="00A012FE" w:rsidTr="007A106C">
        <w:trPr>
          <w:trHeight w:val="765"/>
        </w:trPr>
        <w:tc>
          <w:tcPr>
            <w:tcW w:w="527" w:type="pct"/>
            <w:vMerge/>
            <w:vAlign w:val="center"/>
            <w:hideMark/>
          </w:tcPr>
          <w:p w:rsidR="00B165C2" w:rsidRPr="00A012FE" w:rsidRDefault="00B165C2" w:rsidP="007A106C">
            <w:pPr>
              <w:rPr>
                <w:color w:val="000000"/>
                <w:sz w:val="20"/>
                <w:szCs w:val="20"/>
              </w:rPr>
            </w:pPr>
          </w:p>
        </w:tc>
        <w:tc>
          <w:tcPr>
            <w:tcW w:w="349" w:type="pct"/>
            <w:shd w:val="clear" w:color="auto" w:fill="auto"/>
            <w:noWrap/>
            <w:vAlign w:val="center"/>
            <w:hideMark/>
          </w:tcPr>
          <w:p w:rsidR="00B165C2" w:rsidRPr="00A012FE" w:rsidRDefault="00B165C2" w:rsidP="007A106C">
            <w:pPr>
              <w:jc w:val="center"/>
              <w:rPr>
                <w:color w:val="000000"/>
                <w:sz w:val="20"/>
                <w:szCs w:val="20"/>
              </w:rPr>
            </w:pPr>
            <w:r w:rsidRPr="00A012FE">
              <w:rPr>
                <w:color w:val="000000"/>
                <w:sz w:val="20"/>
                <w:szCs w:val="20"/>
              </w:rPr>
              <w:t>25</w:t>
            </w:r>
          </w:p>
        </w:tc>
        <w:tc>
          <w:tcPr>
            <w:tcW w:w="1399"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Použití majetku pořízeného z dotace na jiné účely, které nesouvisí přímo s realizovaným projektem.</w:t>
            </w:r>
          </w:p>
        </w:tc>
        <w:tc>
          <w:tcPr>
            <w:tcW w:w="558"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0 %</w:t>
            </w:r>
          </w:p>
        </w:tc>
        <w:tc>
          <w:tcPr>
            <w:tcW w:w="697"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výdaj vztahující se k majetku</w:t>
            </w:r>
          </w:p>
        </w:tc>
        <w:tc>
          <w:tcPr>
            <w:tcW w:w="1470"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 </w:t>
            </w:r>
          </w:p>
        </w:tc>
      </w:tr>
      <w:tr w:rsidR="00B165C2" w:rsidRPr="00A012FE" w:rsidTr="007A106C">
        <w:trPr>
          <w:trHeight w:val="765"/>
        </w:trPr>
        <w:tc>
          <w:tcPr>
            <w:tcW w:w="527" w:type="pct"/>
            <w:vMerge w:val="restart"/>
            <w:shd w:val="clear" w:color="auto" w:fill="auto"/>
            <w:textDirection w:val="btLr"/>
            <w:vAlign w:val="center"/>
            <w:hideMark/>
          </w:tcPr>
          <w:p w:rsidR="00B165C2" w:rsidRPr="00A012FE" w:rsidRDefault="00B165C2" w:rsidP="007A106C">
            <w:pPr>
              <w:jc w:val="center"/>
              <w:rPr>
                <w:color w:val="000000"/>
                <w:sz w:val="20"/>
                <w:szCs w:val="20"/>
              </w:rPr>
            </w:pPr>
            <w:r w:rsidRPr="00A012FE">
              <w:rPr>
                <w:color w:val="000000"/>
                <w:sz w:val="20"/>
                <w:szCs w:val="20"/>
              </w:rPr>
              <w:t>Uchovávání dokumentace</w:t>
            </w:r>
          </w:p>
        </w:tc>
        <w:tc>
          <w:tcPr>
            <w:tcW w:w="349" w:type="pct"/>
            <w:shd w:val="clear" w:color="auto" w:fill="auto"/>
            <w:noWrap/>
            <w:vAlign w:val="center"/>
            <w:hideMark/>
          </w:tcPr>
          <w:p w:rsidR="00B165C2" w:rsidRPr="00A012FE" w:rsidRDefault="00B165C2" w:rsidP="007A106C">
            <w:pPr>
              <w:jc w:val="center"/>
              <w:rPr>
                <w:color w:val="000000"/>
                <w:sz w:val="20"/>
                <w:szCs w:val="20"/>
              </w:rPr>
            </w:pPr>
            <w:r w:rsidRPr="00A012FE">
              <w:rPr>
                <w:color w:val="000000"/>
                <w:sz w:val="20"/>
                <w:szCs w:val="20"/>
              </w:rPr>
              <w:t>26a</w:t>
            </w:r>
          </w:p>
        </w:tc>
        <w:tc>
          <w:tcPr>
            <w:tcW w:w="1399"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Nedostatečné uchovávání dokumentace – absence požadovaných účetních dokladů vztahujících se k projektu.</w:t>
            </w:r>
          </w:p>
        </w:tc>
        <w:tc>
          <w:tcPr>
            <w:tcW w:w="558"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0 %</w:t>
            </w:r>
          </w:p>
        </w:tc>
        <w:tc>
          <w:tcPr>
            <w:tcW w:w="697"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výdaj, který se váže k chybějícím účetním dokladům</w:t>
            </w:r>
          </w:p>
        </w:tc>
        <w:tc>
          <w:tcPr>
            <w:tcW w:w="1470"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 </w:t>
            </w:r>
          </w:p>
        </w:tc>
      </w:tr>
      <w:tr w:rsidR="00B165C2" w:rsidRPr="00A012FE" w:rsidTr="007A106C">
        <w:trPr>
          <w:trHeight w:val="510"/>
        </w:trPr>
        <w:tc>
          <w:tcPr>
            <w:tcW w:w="527" w:type="pct"/>
            <w:vMerge/>
            <w:vAlign w:val="center"/>
            <w:hideMark/>
          </w:tcPr>
          <w:p w:rsidR="00B165C2" w:rsidRPr="00A012FE" w:rsidRDefault="00B165C2" w:rsidP="007A106C">
            <w:pPr>
              <w:rPr>
                <w:color w:val="000000"/>
                <w:sz w:val="20"/>
                <w:szCs w:val="20"/>
              </w:rPr>
            </w:pPr>
          </w:p>
        </w:tc>
        <w:tc>
          <w:tcPr>
            <w:tcW w:w="349" w:type="pct"/>
            <w:shd w:val="clear" w:color="auto" w:fill="auto"/>
            <w:noWrap/>
            <w:vAlign w:val="center"/>
            <w:hideMark/>
          </w:tcPr>
          <w:p w:rsidR="00B165C2" w:rsidRPr="00A012FE" w:rsidRDefault="00B165C2" w:rsidP="007A106C">
            <w:pPr>
              <w:jc w:val="center"/>
              <w:rPr>
                <w:color w:val="000000"/>
                <w:sz w:val="20"/>
                <w:szCs w:val="20"/>
              </w:rPr>
            </w:pPr>
            <w:r w:rsidRPr="00A012FE">
              <w:rPr>
                <w:color w:val="000000"/>
                <w:sz w:val="20"/>
                <w:szCs w:val="20"/>
              </w:rPr>
              <w:t>26b</w:t>
            </w:r>
          </w:p>
        </w:tc>
        <w:tc>
          <w:tcPr>
            <w:tcW w:w="1399"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Porušení dalších povinností při uchovávání dokumentace</w:t>
            </w:r>
          </w:p>
        </w:tc>
        <w:tc>
          <w:tcPr>
            <w:tcW w:w="558"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95 – 99 %</w:t>
            </w:r>
          </w:p>
        </w:tc>
        <w:tc>
          <w:tcPr>
            <w:tcW w:w="697"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dotace</w:t>
            </w:r>
          </w:p>
        </w:tc>
        <w:tc>
          <w:tcPr>
            <w:tcW w:w="1470"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 </w:t>
            </w:r>
          </w:p>
        </w:tc>
      </w:tr>
      <w:tr w:rsidR="00B165C2" w:rsidRPr="00A012FE" w:rsidTr="007A106C">
        <w:trPr>
          <w:trHeight w:val="1125"/>
        </w:trPr>
        <w:tc>
          <w:tcPr>
            <w:tcW w:w="527" w:type="pct"/>
            <w:vMerge w:val="restart"/>
            <w:shd w:val="clear" w:color="auto" w:fill="auto"/>
            <w:textDirection w:val="btLr"/>
            <w:vAlign w:val="center"/>
            <w:hideMark/>
          </w:tcPr>
          <w:p w:rsidR="00B165C2" w:rsidRPr="00A012FE" w:rsidRDefault="00B165C2" w:rsidP="007A106C">
            <w:pPr>
              <w:jc w:val="center"/>
              <w:rPr>
                <w:color w:val="000000"/>
                <w:sz w:val="20"/>
                <w:szCs w:val="20"/>
              </w:rPr>
            </w:pPr>
            <w:r w:rsidRPr="00A012FE">
              <w:rPr>
                <w:color w:val="000000"/>
                <w:sz w:val="20"/>
                <w:szCs w:val="20"/>
              </w:rPr>
              <w:t>Ostatní pravidla uvedená v </w:t>
            </w:r>
            <w:proofErr w:type="spellStart"/>
            <w:r w:rsidRPr="00A012FE">
              <w:rPr>
                <w:color w:val="000000"/>
                <w:sz w:val="20"/>
                <w:szCs w:val="20"/>
              </w:rPr>
              <w:t>PpP</w:t>
            </w:r>
            <w:proofErr w:type="spellEnd"/>
            <w:r w:rsidRPr="00A012FE">
              <w:rPr>
                <w:color w:val="000000"/>
                <w:sz w:val="20"/>
                <w:szCs w:val="20"/>
              </w:rPr>
              <w:t xml:space="preserve"> výše neuvedená</w:t>
            </w:r>
          </w:p>
        </w:tc>
        <w:tc>
          <w:tcPr>
            <w:tcW w:w="349" w:type="pct"/>
            <w:shd w:val="clear" w:color="auto" w:fill="auto"/>
            <w:noWrap/>
            <w:vAlign w:val="center"/>
            <w:hideMark/>
          </w:tcPr>
          <w:p w:rsidR="00B165C2" w:rsidRPr="00A012FE" w:rsidRDefault="00B165C2" w:rsidP="007A106C">
            <w:pPr>
              <w:jc w:val="center"/>
              <w:rPr>
                <w:color w:val="000000"/>
                <w:sz w:val="20"/>
                <w:szCs w:val="20"/>
              </w:rPr>
            </w:pPr>
            <w:r w:rsidRPr="00A012FE">
              <w:rPr>
                <w:color w:val="000000"/>
                <w:sz w:val="20"/>
                <w:szCs w:val="20"/>
              </w:rPr>
              <w:t>27a</w:t>
            </w:r>
          </w:p>
        </w:tc>
        <w:tc>
          <w:tcPr>
            <w:tcW w:w="1399"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Neuzavření smlouvy s auditorem ve stanoveném termínu, byla</w:t>
            </w:r>
            <w:r>
              <w:rPr>
                <w:color w:val="000000"/>
                <w:sz w:val="20"/>
                <w:szCs w:val="20"/>
              </w:rPr>
              <w:t>-</w:t>
            </w:r>
            <w:r w:rsidRPr="00A012FE">
              <w:rPr>
                <w:color w:val="000000"/>
                <w:sz w:val="20"/>
                <w:szCs w:val="20"/>
              </w:rPr>
              <w:t>li smlouva uzavřena a auditní zpráva doložena.</w:t>
            </w:r>
          </w:p>
        </w:tc>
        <w:tc>
          <w:tcPr>
            <w:tcW w:w="558"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99</w:t>
            </w:r>
            <w:r>
              <w:rPr>
                <w:color w:val="000000"/>
                <w:sz w:val="20"/>
                <w:szCs w:val="20"/>
              </w:rPr>
              <w:t xml:space="preserve"> %</w:t>
            </w:r>
          </w:p>
        </w:tc>
        <w:tc>
          <w:tcPr>
            <w:tcW w:w="697"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dotace</w:t>
            </w:r>
          </w:p>
        </w:tc>
        <w:tc>
          <w:tcPr>
            <w:tcW w:w="1470"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 </w:t>
            </w:r>
          </w:p>
        </w:tc>
      </w:tr>
      <w:tr w:rsidR="00B165C2" w:rsidRPr="00A012FE" w:rsidTr="007A106C">
        <w:trPr>
          <w:trHeight w:val="960"/>
        </w:trPr>
        <w:tc>
          <w:tcPr>
            <w:tcW w:w="527" w:type="pct"/>
            <w:vMerge/>
            <w:vAlign w:val="center"/>
            <w:hideMark/>
          </w:tcPr>
          <w:p w:rsidR="00B165C2" w:rsidRPr="00A012FE" w:rsidRDefault="00B165C2" w:rsidP="007A106C">
            <w:pPr>
              <w:rPr>
                <w:color w:val="000000"/>
                <w:sz w:val="20"/>
                <w:szCs w:val="20"/>
              </w:rPr>
            </w:pPr>
          </w:p>
        </w:tc>
        <w:tc>
          <w:tcPr>
            <w:tcW w:w="349" w:type="pct"/>
            <w:shd w:val="clear" w:color="auto" w:fill="auto"/>
            <w:noWrap/>
            <w:vAlign w:val="center"/>
            <w:hideMark/>
          </w:tcPr>
          <w:p w:rsidR="00B165C2" w:rsidRPr="00A012FE" w:rsidRDefault="00B165C2" w:rsidP="007A106C">
            <w:pPr>
              <w:jc w:val="center"/>
              <w:rPr>
                <w:color w:val="000000"/>
                <w:sz w:val="20"/>
                <w:szCs w:val="20"/>
              </w:rPr>
            </w:pPr>
            <w:r w:rsidRPr="00A012FE">
              <w:rPr>
                <w:color w:val="000000"/>
                <w:sz w:val="20"/>
                <w:szCs w:val="20"/>
              </w:rPr>
              <w:t>27b</w:t>
            </w:r>
          </w:p>
        </w:tc>
        <w:tc>
          <w:tcPr>
            <w:tcW w:w="1399"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Nedoložení externího auditu projektu, je</w:t>
            </w:r>
            <w:r>
              <w:rPr>
                <w:color w:val="000000"/>
                <w:sz w:val="20"/>
                <w:szCs w:val="20"/>
              </w:rPr>
              <w:t>-</w:t>
            </w:r>
            <w:r w:rsidRPr="00A012FE">
              <w:rPr>
                <w:color w:val="000000"/>
                <w:sz w:val="20"/>
                <w:szCs w:val="20"/>
              </w:rPr>
              <w:t>li tato povinnost stanovena.</w:t>
            </w:r>
          </w:p>
        </w:tc>
        <w:tc>
          <w:tcPr>
            <w:tcW w:w="558"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90</w:t>
            </w:r>
            <w:r>
              <w:rPr>
                <w:color w:val="000000"/>
                <w:sz w:val="20"/>
                <w:szCs w:val="20"/>
              </w:rPr>
              <w:t xml:space="preserve"> </w:t>
            </w:r>
            <w:r w:rsidRPr="00A012FE">
              <w:rPr>
                <w:color w:val="000000"/>
                <w:sz w:val="20"/>
                <w:szCs w:val="20"/>
              </w:rPr>
              <w:t>–</w:t>
            </w:r>
            <w:r>
              <w:rPr>
                <w:color w:val="000000"/>
                <w:sz w:val="20"/>
                <w:szCs w:val="20"/>
              </w:rPr>
              <w:t xml:space="preserve"> </w:t>
            </w:r>
            <w:r w:rsidRPr="00A012FE">
              <w:rPr>
                <w:color w:val="000000"/>
                <w:sz w:val="20"/>
                <w:szCs w:val="20"/>
              </w:rPr>
              <w:t>95 %</w:t>
            </w:r>
          </w:p>
        </w:tc>
        <w:tc>
          <w:tcPr>
            <w:tcW w:w="697"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dotace</w:t>
            </w:r>
          </w:p>
        </w:tc>
        <w:tc>
          <w:tcPr>
            <w:tcW w:w="1470"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 </w:t>
            </w:r>
          </w:p>
        </w:tc>
      </w:tr>
      <w:tr w:rsidR="00B165C2" w:rsidRPr="00A012FE" w:rsidTr="007A106C">
        <w:trPr>
          <w:trHeight w:val="1275"/>
        </w:trPr>
        <w:tc>
          <w:tcPr>
            <w:tcW w:w="527" w:type="pct"/>
            <w:vMerge w:val="restart"/>
            <w:shd w:val="clear" w:color="auto" w:fill="auto"/>
            <w:vAlign w:val="center"/>
            <w:hideMark/>
          </w:tcPr>
          <w:p w:rsidR="00B165C2" w:rsidRPr="00A012FE" w:rsidRDefault="00B165C2" w:rsidP="007A106C">
            <w:pPr>
              <w:jc w:val="center"/>
              <w:rPr>
                <w:color w:val="000000"/>
                <w:sz w:val="20"/>
                <w:szCs w:val="20"/>
              </w:rPr>
            </w:pPr>
            <w:r w:rsidRPr="00A012FE">
              <w:rPr>
                <w:color w:val="000000"/>
                <w:sz w:val="20"/>
                <w:szCs w:val="20"/>
              </w:rPr>
              <w:t>Podstatná změna</w:t>
            </w:r>
          </w:p>
        </w:tc>
        <w:tc>
          <w:tcPr>
            <w:tcW w:w="349" w:type="pct"/>
            <w:shd w:val="clear" w:color="auto" w:fill="auto"/>
            <w:noWrap/>
            <w:vAlign w:val="center"/>
            <w:hideMark/>
          </w:tcPr>
          <w:p w:rsidR="00B165C2" w:rsidRPr="00A012FE" w:rsidRDefault="00B165C2" w:rsidP="007A106C">
            <w:pPr>
              <w:jc w:val="center"/>
              <w:rPr>
                <w:color w:val="000000"/>
                <w:sz w:val="20"/>
                <w:szCs w:val="20"/>
              </w:rPr>
            </w:pPr>
            <w:r>
              <w:rPr>
                <w:color w:val="000000"/>
                <w:sz w:val="20"/>
                <w:szCs w:val="20"/>
              </w:rPr>
              <w:t>28</w:t>
            </w:r>
            <w:r w:rsidRPr="00A012FE">
              <w:rPr>
                <w:color w:val="000000"/>
                <w:sz w:val="20"/>
                <w:szCs w:val="20"/>
              </w:rPr>
              <w:t>a</w:t>
            </w:r>
          </w:p>
        </w:tc>
        <w:tc>
          <w:tcPr>
            <w:tcW w:w="1399"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Provedení podstatné změny projektu bez schválení poskytovatelem – v případě, kdy provedení změny není bezprostředně vázáno na uskutečněný výdaj.</w:t>
            </w:r>
          </w:p>
        </w:tc>
        <w:tc>
          <w:tcPr>
            <w:tcW w:w="558"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95 – 99%</w:t>
            </w:r>
          </w:p>
        </w:tc>
        <w:tc>
          <w:tcPr>
            <w:tcW w:w="697"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dotace</w:t>
            </w:r>
          </w:p>
        </w:tc>
        <w:tc>
          <w:tcPr>
            <w:tcW w:w="1470"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 xml:space="preserve">V případě, kdy je provedení podstatné změny spojeno s výdajem, posuzuje se vznik NES/PRK ve vztahu k tomuto výdaji. </w:t>
            </w:r>
          </w:p>
        </w:tc>
      </w:tr>
      <w:tr w:rsidR="00B165C2" w:rsidRPr="00A012FE" w:rsidTr="007A106C">
        <w:trPr>
          <w:trHeight w:val="1530"/>
        </w:trPr>
        <w:tc>
          <w:tcPr>
            <w:tcW w:w="527" w:type="pct"/>
            <w:vMerge/>
            <w:vAlign w:val="center"/>
            <w:hideMark/>
          </w:tcPr>
          <w:p w:rsidR="00B165C2" w:rsidRPr="00A012FE" w:rsidRDefault="00B165C2" w:rsidP="007A106C">
            <w:pPr>
              <w:rPr>
                <w:color w:val="000000"/>
                <w:sz w:val="20"/>
                <w:szCs w:val="20"/>
              </w:rPr>
            </w:pPr>
          </w:p>
        </w:tc>
        <w:tc>
          <w:tcPr>
            <w:tcW w:w="349" w:type="pct"/>
            <w:shd w:val="clear" w:color="auto" w:fill="auto"/>
            <w:noWrap/>
            <w:vAlign w:val="center"/>
            <w:hideMark/>
          </w:tcPr>
          <w:p w:rsidR="00B165C2" w:rsidRPr="00A012FE" w:rsidRDefault="00B165C2" w:rsidP="007A106C">
            <w:pPr>
              <w:jc w:val="center"/>
              <w:rPr>
                <w:color w:val="000000"/>
                <w:sz w:val="20"/>
                <w:szCs w:val="20"/>
              </w:rPr>
            </w:pPr>
            <w:r>
              <w:rPr>
                <w:color w:val="000000"/>
                <w:sz w:val="20"/>
                <w:szCs w:val="20"/>
              </w:rPr>
              <w:t>29</w:t>
            </w:r>
            <w:r w:rsidRPr="00A012FE">
              <w:rPr>
                <w:color w:val="000000"/>
                <w:sz w:val="20"/>
                <w:szCs w:val="20"/>
              </w:rPr>
              <w:t>b</w:t>
            </w:r>
          </w:p>
        </w:tc>
        <w:tc>
          <w:tcPr>
            <w:tcW w:w="1399"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Provedení podstatné změny projektu bez schválení poskytovatelem – v případě, že by podstatná změna nebyla schválena.</w:t>
            </w:r>
          </w:p>
        </w:tc>
        <w:tc>
          <w:tcPr>
            <w:tcW w:w="558"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0 %</w:t>
            </w:r>
          </w:p>
        </w:tc>
        <w:tc>
          <w:tcPr>
            <w:tcW w:w="697"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dotace</w:t>
            </w:r>
          </w:p>
        </w:tc>
        <w:tc>
          <w:tcPr>
            <w:tcW w:w="1470"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Týká se tzv. zakázaných podstatných změn – např. změna cílů projektu nebo změna mající vliv na možnost získat dotaci/být příjemcem.</w:t>
            </w:r>
          </w:p>
        </w:tc>
      </w:tr>
      <w:tr w:rsidR="00B165C2" w:rsidRPr="00A012FE" w:rsidTr="007A106C">
        <w:trPr>
          <w:trHeight w:val="765"/>
        </w:trPr>
        <w:tc>
          <w:tcPr>
            <w:tcW w:w="527" w:type="pct"/>
            <w:vMerge w:val="restart"/>
            <w:shd w:val="clear" w:color="auto" w:fill="auto"/>
            <w:vAlign w:val="center"/>
            <w:hideMark/>
          </w:tcPr>
          <w:p w:rsidR="00B165C2" w:rsidRPr="00A012FE" w:rsidRDefault="00B165C2" w:rsidP="007A106C">
            <w:pPr>
              <w:jc w:val="center"/>
              <w:rPr>
                <w:color w:val="000000"/>
                <w:sz w:val="20"/>
                <w:szCs w:val="20"/>
              </w:rPr>
            </w:pPr>
            <w:r>
              <w:rPr>
                <w:color w:val="000000"/>
                <w:sz w:val="20"/>
                <w:szCs w:val="20"/>
              </w:rPr>
              <w:t>Monitorovací indikátory</w:t>
            </w:r>
            <w:r>
              <w:rPr>
                <w:rStyle w:val="Znakapoznpodarou"/>
                <w:color w:val="000000"/>
                <w:sz w:val="20"/>
                <w:szCs w:val="20"/>
              </w:rPr>
              <w:footnoteReference w:id="4"/>
            </w:r>
          </w:p>
        </w:tc>
        <w:tc>
          <w:tcPr>
            <w:tcW w:w="349" w:type="pct"/>
            <w:shd w:val="clear" w:color="auto" w:fill="auto"/>
            <w:noWrap/>
            <w:vAlign w:val="center"/>
            <w:hideMark/>
          </w:tcPr>
          <w:p w:rsidR="00B165C2" w:rsidRPr="00A012FE" w:rsidRDefault="00B165C2" w:rsidP="007A106C">
            <w:pPr>
              <w:jc w:val="center"/>
              <w:rPr>
                <w:color w:val="000000"/>
                <w:sz w:val="20"/>
                <w:szCs w:val="20"/>
              </w:rPr>
            </w:pPr>
            <w:r w:rsidRPr="00A012FE">
              <w:rPr>
                <w:color w:val="000000"/>
                <w:sz w:val="20"/>
                <w:szCs w:val="20"/>
              </w:rPr>
              <w:t>3</w:t>
            </w:r>
            <w:r>
              <w:rPr>
                <w:color w:val="000000"/>
                <w:sz w:val="20"/>
                <w:szCs w:val="20"/>
              </w:rPr>
              <w:t>0</w:t>
            </w:r>
            <w:r w:rsidRPr="00A012FE">
              <w:rPr>
                <w:color w:val="000000"/>
                <w:sz w:val="20"/>
                <w:szCs w:val="20"/>
              </w:rPr>
              <w:t>a</w:t>
            </w:r>
          </w:p>
        </w:tc>
        <w:tc>
          <w:tcPr>
            <w:tcW w:w="1399"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Nenaplnění cílové hodno</w:t>
            </w:r>
            <w:r>
              <w:rPr>
                <w:color w:val="000000"/>
                <w:sz w:val="20"/>
                <w:szCs w:val="20"/>
              </w:rPr>
              <w:t xml:space="preserve">ty monitorovacích indikátorů – </w:t>
            </w:r>
            <w:r w:rsidRPr="00A012FE">
              <w:rPr>
                <w:color w:val="000000"/>
                <w:sz w:val="20"/>
                <w:szCs w:val="20"/>
              </w:rPr>
              <w:t>nenaplnění indikátorů o více než 50 %.</w:t>
            </w:r>
          </w:p>
        </w:tc>
        <w:tc>
          <w:tcPr>
            <w:tcW w:w="558"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0 %</w:t>
            </w:r>
          </w:p>
        </w:tc>
        <w:tc>
          <w:tcPr>
            <w:tcW w:w="697"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dotace</w:t>
            </w:r>
          </w:p>
        </w:tc>
        <w:tc>
          <w:tcPr>
            <w:tcW w:w="1470"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 </w:t>
            </w:r>
          </w:p>
        </w:tc>
      </w:tr>
      <w:tr w:rsidR="00B165C2" w:rsidRPr="00A012FE" w:rsidTr="007A106C">
        <w:trPr>
          <w:trHeight w:val="1530"/>
        </w:trPr>
        <w:tc>
          <w:tcPr>
            <w:tcW w:w="527" w:type="pct"/>
            <w:vMerge/>
            <w:vAlign w:val="center"/>
            <w:hideMark/>
          </w:tcPr>
          <w:p w:rsidR="00B165C2" w:rsidRPr="00A012FE" w:rsidRDefault="00B165C2" w:rsidP="007A106C">
            <w:pPr>
              <w:rPr>
                <w:color w:val="000000"/>
                <w:sz w:val="20"/>
                <w:szCs w:val="20"/>
              </w:rPr>
            </w:pPr>
          </w:p>
        </w:tc>
        <w:tc>
          <w:tcPr>
            <w:tcW w:w="349" w:type="pct"/>
            <w:shd w:val="clear" w:color="auto" w:fill="auto"/>
            <w:noWrap/>
            <w:vAlign w:val="center"/>
            <w:hideMark/>
          </w:tcPr>
          <w:p w:rsidR="00B165C2" w:rsidRPr="00A012FE" w:rsidRDefault="00B165C2" w:rsidP="007A106C">
            <w:pPr>
              <w:jc w:val="center"/>
              <w:rPr>
                <w:color w:val="000000"/>
                <w:sz w:val="20"/>
                <w:szCs w:val="20"/>
              </w:rPr>
            </w:pPr>
            <w:r w:rsidRPr="00A012FE">
              <w:rPr>
                <w:color w:val="000000"/>
                <w:sz w:val="20"/>
                <w:szCs w:val="20"/>
              </w:rPr>
              <w:t>3</w:t>
            </w:r>
            <w:r>
              <w:rPr>
                <w:color w:val="000000"/>
                <w:sz w:val="20"/>
                <w:szCs w:val="20"/>
              </w:rPr>
              <w:t>0</w:t>
            </w:r>
            <w:r w:rsidRPr="00A012FE">
              <w:rPr>
                <w:color w:val="000000"/>
                <w:sz w:val="20"/>
                <w:szCs w:val="20"/>
              </w:rPr>
              <w:t>b</w:t>
            </w:r>
          </w:p>
        </w:tc>
        <w:tc>
          <w:tcPr>
            <w:tcW w:w="1399"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Nenaplnění cílové hodnoty monitorovacích indikátorů – neoprávněné použití dotace lze konkrétně vyčíslit (lze přesně vyčíslit hodnotu nedodrženého indikátoru) a odvod je uložen v dané konkrétní výši. Zároveň platí, že hodnota indikátorů byla naplněna minimálně z 50 %.</w:t>
            </w:r>
          </w:p>
        </w:tc>
        <w:tc>
          <w:tcPr>
            <w:tcW w:w="558"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0 %</w:t>
            </w:r>
          </w:p>
        </w:tc>
        <w:tc>
          <w:tcPr>
            <w:tcW w:w="697"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částka týkající se nenaplněného indikátoru</w:t>
            </w:r>
          </w:p>
        </w:tc>
        <w:tc>
          <w:tcPr>
            <w:tcW w:w="1470"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 </w:t>
            </w:r>
          </w:p>
        </w:tc>
      </w:tr>
      <w:tr w:rsidR="00B165C2" w:rsidRPr="00A012FE" w:rsidTr="007A106C">
        <w:trPr>
          <w:trHeight w:val="5610"/>
        </w:trPr>
        <w:tc>
          <w:tcPr>
            <w:tcW w:w="527" w:type="pct"/>
            <w:vMerge/>
            <w:vAlign w:val="center"/>
            <w:hideMark/>
          </w:tcPr>
          <w:p w:rsidR="00B165C2" w:rsidRPr="00A012FE" w:rsidRDefault="00B165C2" w:rsidP="007A106C">
            <w:pPr>
              <w:rPr>
                <w:color w:val="000000"/>
                <w:sz w:val="20"/>
                <w:szCs w:val="20"/>
              </w:rPr>
            </w:pPr>
          </w:p>
        </w:tc>
        <w:tc>
          <w:tcPr>
            <w:tcW w:w="349" w:type="pct"/>
            <w:shd w:val="clear" w:color="auto" w:fill="auto"/>
            <w:noWrap/>
            <w:vAlign w:val="center"/>
            <w:hideMark/>
          </w:tcPr>
          <w:p w:rsidR="00B165C2" w:rsidRPr="00A012FE" w:rsidRDefault="00B165C2" w:rsidP="007A106C">
            <w:pPr>
              <w:jc w:val="center"/>
              <w:rPr>
                <w:color w:val="000000"/>
                <w:sz w:val="20"/>
                <w:szCs w:val="20"/>
              </w:rPr>
            </w:pPr>
            <w:r w:rsidRPr="00A012FE">
              <w:rPr>
                <w:color w:val="000000"/>
                <w:sz w:val="20"/>
                <w:szCs w:val="20"/>
              </w:rPr>
              <w:t>3</w:t>
            </w:r>
            <w:r>
              <w:rPr>
                <w:color w:val="000000"/>
                <w:sz w:val="20"/>
                <w:szCs w:val="20"/>
              </w:rPr>
              <w:t>0</w:t>
            </w:r>
            <w:r w:rsidRPr="00A012FE">
              <w:rPr>
                <w:color w:val="000000"/>
                <w:sz w:val="20"/>
                <w:szCs w:val="20"/>
              </w:rPr>
              <w:t>c</w:t>
            </w:r>
          </w:p>
        </w:tc>
        <w:tc>
          <w:tcPr>
            <w:tcW w:w="1399"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Nenaplnění cílové hodnoty monitorovacích indikátorů – neoprávněné použití dotace nelze konkrétně vyčíslit (nelze přesně vyčíslit hodnotu nedodrženého indikátoru) a odvod je uložen ve výši poskytnutých prostředků. Zároveň platí, že hodnota indikátorů byla naplněna minimálně z 50 %.</w:t>
            </w:r>
          </w:p>
        </w:tc>
        <w:tc>
          <w:tcPr>
            <w:tcW w:w="558"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 xml:space="preserve">Procento prominutí bude odpovídat míře naplnění hodnot </w:t>
            </w:r>
            <w:r>
              <w:rPr>
                <w:color w:val="000000"/>
                <w:sz w:val="20"/>
                <w:szCs w:val="20"/>
              </w:rPr>
              <w:t>monitorovacích indikátorů</w:t>
            </w:r>
          </w:p>
        </w:tc>
        <w:tc>
          <w:tcPr>
            <w:tcW w:w="697"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dotace</w:t>
            </w:r>
          </w:p>
        </w:tc>
        <w:tc>
          <w:tcPr>
            <w:tcW w:w="1470" w:type="pct"/>
            <w:shd w:val="clear" w:color="auto" w:fill="auto"/>
            <w:vAlign w:val="center"/>
            <w:hideMark/>
          </w:tcPr>
          <w:p w:rsidR="00B165C2" w:rsidRPr="00443F68" w:rsidRDefault="00B165C2" w:rsidP="007A106C">
            <w:r w:rsidRPr="00F73DEA">
              <w:t>Míra splnění hodnoty monitorovacího indikátoru se počítá způsobem aritmetického průměru procentního naplnění každého z monitorovacích indikátorů, ke kterým se příjemce zavázal ve smlouvě (zaokrouhlená matematicky na dvě desetinná místa). Při naplnění monitorovacího indikátoru nad hodnotu uvedenou ve smlouvě odpovídá míra naplnění tohoto MI 100 %. Míra dosažení indikátoru 07.41.20 Počet podpořených osob – poskytovatelé služeb je vždy 100 % bez ohledu na jeho skutečně dosaženou hodnotu</w:t>
            </w:r>
            <w:r>
              <w:t>.</w:t>
            </w:r>
            <w:r>
              <w:rPr>
                <w:rStyle w:val="Znakapoznpodarou"/>
                <w:color w:val="000000"/>
                <w:sz w:val="20"/>
                <w:szCs w:val="20"/>
              </w:rPr>
              <w:footnoteReference w:id="5"/>
            </w:r>
          </w:p>
        </w:tc>
      </w:tr>
      <w:tr w:rsidR="00B165C2" w:rsidRPr="00A012FE" w:rsidTr="007A106C">
        <w:trPr>
          <w:trHeight w:val="765"/>
        </w:trPr>
        <w:tc>
          <w:tcPr>
            <w:tcW w:w="527" w:type="pct"/>
            <w:vMerge/>
            <w:vAlign w:val="center"/>
            <w:hideMark/>
          </w:tcPr>
          <w:p w:rsidR="00B165C2" w:rsidRPr="00A012FE" w:rsidRDefault="00B165C2" w:rsidP="007A106C">
            <w:pPr>
              <w:rPr>
                <w:color w:val="000000"/>
                <w:sz w:val="20"/>
                <w:szCs w:val="20"/>
              </w:rPr>
            </w:pPr>
          </w:p>
        </w:tc>
        <w:tc>
          <w:tcPr>
            <w:tcW w:w="349" w:type="pct"/>
            <w:shd w:val="clear" w:color="auto" w:fill="auto"/>
            <w:noWrap/>
            <w:vAlign w:val="center"/>
            <w:hideMark/>
          </w:tcPr>
          <w:p w:rsidR="00B165C2" w:rsidRPr="00A012FE" w:rsidRDefault="00B165C2" w:rsidP="007A106C">
            <w:pPr>
              <w:jc w:val="center"/>
              <w:rPr>
                <w:color w:val="000000"/>
                <w:sz w:val="20"/>
                <w:szCs w:val="20"/>
              </w:rPr>
            </w:pPr>
            <w:r w:rsidRPr="00A012FE">
              <w:rPr>
                <w:color w:val="000000"/>
                <w:sz w:val="20"/>
                <w:szCs w:val="20"/>
              </w:rPr>
              <w:t>3</w:t>
            </w:r>
            <w:r>
              <w:rPr>
                <w:color w:val="000000"/>
                <w:sz w:val="20"/>
                <w:szCs w:val="20"/>
              </w:rPr>
              <w:t>0</w:t>
            </w:r>
            <w:r w:rsidRPr="00A012FE">
              <w:rPr>
                <w:color w:val="000000"/>
                <w:sz w:val="20"/>
                <w:szCs w:val="20"/>
              </w:rPr>
              <w:t>d</w:t>
            </w:r>
          </w:p>
        </w:tc>
        <w:tc>
          <w:tcPr>
            <w:tcW w:w="1399"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Nenaplnění cílové hodnoty indikátoru 07.41.20 Počet podpořených osob – poskytovatelé služeb.</w:t>
            </w:r>
          </w:p>
        </w:tc>
        <w:tc>
          <w:tcPr>
            <w:tcW w:w="558"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100 %</w:t>
            </w:r>
          </w:p>
        </w:tc>
        <w:tc>
          <w:tcPr>
            <w:tcW w:w="697"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částka týkající se nenaplněného indikátoru</w:t>
            </w:r>
          </w:p>
        </w:tc>
        <w:tc>
          <w:tcPr>
            <w:tcW w:w="1470"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 </w:t>
            </w:r>
          </w:p>
        </w:tc>
      </w:tr>
      <w:tr w:rsidR="00B165C2" w:rsidRPr="00A012FE" w:rsidTr="007A106C">
        <w:trPr>
          <w:trHeight w:val="1020"/>
        </w:trPr>
        <w:tc>
          <w:tcPr>
            <w:tcW w:w="527" w:type="pct"/>
            <w:shd w:val="clear" w:color="auto" w:fill="auto"/>
            <w:vAlign w:val="center"/>
            <w:hideMark/>
          </w:tcPr>
          <w:p w:rsidR="00B165C2" w:rsidRPr="00A012FE" w:rsidRDefault="00B165C2" w:rsidP="007A106C">
            <w:pPr>
              <w:jc w:val="center"/>
              <w:rPr>
                <w:color w:val="000000"/>
                <w:sz w:val="20"/>
                <w:szCs w:val="20"/>
              </w:rPr>
            </w:pPr>
            <w:r w:rsidRPr="00A012FE">
              <w:rPr>
                <w:color w:val="000000"/>
                <w:sz w:val="20"/>
                <w:szCs w:val="20"/>
              </w:rPr>
              <w:t>Součinnost s</w:t>
            </w:r>
            <w:r>
              <w:rPr>
                <w:color w:val="000000"/>
                <w:sz w:val="20"/>
                <w:szCs w:val="20"/>
              </w:rPr>
              <w:t xml:space="preserve"> </w:t>
            </w:r>
            <w:proofErr w:type="spellStart"/>
            <w:r w:rsidRPr="00A012FE">
              <w:rPr>
                <w:color w:val="000000"/>
                <w:sz w:val="20"/>
                <w:szCs w:val="20"/>
              </w:rPr>
              <w:t>poskyto</w:t>
            </w:r>
            <w:r>
              <w:rPr>
                <w:color w:val="000000"/>
                <w:sz w:val="20"/>
                <w:szCs w:val="20"/>
              </w:rPr>
              <w:t>-</w:t>
            </w:r>
            <w:r w:rsidRPr="00A012FE">
              <w:rPr>
                <w:color w:val="000000"/>
                <w:sz w:val="20"/>
                <w:szCs w:val="20"/>
              </w:rPr>
              <w:t>vatelem</w:t>
            </w:r>
            <w:proofErr w:type="spellEnd"/>
          </w:p>
        </w:tc>
        <w:tc>
          <w:tcPr>
            <w:tcW w:w="349" w:type="pct"/>
            <w:shd w:val="clear" w:color="auto" w:fill="auto"/>
            <w:noWrap/>
            <w:vAlign w:val="center"/>
            <w:hideMark/>
          </w:tcPr>
          <w:p w:rsidR="00B165C2" w:rsidRPr="00A012FE" w:rsidRDefault="00B165C2" w:rsidP="007A106C">
            <w:pPr>
              <w:jc w:val="center"/>
              <w:rPr>
                <w:color w:val="000000"/>
                <w:sz w:val="20"/>
                <w:szCs w:val="20"/>
              </w:rPr>
            </w:pPr>
            <w:r w:rsidRPr="00A012FE">
              <w:rPr>
                <w:color w:val="000000"/>
                <w:sz w:val="20"/>
                <w:szCs w:val="20"/>
              </w:rPr>
              <w:t>3</w:t>
            </w:r>
            <w:r>
              <w:rPr>
                <w:color w:val="000000"/>
                <w:sz w:val="20"/>
                <w:szCs w:val="20"/>
              </w:rPr>
              <w:t>1</w:t>
            </w:r>
          </w:p>
        </w:tc>
        <w:tc>
          <w:tcPr>
            <w:tcW w:w="1399"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Neposkytnutí povinné součinnosti poskytovateli/ŘO např. neoznámení změny projektu, neposkytnutí ZS/ŘO vyžádaných dokladů a informací.</w:t>
            </w:r>
          </w:p>
        </w:tc>
        <w:tc>
          <w:tcPr>
            <w:tcW w:w="558"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95 – 99 %</w:t>
            </w:r>
          </w:p>
        </w:tc>
        <w:tc>
          <w:tcPr>
            <w:tcW w:w="697"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dotace</w:t>
            </w:r>
          </w:p>
        </w:tc>
        <w:tc>
          <w:tcPr>
            <w:tcW w:w="1470"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 </w:t>
            </w:r>
          </w:p>
        </w:tc>
      </w:tr>
      <w:tr w:rsidR="00B165C2" w:rsidRPr="00A012FE" w:rsidTr="007A106C">
        <w:trPr>
          <w:trHeight w:val="1275"/>
        </w:trPr>
        <w:tc>
          <w:tcPr>
            <w:tcW w:w="527" w:type="pct"/>
            <w:shd w:val="clear" w:color="auto" w:fill="auto"/>
            <w:vAlign w:val="center"/>
            <w:hideMark/>
          </w:tcPr>
          <w:p w:rsidR="00B165C2" w:rsidRPr="00A012FE" w:rsidRDefault="00B165C2" w:rsidP="007A106C">
            <w:pPr>
              <w:jc w:val="center"/>
              <w:rPr>
                <w:color w:val="000000"/>
                <w:sz w:val="20"/>
                <w:szCs w:val="20"/>
              </w:rPr>
            </w:pPr>
            <w:r w:rsidRPr="00A012FE">
              <w:rPr>
                <w:color w:val="000000"/>
                <w:sz w:val="20"/>
                <w:szCs w:val="20"/>
              </w:rPr>
              <w:t>Skuteč</w:t>
            </w:r>
            <w:r>
              <w:rPr>
                <w:color w:val="000000"/>
                <w:sz w:val="20"/>
                <w:szCs w:val="20"/>
              </w:rPr>
              <w:t>-</w:t>
            </w:r>
            <w:proofErr w:type="spellStart"/>
            <w:r w:rsidRPr="00A012FE">
              <w:rPr>
                <w:color w:val="000000"/>
                <w:sz w:val="20"/>
                <w:szCs w:val="20"/>
              </w:rPr>
              <w:t>nosti</w:t>
            </w:r>
            <w:proofErr w:type="spellEnd"/>
            <w:r w:rsidRPr="00A012FE">
              <w:rPr>
                <w:color w:val="000000"/>
                <w:sz w:val="20"/>
                <w:szCs w:val="20"/>
              </w:rPr>
              <w:t xml:space="preserve"> nezávislé na vůli příjemce</w:t>
            </w:r>
          </w:p>
        </w:tc>
        <w:tc>
          <w:tcPr>
            <w:tcW w:w="349" w:type="pct"/>
            <w:shd w:val="clear" w:color="auto" w:fill="auto"/>
            <w:noWrap/>
            <w:vAlign w:val="center"/>
            <w:hideMark/>
          </w:tcPr>
          <w:p w:rsidR="00B165C2" w:rsidRPr="00A012FE" w:rsidRDefault="00B165C2" w:rsidP="007A106C">
            <w:pPr>
              <w:jc w:val="center"/>
              <w:rPr>
                <w:color w:val="000000"/>
                <w:sz w:val="20"/>
                <w:szCs w:val="20"/>
              </w:rPr>
            </w:pPr>
            <w:r w:rsidRPr="00A012FE">
              <w:rPr>
                <w:color w:val="000000"/>
                <w:sz w:val="20"/>
                <w:szCs w:val="20"/>
              </w:rPr>
              <w:t>3</w:t>
            </w:r>
            <w:r>
              <w:rPr>
                <w:color w:val="000000"/>
                <w:sz w:val="20"/>
                <w:szCs w:val="20"/>
              </w:rPr>
              <w:t>2</w:t>
            </w:r>
          </w:p>
        </w:tc>
        <w:tc>
          <w:tcPr>
            <w:tcW w:w="1399"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Porušení povinnosti z důvodu živelních katastrof (povodeň, vichřice atd.), prokázané chyby poskytovatele, vlivem státem změněné situace.</w:t>
            </w:r>
          </w:p>
        </w:tc>
        <w:tc>
          <w:tcPr>
            <w:tcW w:w="558"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100 %</w:t>
            </w:r>
          </w:p>
        </w:tc>
        <w:tc>
          <w:tcPr>
            <w:tcW w:w="697"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dotace/výše dotčených výdajů</w:t>
            </w:r>
          </w:p>
        </w:tc>
        <w:tc>
          <w:tcPr>
            <w:tcW w:w="1470"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 </w:t>
            </w:r>
          </w:p>
        </w:tc>
      </w:tr>
    </w:tbl>
    <w:p w:rsidR="00B165C2" w:rsidRDefault="00B165C2" w:rsidP="00B165C2">
      <w:pPr>
        <w:rPr>
          <w:b/>
        </w:rPr>
      </w:pPr>
    </w:p>
    <w:p w:rsidR="00B165C2" w:rsidRDefault="00B165C2" w:rsidP="00B165C2">
      <w:pPr>
        <w:spacing w:after="0"/>
        <w:jc w:val="left"/>
        <w:rPr>
          <w:b/>
        </w:rPr>
      </w:pPr>
      <w:r>
        <w:rPr>
          <w:b/>
        </w:rPr>
        <w:br w:type="page"/>
      </w:r>
    </w:p>
    <w:p w:rsidR="00B165C2" w:rsidRPr="00CB4918" w:rsidRDefault="00B165C2" w:rsidP="00B165C2">
      <w:pPr>
        <w:rPr>
          <w:b/>
        </w:rPr>
      </w:pPr>
      <w:r w:rsidRPr="00CB4918">
        <w:rPr>
          <w:b/>
        </w:rPr>
        <w:lastRenderedPageBreak/>
        <w:t xml:space="preserve">Veřejné zakázky: </w:t>
      </w:r>
    </w:p>
    <w:p w:rsidR="00B165C2" w:rsidRDefault="00B165C2" w:rsidP="00B165C2">
      <w:r w:rsidRPr="00BD7EA4">
        <w:t>Pokud dojde k souběhu porušení více pravidel</w:t>
      </w:r>
      <w:r>
        <w:t xml:space="preserve"> v rámci jednotlivého výběrového/zadávacího řízení</w:t>
      </w:r>
      <w:r w:rsidRPr="00BD7EA4">
        <w:t>, procentní částky se nesčítají a sazba finanční opravy je uložena podle nejzávažnějšího porušení.</w:t>
      </w:r>
    </w:p>
    <w:p w:rsidR="00B165C2" w:rsidRDefault="00B165C2" w:rsidP="00B165C2">
      <w:r>
        <w:t xml:space="preserve">Dle nového Rozhodnutí EK ze dne 13. 12. 2013 se mají tyto finanční opravy uplatňovat v případě nesrovnalostí, které představují porušení pravidel pro zadávání veřejných zakázek platných pro zakázky financované z rozpočtu Unie v rámci metodiky sdíleného řízení. Sankce, týkající se pouze veřejných zakázek dle ZVZ, jsou vybarveny šedě.  </w:t>
      </w:r>
    </w:p>
    <w:tbl>
      <w:tblPr>
        <w:tblW w:w="54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76"/>
        <w:gridCol w:w="707"/>
        <w:gridCol w:w="2835"/>
        <w:gridCol w:w="1266"/>
        <w:gridCol w:w="1279"/>
        <w:gridCol w:w="2968"/>
      </w:tblGrid>
      <w:tr w:rsidR="00B165C2" w:rsidRPr="00A012FE" w:rsidTr="007A106C">
        <w:trPr>
          <w:trHeight w:val="1785"/>
        </w:trPr>
        <w:tc>
          <w:tcPr>
            <w:tcW w:w="531" w:type="pct"/>
            <w:vMerge w:val="restart"/>
            <w:hideMark/>
          </w:tcPr>
          <w:p w:rsidR="00B165C2" w:rsidRPr="00A012FE" w:rsidRDefault="00B165C2" w:rsidP="007A106C">
            <w:pPr>
              <w:jc w:val="center"/>
              <w:rPr>
                <w:sz w:val="20"/>
                <w:szCs w:val="20"/>
              </w:rPr>
            </w:pPr>
            <w:r>
              <w:rPr>
                <w:sz w:val="20"/>
                <w:szCs w:val="20"/>
              </w:rPr>
              <w:t>1. Zadávací podmínky</w:t>
            </w:r>
          </w:p>
        </w:tc>
        <w:tc>
          <w:tcPr>
            <w:tcW w:w="349" w:type="pct"/>
            <w:shd w:val="clear" w:color="auto" w:fill="auto"/>
            <w:vAlign w:val="center"/>
            <w:hideMark/>
          </w:tcPr>
          <w:p w:rsidR="00B165C2" w:rsidRPr="00A012FE" w:rsidRDefault="00B165C2" w:rsidP="007A106C">
            <w:pPr>
              <w:rPr>
                <w:sz w:val="20"/>
                <w:szCs w:val="20"/>
              </w:rPr>
            </w:pPr>
            <w:r>
              <w:rPr>
                <w:sz w:val="20"/>
                <w:szCs w:val="20"/>
              </w:rPr>
              <w:t>33a</w:t>
            </w:r>
          </w:p>
        </w:tc>
        <w:tc>
          <w:tcPr>
            <w:tcW w:w="1399" w:type="pct"/>
            <w:shd w:val="clear" w:color="auto" w:fill="auto"/>
            <w:vAlign w:val="center"/>
            <w:hideMark/>
          </w:tcPr>
          <w:p w:rsidR="00B165C2" w:rsidRPr="00A012FE" w:rsidRDefault="00B165C2" w:rsidP="007A106C">
            <w:pPr>
              <w:rPr>
                <w:sz w:val="20"/>
                <w:szCs w:val="20"/>
              </w:rPr>
            </w:pPr>
            <w:r w:rsidRPr="00A012FE">
              <w:rPr>
                <w:sz w:val="20"/>
                <w:szCs w:val="20"/>
              </w:rPr>
              <w:t>Zakázka byla zadána, aniž by bylo výběrové/zadávací řízení zahájeno požadovaným způsobem</w:t>
            </w:r>
            <w:r>
              <w:rPr>
                <w:sz w:val="20"/>
                <w:szCs w:val="20"/>
              </w:rPr>
              <w:t xml:space="preserve"> dle ZP nebo ZVZ</w:t>
            </w:r>
            <w:r w:rsidRPr="00A012FE">
              <w:rPr>
                <w:sz w:val="20"/>
                <w:szCs w:val="20"/>
              </w:rPr>
              <w:t xml:space="preserve">. </w:t>
            </w:r>
          </w:p>
        </w:tc>
        <w:tc>
          <w:tcPr>
            <w:tcW w:w="625" w:type="pct"/>
            <w:shd w:val="clear" w:color="auto" w:fill="auto"/>
            <w:vAlign w:val="center"/>
            <w:hideMark/>
          </w:tcPr>
          <w:p w:rsidR="00B165C2" w:rsidRPr="00A012FE" w:rsidRDefault="00B165C2" w:rsidP="007A106C">
            <w:pPr>
              <w:rPr>
                <w:sz w:val="20"/>
                <w:szCs w:val="20"/>
              </w:rPr>
            </w:pPr>
            <w:r>
              <w:rPr>
                <w:sz w:val="20"/>
                <w:szCs w:val="20"/>
              </w:rPr>
              <w:t>0 % - 75 %</w:t>
            </w:r>
          </w:p>
        </w:tc>
        <w:tc>
          <w:tcPr>
            <w:tcW w:w="631" w:type="pct"/>
            <w:shd w:val="clear" w:color="auto" w:fill="auto"/>
            <w:noWrap/>
            <w:vAlign w:val="center"/>
            <w:hideMark/>
          </w:tcPr>
          <w:p w:rsidR="00B165C2" w:rsidRPr="00A012FE" w:rsidRDefault="00B165C2" w:rsidP="007A106C">
            <w:pPr>
              <w:rPr>
                <w:sz w:val="20"/>
                <w:szCs w:val="20"/>
              </w:rPr>
            </w:pPr>
            <w:r w:rsidRPr="00A012FE">
              <w:rPr>
                <w:sz w:val="20"/>
                <w:szCs w:val="20"/>
              </w:rPr>
              <w:t>předložený výdaj z VŘ</w:t>
            </w:r>
          </w:p>
        </w:tc>
        <w:tc>
          <w:tcPr>
            <w:tcW w:w="1465" w:type="pct"/>
            <w:shd w:val="clear" w:color="auto" w:fill="auto"/>
            <w:vAlign w:val="center"/>
            <w:hideMark/>
          </w:tcPr>
          <w:p w:rsidR="00B165C2" w:rsidRDefault="00B165C2" w:rsidP="007A106C">
            <w:pPr>
              <w:rPr>
                <w:sz w:val="20"/>
                <w:szCs w:val="20"/>
              </w:rPr>
            </w:pPr>
            <w:r>
              <w:rPr>
                <w:sz w:val="20"/>
                <w:szCs w:val="20"/>
              </w:rPr>
              <w:t>0 %, nebo</w:t>
            </w:r>
          </w:p>
          <w:p w:rsidR="00B165C2" w:rsidRPr="00A012FE" w:rsidRDefault="00B165C2" w:rsidP="007A106C">
            <w:pPr>
              <w:rPr>
                <w:sz w:val="20"/>
                <w:szCs w:val="20"/>
              </w:rPr>
            </w:pPr>
            <w:r>
              <w:rPr>
                <w:sz w:val="20"/>
                <w:szCs w:val="20"/>
              </w:rPr>
              <w:t xml:space="preserve">max. 75% pokud byla </w:t>
            </w:r>
            <w:r w:rsidRPr="00A012FE">
              <w:rPr>
                <w:sz w:val="20"/>
                <w:szCs w:val="20"/>
              </w:rPr>
              <w:t>dodržena určitá míra zveřejnění</w:t>
            </w:r>
            <w:r>
              <w:rPr>
                <w:sz w:val="20"/>
                <w:szCs w:val="20"/>
              </w:rPr>
              <w:t>.</w:t>
            </w:r>
            <w:r w:rsidRPr="00A012FE">
              <w:rPr>
                <w:sz w:val="20"/>
                <w:szCs w:val="20"/>
              </w:rPr>
              <w:t xml:space="preserve"> </w:t>
            </w:r>
          </w:p>
        </w:tc>
      </w:tr>
      <w:tr w:rsidR="00B165C2" w:rsidRPr="00A012FE" w:rsidTr="007A106C">
        <w:trPr>
          <w:trHeight w:val="1020"/>
        </w:trPr>
        <w:tc>
          <w:tcPr>
            <w:tcW w:w="531" w:type="pct"/>
            <w:vMerge/>
            <w:vAlign w:val="center"/>
            <w:hideMark/>
          </w:tcPr>
          <w:p w:rsidR="00B165C2" w:rsidRPr="00A012FE" w:rsidRDefault="00B165C2" w:rsidP="007A106C">
            <w:pPr>
              <w:rPr>
                <w:sz w:val="20"/>
                <w:szCs w:val="20"/>
              </w:rPr>
            </w:pPr>
          </w:p>
        </w:tc>
        <w:tc>
          <w:tcPr>
            <w:tcW w:w="349" w:type="pct"/>
            <w:shd w:val="clear" w:color="auto" w:fill="auto"/>
            <w:vAlign w:val="center"/>
            <w:hideMark/>
          </w:tcPr>
          <w:p w:rsidR="00B165C2" w:rsidRPr="00A012FE" w:rsidRDefault="00B165C2" w:rsidP="007A106C">
            <w:pPr>
              <w:rPr>
                <w:sz w:val="20"/>
                <w:szCs w:val="20"/>
              </w:rPr>
            </w:pPr>
            <w:r>
              <w:rPr>
                <w:sz w:val="20"/>
                <w:szCs w:val="20"/>
              </w:rPr>
              <w:t>33b</w:t>
            </w:r>
          </w:p>
        </w:tc>
        <w:tc>
          <w:tcPr>
            <w:tcW w:w="1399" w:type="pct"/>
            <w:shd w:val="clear" w:color="auto" w:fill="auto"/>
            <w:vAlign w:val="center"/>
            <w:hideMark/>
          </w:tcPr>
          <w:p w:rsidR="00B165C2" w:rsidRPr="00A012FE" w:rsidRDefault="00B165C2" w:rsidP="007A106C">
            <w:pPr>
              <w:rPr>
                <w:sz w:val="20"/>
                <w:szCs w:val="20"/>
              </w:rPr>
            </w:pPr>
            <w:r w:rsidRPr="00A012FE">
              <w:rPr>
                <w:sz w:val="20"/>
                <w:szCs w:val="20"/>
              </w:rPr>
              <w:t xml:space="preserve">Předmět zakázky je rozdělen tak, že došlo ke snížení předpokládané hodnoty pod limity stanovené ZP </w:t>
            </w:r>
            <w:r>
              <w:rPr>
                <w:sz w:val="20"/>
                <w:szCs w:val="20"/>
              </w:rPr>
              <w:t xml:space="preserve">nebo ZVZ </w:t>
            </w:r>
            <w:r w:rsidRPr="00A012FE">
              <w:rPr>
                <w:sz w:val="20"/>
                <w:szCs w:val="20"/>
              </w:rPr>
              <w:t>a tím došlo k jeho zadání v mírnějším režimu, než je stanoven pro předmět zakázky před jejím rozdělením.</w:t>
            </w:r>
          </w:p>
        </w:tc>
        <w:tc>
          <w:tcPr>
            <w:tcW w:w="625" w:type="pct"/>
            <w:shd w:val="clear" w:color="auto" w:fill="auto"/>
            <w:vAlign w:val="center"/>
            <w:hideMark/>
          </w:tcPr>
          <w:p w:rsidR="00B165C2" w:rsidRPr="00A012FE" w:rsidRDefault="00B165C2" w:rsidP="007A106C">
            <w:pPr>
              <w:rPr>
                <w:sz w:val="20"/>
                <w:szCs w:val="20"/>
              </w:rPr>
            </w:pPr>
            <w:r>
              <w:rPr>
                <w:sz w:val="20"/>
                <w:szCs w:val="20"/>
              </w:rPr>
              <w:t>0 % - 75 %</w:t>
            </w:r>
          </w:p>
        </w:tc>
        <w:tc>
          <w:tcPr>
            <w:tcW w:w="631" w:type="pct"/>
            <w:shd w:val="clear" w:color="auto" w:fill="auto"/>
            <w:vAlign w:val="center"/>
            <w:hideMark/>
          </w:tcPr>
          <w:p w:rsidR="00B165C2" w:rsidRPr="00A012FE" w:rsidRDefault="00B165C2" w:rsidP="007A106C">
            <w:pPr>
              <w:rPr>
                <w:sz w:val="20"/>
                <w:szCs w:val="20"/>
              </w:rPr>
            </w:pPr>
            <w:r w:rsidRPr="00A012FE">
              <w:rPr>
                <w:sz w:val="20"/>
                <w:szCs w:val="20"/>
              </w:rPr>
              <w:t>předložený výdaj z VŘ</w:t>
            </w:r>
          </w:p>
        </w:tc>
        <w:tc>
          <w:tcPr>
            <w:tcW w:w="1465" w:type="pct"/>
            <w:shd w:val="clear" w:color="auto" w:fill="auto"/>
            <w:vAlign w:val="center"/>
            <w:hideMark/>
          </w:tcPr>
          <w:p w:rsidR="00B165C2" w:rsidRDefault="00B165C2" w:rsidP="007A106C">
            <w:pPr>
              <w:rPr>
                <w:sz w:val="20"/>
                <w:szCs w:val="20"/>
              </w:rPr>
            </w:pPr>
            <w:r>
              <w:rPr>
                <w:sz w:val="20"/>
                <w:szCs w:val="20"/>
              </w:rPr>
              <w:t>0 %, nebo</w:t>
            </w:r>
          </w:p>
          <w:p w:rsidR="00B165C2" w:rsidRPr="00A012FE" w:rsidRDefault="00B165C2" w:rsidP="007A106C">
            <w:pPr>
              <w:rPr>
                <w:sz w:val="20"/>
                <w:szCs w:val="20"/>
              </w:rPr>
            </w:pPr>
            <w:r>
              <w:rPr>
                <w:sz w:val="20"/>
                <w:szCs w:val="20"/>
              </w:rPr>
              <w:t>max. 75 % pokud byla dodržena určitá míra uveřejnění</w:t>
            </w:r>
            <w:r>
              <w:t xml:space="preserve"> </w:t>
            </w:r>
            <w:r w:rsidRPr="003E6BDB">
              <w:rPr>
                <w:sz w:val="20"/>
                <w:szCs w:val="20"/>
              </w:rPr>
              <w:t>a zadavatel umožnil podávat nabídky i dodavatelům, které k podání nabídky nevyzval.</w:t>
            </w:r>
            <w:r>
              <w:rPr>
                <w:sz w:val="20"/>
                <w:szCs w:val="20"/>
              </w:rPr>
              <w:t xml:space="preserve"> </w:t>
            </w:r>
          </w:p>
        </w:tc>
      </w:tr>
      <w:tr w:rsidR="00B165C2" w:rsidRPr="00A012FE" w:rsidTr="007A106C">
        <w:trPr>
          <w:trHeight w:val="765"/>
        </w:trPr>
        <w:tc>
          <w:tcPr>
            <w:tcW w:w="531" w:type="pct"/>
            <w:vMerge/>
            <w:vAlign w:val="center"/>
            <w:hideMark/>
          </w:tcPr>
          <w:p w:rsidR="00B165C2" w:rsidRPr="00A012FE" w:rsidRDefault="00B165C2" w:rsidP="007A106C">
            <w:pPr>
              <w:rPr>
                <w:sz w:val="20"/>
                <w:szCs w:val="20"/>
              </w:rPr>
            </w:pPr>
          </w:p>
        </w:tc>
        <w:tc>
          <w:tcPr>
            <w:tcW w:w="349" w:type="pct"/>
            <w:vMerge w:val="restart"/>
            <w:shd w:val="clear" w:color="auto" w:fill="auto"/>
            <w:vAlign w:val="center"/>
            <w:hideMark/>
          </w:tcPr>
          <w:p w:rsidR="00B165C2" w:rsidRPr="00A012FE" w:rsidRDefault="00B165C2" w:rsidP="007A106C">
            <w:pPr>
              <w:rPr>
                <w:sz w:val="20"/>
                <w:szCs w:val="20"/>
              </w:rPr>
            </w:pPr>
            <w:r>
              <w:rPr>
                <w:sz w:val="20"/>
                <w:szCs w:val="20"/>
              </w:rPr>
              <w:t>33c</w:t>
            </w:r>
          </w:p>
        </w:tc>
        <w:tc>
          <w:tcPr>
            <w:tcW w:w="1399" w:type="pct"/>
            <w:vMerge w:val="restart"/>
            <w:shd w:val="clear" w:color="auto" w:fill="auto"/>
            <w:vAlign w:val="center"/>
            <w:hideMark/>
          </w:tcPr>
          <w:p w:rsidR="00B165C2" w:rsidRPr="00A012FE" w:rsidRDefault="00B165C2" w:rsidP="007A106C">
            <w:pPr>
              <w:rPr>
                <w:sz w:val="20"/>
                <w:szCs w:val="20"/>
              </w:rPr>
            </w:pPr>
            <w:r w:rsidRPr="00A012FE">
              <w:rPr>
                <w:sz w:val="20"/>
                <w:szCs w:val="20"/>
              </w:rPr>
              <w:t xml:space="preserve">Lhůty pro podání nabídek </w:t>
            </w:r>
            <w:r w:rsidRPr="00A012FE">
              <w:rPr>
                <w:b/>
                <w:bCs/>
                <w:sz w:val="20"/>
                <w:szCs w:val="20"/>
              </w:rPr>
              <w:t xml:space="preserve">/ </w:t>
            </w:r>
            <w:r w:rsidRPr="00A012FE">
              <w:rPr>
                <w:sz w:val="20"/>
                <w:szCs w:val="20"/>
              </w:rPr>
              <w:t>žádostí o účast byly kratší než lhůty uvedené v ZVZ nebo v ZP.</w:t>
            </w:r>
          </w:p>
        </w:tc>
        <w:tc>
          <w:tcPr>
            <w:tcW w:w="625" w:type="pct"/>
            <w:vMerge w:val="restart"/>
            <w:shd w:val="clear" w:color="auto" w:fill="auto"/>
            <w:vAlign w:val="center"/>
            <w:hideMark/>
          </w:tcPr>
          <w:p w:rsidR="00B165C2" w:rsidRPr="00A012FE" w:rsidRDefault="00B165C2" w:rsidP="007A106C">
            <w:pPr>
              <w:rPr>
                <w:sz w:val="20"/>
                <w:szCs w:val="20"/>
              </w:rPr>
            </w:pPr>
            <w:r>
              <w:rPr>
                <w:sz w:val="20"/>
                <w:szCs w:val="20"/>
              </w:rPr>
              <w:t>75 % - 98 </w:t>
            </w:r>
            <w:r w:rsidRPr="00A012FE">
              <w:rPr>
                <w:sz w:val="20"/>
                <w:szCs w:val="20"/>
              </w:rPr>
              <w:t>%</w:t>
            </w:r>
          </w:p>
        </w:tc>
        <w:tc>
          <w:tcPr>
            <w:tcW w:w="631" w:type="pct"/>
            <w:vMerge w:val="restart"/>
            <w:shd w:val="clear" w:color="auto" w:fill="auto"/>
            <w:noWrap/>
            <w:vAlign w:val="center"/>
            <w:hideMark/>
          </w:tcPr>
          <w:p w:rsidR="00B165C2" w:rsidRPr="00A012FE" w:rsidRDefault="00B165C2" w:rsidP="007A106C">
            <w:pPr>
              <w:rPr>
                <w:sz w:val="20"/>
                <w:szCs w:val="20"/>
              </w:rPr>
            </w:pPr>
            <w:r w:rsidRPr="00A012FE">
              <w:rPr>
                <w:sz w:val="20"/>
                <w:szCs w:val="20"/>
              </w:rPr>
              <w:t>předložený výdaj z VŘ</w:t>
            </w:r>
          </w:p>
        </w:tc>
        <w:tc>
          <w:tcPr>
            <w:tcW w:w="1465" w:type="pct"/>
            <w:shd w:val="clear" w:color="auto" w:fill="auto"/>
            <w:vAlign w:val="center"/>
            <w:hideMark/>
          </w:tcPr>
          <w:p w:rsidR="00B165C2" w:rsidRPr="00A012FE" w:rsidRDefault="00B165C2" w:rsidP="007A106C">
            <w:pPr>
              <w:rPr>
                <w:sz w:val="20"/>
                <w:szCs w:val="20"/>
              </w:rPr>
            </w:pPr>
            <w:r>
              <w:rPr>
                <w:sz w:val="20"/>
                <w:szCs w:val="20"/>
              </w:rPr>
              <w:t xml:space="preserve">75 %, </w:t>
            </w:r>
            <w:r w:rsidRPr="00A012FE">
              <w:rPr>
                <w:sz w:val="20"/>
                <w:szCs w:val="20"/>
              </w:rPr>
              <w:t>pokud je délka lhůty kratší alespoň o 50</w:t>
            </w:r>
            <w:r>
              <w:rPr>
                <w:sz w:val="20"/>
                <w:szCs w:val="20"/>
              </w:rPr>
              <w:t> </w:t>
            </w:r>
            <w:r w:rsidRPr="00A012FE">
              <w:rPr>
                <w:sz w:val="20"/>
                <w:szCs w:val="20"/>
              </w:rPr>
              <w:t>% její stanovené délky, nebo</w:t>
            </w:r>
          </w:p>
        </w:tc>
      </w:tr>
      <w:tr w:rsidR="00B165C2" w:rsidRPr="00A012FE" w:rsidTr="007A106C">
        <w:trPr>
          <w:trHeight w:val="765"/>
        </w:trPr>
        <w:tc>
          <w:tcPr>
            <w:tcW w:w="531" w:type="pct"/>
            <w:vMerge/>
            <w:vAlign w:val="center"/>
            <w:hideMark/>
          </w:tcPr>
          <w:p w:rsidR="00B165C2" w:rsidRPr="00A012FE" w:rsidRDefault="00B165C2" w:rsidP="007A106C">
            <w:pPr>
              <w:rPr>
                <w:sz w:val="20"/>
                <w:szCs w:val="20"/>
              </w:rPr>
            </w:pPr>
          </w:p>
        </w:tc>
        <w:tc>
          <w:tcPr>
            <w:tcW w:w="349" w:type="pct"/>
            <w:vMerge/>
            <w:vAlign w:val="center"/>
            <w:hideMark/>
          </w:tcPr>
          <w:p w:rsidR="00B165C2" w:rsidRPr="00A012FE" w:rsidRDefault="00B165C2" w:rsidP="007A106C">
            <w:pPr>
              <w:rPr>
                <w:sz w:val="20"/>
                <w:szCs w:val="20"/>
              </w:rPr>
            </w:pPr>
          </w:p>
        </w:tc>
        <w:tc>
          <w:tcPr>
            <w:tcW w:w="1399" w:type="pct"/>
            <w:vMerge/>
            <w:vAlign w:val="center"/>
            <w:hideMark/>
          </w:tcPr>
          <w:p w:rsidR="00B165C2" w:rsidRPr="00A012FE" w:rsidRDefault="00B165C2" w:rsidP="007A106C">
            <w:pPr>
              <w:rPr>
                <w:sz w:val="20"/>
                <w:szCs w:val="20"/>
              </w:rPr>
            </w:pPr>
          </w:p>
        </w:tc>
        <w:tc>
          <w:tcPr>
            <w:tcW w:w="625" w:type="pct"/>
            <w:vMerge/>
            <w:shd w:val="clear" w:color="auto" w:fill="auto"/>
            <w:vAlign w:val="center"/>
            <w:hideMark/>
          </w:tcPr>
          <w:p w:rsidR="00B165C2" w:rsidRPr="00A012FE" w:rsidRDefault="00B165C2" w:rsidP="007A106C">
            <w:pPr>
              <w:rPr>
                <w:sz w:val="20"/>
                <w:szCs w:val="20"/>
              </w:rPr>
            </w:pPr>
          </w:p>
        </w:tc>
        <w:tc>
          <w:tcPr>
            <w:tcW w:w="631" w:type="pct"/>
            <w:vMerge/>
            <w:shd w:val="clear" w:color="auto" w:fill="auto"/>
            <w:noWrap/>
            <w:vAlign w:val="center"/>
            <w:hideMark/>
          </w:tcPr>
          <w:p w:rsidR="00B165C2" w:rsidRPr="00A012FE" w:rsidRDefault="00B165C2" w:rsidP="007A106C">
            <w:pPr>
              <w:rPr>
                <w:sz w:val="20"/>
                <w:szCs w:val="20"/>
              </w:rPr>
            </w:pPr>
          </w:p>
        </w:tc>
        <w:tc>
          <w:tcPr>
            <w:tcW w:w="1465" w:type="pct"/>
            <w:shd w:val="clear" w:color="auto" w:fill="auto"/>
            <w:vAlign w:val="center"/>
            <w:hideMark/>
          </w:tcPr>
          <w:p w:rsidR="00B165C2" w:rsidRPr="00A012FE" w:rsidRDefault="00B165C2" w:rsidP="007A106C">
            <w:pPr>
              <w:rPr>
                <w:sz w:val="20"/>
                <w:szCs w:val="20"/>
              </w:rPr>
            </w:pPr>
            <w:r>
              <w:rPr>
                <w:sz w:val="20"/>
                <w:szCs w:val="20"/>
              </w:rPr>
              <w:t xml:space="preserve">max. 90 %, </w:t>
            </w:r>
            <w:r w:rsidRPr="00A012FE">
              <w:rPr>
                <w:sz w:val="20"/>
                <w:szCs w:val="20"/>
              </w:rPr>
              <w:t xml:space="preserve">pokud je </w:t>
            </w:r>
            <w:r>
              <w:rPr>
                <w:sz w:val="20"/>
                <w:szCs w:val="20"/>
              </w:rPr>
              <w:t>délka lhůty kratší alespoň o 30 </w:t>
            </w:r>
            <w:r w:rsidRPr="00A012FE">
              <w:rPr>
                <w:sz w:val="20"/>
                <w:szCs w:val="20"/>
              </w:rPr>
              <w:t>% její stanovené délky, nebo</w:t>
            </w:r>
          </w:p>
        </w:tc>
      </w:tr>
      <w:tr w:rsidR="00B165C2" w:rsidRPr="00A012FE" w:rsidTr="007A106C">
        <w:trPr>
          <w:trHeight w:val="765"/>
        </w:trPr>
        <w:tc>
          <w:tcPr>
            <w:tcW w:w="531" w:type="pct"/>
            <w:vMerge/>
            <w:vAlign w:val="center"/>
            <w:hideMark/>
          </w:tcPr>
          <w:p w:rsidR="00B165C2" w:rsidRPr="00A012FE" w:rsidRDefault="00B165C2" w:rsidP="007A106C">
            <w:pPr>
              <w:rPr>
                <w:sz w:val="20"/>
                <w:szCs w:val="20"/>
              </w:rPr>
            </w:pPr>
          </w:p>
        </w:tc>
        <w:tc>
          <w:tcPr>
            <w:tcW w:w="349" w:type="pct"/>
            <w:vMerge/>
            <w:vAlign w:val="center"/>
            <w:hideMark/>
          </w:tcPr>
          <w:p w:rsidR="00B165C2" w:rsidRPr="00A012FE" w:rsidRDefault="00B165C2" w:rsidP="007A106C">
            <w:pPr>
              <w:rPr>
                <w:sz w:val="20"/>
                <w:szCs w:val="20"/>
              </w:rPr>
            </w:pPr>
          </w:p>
        </w:tc>
        <w:tc>
          <w:tcPr>
            <w:tcW w:w="1399" w:type="pct"/>
            <w:vMerge/>
            <w:vAlign w:val="center"/>
            <w:hideMark/>
          </w:tcPr>
          <w:p w:rsidR="00B165C2" w:rsidRPr="00A012FE" w:rsidRDefault="00B165C2" w:rsidP="007A106C">
            <w:pPr>
              <w:rPr>
                <w:sz w:val="20"/>
                <w:szCs w:val="20"/>
              </w:rPr>
            </w:pPr>
          </w:p>
        </w:tc>
        <w:tc>
          <w:tcPr>
            <w:tcW w:w="625" w:type="pct"/>
            <w:vMerge/>
            <w:shd w:val="clear" w:color="auto" w:fill="auto"/>
            <w:vAlign w:val="center"/>
            <w:hideMark/>
          </w:tcPr>
          <w:p w:rsidR="00B165C2" w:rsidRPr="00A012FE" w:rsidRDefault="00B165C2" w:rsidP="007A106C">
            <w:pPr>
              <w:rPr>
                <w:sz w:val="20"/>
                <w:szCs w:val="20"/>
              </w:rPr>
            </w:pPr>
          </w:p>
        </w:tc>
        <w:tc>
          <w:tcPr>
            <w:tcW w:w="631" w:type="pct"/>
            <w:vMerge/>
            <w:shd w:val="clear" w:color="auto" w:fill="auto"/>
            <w:noWrap/>
            <w:vAlign w:val="center"/>
            <w:hideMark/>
          </w:tcPr>
          <w:p w:rsidR="00B165C2" w:rsidRPr="00A012FE" w:rsidRDefault="00B165C2" w:rsidP="007A106C">
            <w:pPr>
              <w:rPr>
                <w:sz w:val="20"/>
                <w:szCs w:val="20"/>
              </w:rPr>
            </w:pPr>
          </w:p>
        </w:tc>
        <w:tc>
          <w:tcPr>
            <w:tcW w:w="1465" w:type="pct"/>
            <w:shd w:val="clear" w:color="auto" w:fill="auto"/>
            <w:vAlign w:val="center"/>
            <w:hideMark/>
          </w:tcPr>
          <w:p w:rsidR="00B165C2" w:rsidRPr="00A012FE" w:rsidRDefault="00B165C2" w:rsidP="007A106C">
            <w:pPr>
              <w:rPr>
                <w:sz w:val="20"/>
                <w:szCs w:val="20"/>
              </w:rPr>
            </w:pPr>
            <w:r>
              <w:rPr>
                <w:sz w:val="20"/>
                <w:szCs w:val="20"/>
              </w:rPr>
              <w:t xml:space="preserve">95 - 98 %, </w:t>
            </w:r>
            <w:r w:rsidRPr="00A012FE">
              <w:rPr>
                <w:sz w:val="20"/>
                <w:szCs w:val="20"/>
              </w:rPr>
              <w:t xml:space="preserve">v případě jiného zkrácení lhůty pro podání nabídek/žádosti o účast. </w:t>
            </w:r>
          </w:p>
        </w:tc>
      </w:tr>
      <w:tr w:rsidR="00B165C2" w:rsidRPr="00A012FE" w:rsidTr="007A106C">
        <w:trPr>
          <w:trHeight w:val="765"/>
        </w:trPr>
        <w:tc>
          <w:tcPr>
            <w:tcW w:w="531" w:type="pct"/>
            <w:vMerge/>
            <w:vAlign w:val="center"/>
          </w:tcPr>
          <w:p w:rsidR="00B165C2" w:rsidRPr="00A012FE" w:rsidRDefault="00B165C2" w:rsidP="007A106C">
            <w:pPr>
              <w:rPr>
                <w:sz w:val="20"/>
                <w:szCs w:val="20"/>
              </w:rPr>
            </w:pPr>
          </w:p>
        </w:tc>
        <w:tc>
          <w:tcPr>
            <w:tcW w:w="349" w:type="pct"/>
            <w:vMerge w:val="restart"/>
            <w:vAlign w:val="center"/>
          </w:tcPr>
          <w:p w:rsidR="00B165C2" w:rsidRPr="003769AD" w:rsidRDefault="00B165C2" w:rsidP="007A106C">
            <w:pPr>
              <w:rPr>
                <w:sz w:val="20"/>
                <w:szCs w:val="20"/>
                <w:highlight w:val="lightGray"/>
              </w:rPr>
            </w:pPr>
            <w:r w:rsidRPr="003769AD">
              <w:rPr>
                <w:sz w:val="20"/>
                <w:szCs w:val="20"/>
                <w:highlight w:val="lightGray"/>
              </w:rPr>
              <w:t>33d</w:t>
            </w:r>
          </w:p>
        </w:tc>
        <w:tc>
          <w:tcPr>
            <w:tcW w:w="1399" w:type="pct"/>
            <w:vMerge w:val="restart"/>
            <w:vAlign w:val="center"/>
          </w:tcPr>
          <w:p w:rsidR="00B165C2" w:rsidRPr="003769AD" w:rsidRDefault="00B165C2" w:rsidP="007A106C">
            <w:pPr>
              <w:rPr>
                <w:color w:val="000000"/>
                <w:sz w:val="20"/>
                <w:szCs w:val="20"/>
                <w:highlight w:val="lightGray"/>
              </w:rPr>
            </w:pPr>
            <w:r w:rsidRPr="003769AD">
              <w:rPr>
                <w:color w:val="000000"/>
                <w:sz w:val="20"/>
                <w:szCs w:val="20"/>
                <w:highlight w:val="lightGray"/>
              </w:rPr>
              <w:t>Doba k tomu, aby si potenciální uchazeči opatřili zadávací dokumentaci, je příliš krátká, a vytváří tak neodůvodněnou překážku pro otevření zakázky hospodářské soutěži.</w:t>
            </w:r>
          </w:p>
        </w:tc>
        <w:tc>
          <w:tcPr>
            <w:tcW w:w="625" w:type="pct"/>
            <w:vMerge w:val="restart"/>
            <w:shd w:val="clear" w:color="auto" w:fill="auto"/>
            <w:vAlign w:val="center"/>
          </w:tcPr>
          <w:p w:rsidR="00B165C2" w:rsidRPr="003769AD" w:rsidRDefault="00B165C2" w:rsidP="007A106C">
            <w:pPr>
              <w:rPr>
                <w:color w:val="000000"/>
                <w:sz w:val="20"/>
                <w:szCs w:val="20"/>
                <w:highlight w:val="lightGray"/>
              </w:rPr>
            </w:pPr>
            <w:r w:rsidRPr="003769AD">
              <w:rPr>
                <w:color w:val="000000"/>
                <w:sz w:val="20"/>
                <w:szCs w:val="20"/>
                <w:highlight w:val="lightGray"/>
              </w:rPr>
              <w:t>75 % - 95 %</w:t>
            </w:r>
          </w:p>
        </w:tc>
        <w:tc>
          <w:tcPr>
            <w:tcW w:w="631" w:type="pct"/>
            <w:vMerge w:val="restart"/>
            <w:shd w:val="clear" w:color="auto" w:fill="auto"/>
            <w:noWrap/>
            <w:vAlign w:val="center"/>
          </w:tcPr>
          <w:p w:rsidR="00B165C2" w:rsidRPr="003769AD" w:rsidRDefault="00B165C2" w:rsidP="007A106C">
            <w:pPr>
              <w:rPr>
                <w:color w:val="000000"/>
                <w:sz w:val="20"/>
                <w:szCs w:val="20"/>
                <w:highlight w:val="lightGray"/>
              </w:rPr>
            </w:pPr>
            <w:r w:rsidRPr="003769AD">
              <w:rPr>
                <w:color w:val="000000"/>
                <w:sz w:val="20"/>
                <w:szCs w:val="20"/>
                <w:highlight w:val="lightGray"/>
              </w:rPr>
              <w:t>předložený výdaj z VŘ</w:t>
            </w:r>
          </w:p>
        </w:tc>
        <w:tc>
          <w:tcPr>
            <w:tcW w:w="1465" w:type="pct"/>
            <w:shd w:val="clear" w:color="auto" w:fill="auto"/>
            <w:vAlign w:val="center"/>
          </w:tcPr>
          <w:p w:rsidR="00B165C2" w:rsidRPr="003769AD" w:rsidRDefault="00B165C2" w:rsidP="007A106C">
            <w:pPr>
              <w:rPr>
                <w:sz w:val="20"/>
                <w:szCs w:val="20"/>
                <w:highlight w:val="lightGray"/>
              </w:rPr>
            </w:pPr>
            <w:r w:rsidRPr="003769AD">
              <w:rPr>
                <w:sz w:val="20"/>
                <w:szCs w:val="20"/>
                <w:highlight w:val="lightGray"/>
              </w:rPr>
              <w:t>75 %, pokud je doba, ve které potenciální uchazeči musí získat zadávací dokumentaci, kratší než 50 % časové lhůty pro doručení nabídek (v souladu s příslušnými ustanoveními), nebo</w:t>
            </w:r>
          </w:p>
        </w:tc>
      </w:tr>
      <w:tr w:rsidR="00B165C2" w:rsidRPr="00A012FE" w:rsidTr="007A106C">
        <w:trPr>
          <w:trHeight w:val="2040"/>
        </w:trPr>
        <w:tc>
          <w:tcPr>
            <w:tcW w:w="531" w:type="pct"/>
            <w:vMerge/>
            <w:vAlign w:val="center"/>
            <w:hideMark/>
          </w:tcPr>
          <w:p w:rsidR="00B165C2" w:rsidRPr="00A012FE" w:rsidRDefault="00B165C2" w:rsidP="007A106C">
            <w:pPr>
              <w:rPr>
                <w:sz w:val="20"/>
                <w:szCs w:val="20"/>
              </w:rPr>
            </w:pPr>
          </w:p>
        </w:tc>
        <w:tc>
          <w:tcPr>
            <w:tcW w:w="349" w:type="pct"/>
            <w:vMerge/>
            <w:vAlign w:val="center"/>
            <w:hideMark/>
          </w:tcPr>
          <w:p w:rsidR="00B165C2" w:rsidRPr="003769AD" w:rsidRDefault="00B165C2" w:rsidP="007A106C">
            <w:pPr>
              <w:rPr>
                <w:sz w:val="20"/>
                <w:szCs w:val="20"/>
                <w:highlight w:val="lightGray"/>
              </w:rPr>
            </w:pPr>
          </w:p>
        </w:tc>
        <w:tc>
          <w:tcPr>
            <w:tcW w:w="1399" w:type="pct"/>
            <w:vMerge/>
            <w:vAlign w:val="center"/>
            <w:hideMark/>
          </w:tcPr>
          <w:p w:rsidR="00B165C2" w:rsidRPr="003769AD" w:rsidRDefault="00B165C2" w:rsidP="007A106C">
            <w:pPr>
              <w:rPr>
                <w:sz w:val="20"/>
                <w:szCs w:val="20"/>
                <w:highlight w:val="lightGray"/>
              </w:rPr>
            </w:pPr>
          </w:p>
        </w:tc>
        <w:tc>
          <w:tcPr>
            <w:tcW w:w="625" w:type="pct"/>
            <w:vMerge/>
            <w:shd w:val="clear" w:color="auto" w:fill="auto"/>
            <w:vAlign w:val="center"/>
            <w:hideMark/>
          </w:tcPr>
          <w:p w:rsidR="00B165C2" w:rsidRPr="003769AD" w:rsidRDefault="00B165C2" w:rsidP="007A106C">
            <w:pPr>
              <w:rPr>
                <w:sz w:val="20"/>
                <w:szCs w:val="20"/>
                <w:highlight w:val="lightGray"/>
              </w:rPr>
            </w:pPr>
          </w:p>
        </w:tc>
        <w:tc>
          <w:tcPr>
            <w:tcW w:w="631" w:type="pct"/>
            <w:vMerge/>
            <w:shd w:val="clear" w:color="auto" w:fill="auto"/>
            <w:noWrap/>
            <w:vAlign w:val="center"/>
            <w:hideMark/>
          </w:tcPr>
          <w:p w:rsidR="00B165C2" w:rsidRPr="003769AD" w:rsidRDefault="00B165C2" w:rsidP="007A106C">
            <w:pPr>
              <w:rPr>
                <w:sz w:val="20"/>
                <w:szCs w:val="20"/>
                <w:highlight w:val="lightGray"/>
              </w:rPr>
            </w:pPr>
          </w:p>
        </w:tc>
        <w:tc>
          <w:tcPr>
            <w:tcW w:w="1465" w:type="pct"/>
            <w:shd w:val="clear" w:color="auto" w:fill="auto"/>
            <w:vAlign w:val="center"/>
            <w:hideMark/>
          </w:tcPr>
          <w:p w:rsidR="00B165C2" w:rsidRPr="003769AD" w:rsidRDefault="00B165C2" w:rsidP="007A106C">
            <w:pPr>
              <w:rPr>
                <w:sz w:val="20"/>
                <w:szCs w:val="20"/>
                <w:highlight w:val="lightGray"/>
              </w:rPr>
            </w:pPr>
            <w:r w:rsidRPr="003769AD">
              <w:rPr>
                <w:sz w:val="20"/>
                <w:szCs w:val="20"/>
                <w:highlight w:val="lightGray"/>
              </w:rPr>
              <w:t>max. 90 %, pokud je doba, ve které potenciální uchazeči musí získat zadávací dokumentaci, kratší než 60 % časové lhůty pro doručení nabídek, nebo</w:t>
            </w:r>
          </w:p>
        </w:tc>
      </w:tr>
      <w:tr w:rsidR="00B165C2" w:rsidRPr="00A012FE" w:rsidTr="007A106C">
        <w:trPr>
          <w:trHeight w:val="1785"/>
        </w:trPr>
        <w:tc>
          <w:tcPr>
            <w:tcW w:w="531" w:type="pct"/>
            <w:vMerge/>
            <w:vAlign w:val="center"/>
            <w:hideMark/>
          </w:tcPr>
          <w:p w:rsidR="00B165C2" w:rsidRPr="00A012FE" w:rsidRDefault="00B165C2" w:rsidP="007A106C">
            <w:pPr>
              <w:rPr>
                <w:sz w:val="20"/>
                <w:szCs w:val="20"/>
              </w:rPr>
            </w:pPr>
          </w:p>
        </w:tc>
        <w:tc>
          <w:tcPr>
            <w:tcW w:w="349" w:type="pct"/>
            <w:vMerge/>
            <w:vAlign w:val="center"/>
            <w:hideMark/>
          </w:tcPr>
          <w:p w:rsidR="00B165C2" w:rsidRPr="00A012FE" w:rsidRDefault="00B165C2" w:rsidP="007A106C">
            <w:pPr>
              <w:rPr>
                <w:sz w:val="20"/>
                <w:szCs w:val="20"/>
              </w:rPr>
            </w:pPr>
          </w:p>
        </w:tc>
        <w:tc>
          <w:tcPr>
            <w:tcW w:w="1399" w:type="pct"/>
            <w:vMerge/>
            <w:vAlign w:val="center"/>
            <w:hideMark/>
          </w:tcPr>
          <w:p w:rsidR="00B165C2" w:rsidRPr="003769AD" w:rsidRDefault="00B165C2" w:rsidP="007A106C">
            <w:pPr>
              <w:rPr>
                <w:sz w:val="20"/>
                <w:szCs w:val="20"/>
                <w:highlight w:val="green"/>
              </w:rPr>
            </w:pPr>
          </w:p>
        </w:tc>
        <w:tc>
          <w:tcPr>
            <w:tcW w:w="625" w:type="pct"/>
            <w:vMerge/>
            <w:shd w:val="clear" w:color="auto" w:fill="auto"/>
            <w:vAlign w:val="center"/>
            <w:hideMark/>
          </w:tcPr>
          <w:p w:rsidR="00B165C2" w:rsidRPr="003769AD" w:rsidRDefault="00B165C2" w:rsidP="007A106C">
            <w:pPr>
              <w:rPr>
                <w:sz w:val="20"/>
                <w:szCs w:val="20"/>
                <w:highlight w:val="green"/>
              </w:rPr>
            </w:pPr>
          </w:p>
        </w:tc>
        <w:tc>
          <w:tcPr>
            <w:tcW w:w="631" w:type="pct"/>
            <w:vMerge/>
            <w:shd w:val="clear" w:color="auto" w:fill="auto"/>
            <w:noWrap/>
            <w:vAlign w:val="center"/>
            <w:hideMark/>
          </w:tcPr>
          <w:p w:rsidR="00B165C2" w:rsidRPr="003769AD" w:rsidRDefault="00B165C2" w:rsidP="007A106C">
            <w:pPr>
              <w:rPr>
                <w:sz w:val="20"/>
                <w:szCs w:val="20"/>
                <w:highlight w:val="green"/>
              </w:rPr>
            </w:pPr>
          </w:p>
        </w:tc>
        <w:tc>
          <w:tcPr>
            <w:tcW w:w="1465" w:type="pct"/>
            <w:shd w:val="clear" w:color="auto" w:fill="auto"/>
            <w:vAlign w:val="center"/>
            <w:hideMark/>
          </w:tcPr>
          <w:p w:rsidR="00B165C2" w:rsidRPr="003769AD" w:rsidRDefault="00B165C2" w:rsidP="007A106C">
            <w:pPr>
              <w:rPr>
                <w:sz w:val="20"/>
                <w:szCs w:val="20"/>
                <w:highlight w:val="green"/>
              </w:rPr>
            </w:pPr>
            <w:r w:rsidRPr="003769AD">
              <w:rPr>
                <w:sz w:val="20"/>
                <w:szCs w:val="20"/>
                <w:highlight w:val="lightGray"/>
              </w:rPr>
              <w:t>max. 95 %, pokud je doba, ve které potenciální uchazeči musí získat zadávací dokumentaci, kratší než 80 % časového lhůty pro doručení nabídek.</w:t>
            </w:r>
          </w:p>
        </w:tc>
      </w:tr>
      <w:tr w:rsidR="00B165C2" w:rsidRPr="00A012FE" w:rsidTr="007A106C">
        <w:trPr>
          <w:trHeight w:val="255"/>
        </w:trPr>
        <w:tc>
          <w:tcPr>
            <w:tcW w:w="531" w:type="pct"/>
            <w:vMerge/>
            <w:vAlign w:val="center"/>
            <w:hideMark/>
          </w:tcPr>
          <w:p w:rsidR="00B165C2" w:rsidRPr="00A012FE" w:rsidRDefault="00B165C2" w:rsidP="007A106C">
            <w:pPr>
              <w:rPr>
                <w:sz w:val="20"/>
                <w:szCs w:val="20"/>
              </w:rPr>
            </w:pPr>
          </w:p>
        </w:tc>
        <w:tc>
          <w:tcPr>
            <w:tcW w:w="349" w:type="pct"/>
            <w:shd w:val="clear" w:color="auto" w:fill="auto"/>
            <w:vAlign w:val="center"/>
            <w:hideMark/>
          </w:tcPr>
          <w:p w:rsidR="00B165C2" w:rsidRPr="00A012FE" w:rsidRDefault="00B165C2" w:rsidP="007A106C">
            <w:pPr>
              <w:rPr>
                <w:sz w:val="20"/>
                <w:szCs w:val="20"/>
              </w:rPr>
            </w:pPr>
            <w:r>
              <w:rPr>
                <w:sz w:val="20"/>
                <w:szCs w:val="20"/>
              </w:rPr>
              <w:t>33e</w:t>
            </w:r>
          </w:p>
        </w:tc>
        <w:tc>
          <w:tcPr>
            <w:tcW w:w="1399" w:type="pct"/>
            <w:shd w:val="clear" w:color="auto" w:fill="auto"/>
            <w:vAlign w:val="center"/>
            <w:hideMark/>
          </w:tcPr>
          <w:p w:rsidR="00B165C2" w:rsidRPr="00A012FE" w:rsidRDefault="00B165C2" w:rsidP="007A106C">
            <w:pPr>
              <w:rPr>
                <w:sz w:val="20"/>
                <w:szCs w:val="20"/>
              </w:rPr>
            </w:pPr>
            <w:r w:rsidRPr="00A012FE">
              <w:rPr>
                <w:sz w:val="20"/>
                <w:szCs w:val="20"/>
              </w:rPr>
              <w:t>Došlo k prodloužení lhůty pro podání nabídek, ale toto prodloužení nebylo uveřejněno</w:t>
            </w:r>
            <w:r>
              <w:rPr>
                <w:sz w:val="20"/>
                <w:szCs w:val="20"/>
              </w:rPr>
              <w:t> </w:t>
            </w:r>
            <w:r w:rsidRPr="00A012FE">
              <w:rPr>
                <w:sz w:val="20"/>
                <w:szCs w:val="20"/>
              </w:rPr>
              <w:t>/</w:t>
            </w:r>
            <w:r>
              <w:rPr>
                <w:sz w:val="20"/>
                <w:szCs w:val="20"/>
              </w:rPr>
              <w:t> </w:t>
            </w:r>
            <w:r w:rsidRPr="00A012FE">
              <w:rPr>
                <w:sz w:val="20"/>
                <w:szCs w:val="20"/>
              </w:rPr>
              <w:t>odesláno stejným způsobem, jakým bylo zahájeno výběrové/zadávací  řízení.</w:t>
            </w:r>
          </w:p>
        </w:tc>
        <w:tc>
          <w:tcPr>
            <w:tcW w:w="625" w:type="pct"/>
            <w:shd w:val="clear" w:color="auto" w:fill="auto"/>
            <w:vAlign w:val="center"/>
            <w:hideMark/>
          </w:tcPr>
          <w:p w:rsidR="00B165C2" w:rsidRPr="00A012FE" w:rsidRDefault="00B165C2" w:rsidP="007A106C">
            <w:pPr>
              <w:rPr>
                <w:sz w:val="20"/>
                <w:szCs w:val="20"/>
              </w:rPr>
            </w:pPr>
            <w:r w:rsidRPr="00A012FE">
              <w:rPr>
                <w:sz w:val="20"/>
                <w:szCs w:val="20"/>
              </w:rPr>
              <w:t xml:space="preserve">90 </w:t>
            </w:r>
            <w:r>
              <w:rPr>
                <w:sz w:val="20"/>
                <w:szCs w:val="20"/>
              </w:rPr>
              <w:t>-</w:t>
            </w:r>
            <w:r w:rsidRPr="00A012FE">
              <w:rPr>
                <w:sz w:val="20"/>
                <w:szCs w:val="20"/>
              </w:rPr>
              <w:t xml:space="preserve"> 9</w:t>
            </w:r>
            <w:r>
              <w:rPr>
                <w:sz w:val="20"/>
                <w:szCs w:val="20"/>
              </w:rPr>
              <w:t>5</w:t>
            </w:r>
            <w:r w:rsidRPr="00A012FE">
              <w:rPr>
                <w:sz w:val="20"/>
                <w:szCs w:val="20"/>
              </w:rPr>
              <w:t xml:space="preserve"> %</w:t>
            </w:r>
          </w:p>
        </w:tc>
        <w:tc>
          <w:tcPr>
            <w:tcW w:w="631" w:type="pct"/>
            <w:shd w:val="clear" w:color="auto" w:fill="auto"/>
            <w:noWrap/>
            <w:vAlign w:val="center"/>
            <w:hideMark/>
          </w:tcPr>
          <w:p w:rsidR="00B165C2" w:rsidRPr="00A012FE" w:rsidRDefault="00B165C2" w:rsidP="007A106C">
            <w:pPr>
              <w:rPr>
                <w:sz w:val="20"/>
                <w:szCs w:val="20"/>
              </w:rPr>
            </w:pPr>
            <w:r w:rsidRPr="00A012FE">
              <w:rPr>
                <w:sz w:val="20"/>
                <w:szCs w:val="20"/>
              </w:rPr>
              <w:t>předložený výdaj z VŘ</w:t>
            </w:r>
          </w:p>
        </w:tc>
        <w:tc>
          <w:tcPr>
            <w:tcW w:w="1465" w:type="pct"/>
            <w:shd w:val="clear" w:color="auto" w:fill="auto"/>
            <w:vAlign w:val="center"/>
            <w:hideMark/>
          </w:tcPr>
          <w:p w:rsidR="00B165C2" w:rsidRPr="00A012FE" w:rsidRDefault="00B165C2" w:rsidP="007A106C">
            <w:pPr>
              <w:rPr>
                <w:sz w:val="20"/>
                <w:szCs w:val="20"/>
              </w:rPr>
            </w:pPr>
            <w:r>
              <w:rPr>
                <w:sz w:val="20"/>
                <w:szCs w:val="20"/>
              </w:rPr>
              <w:t>90 %, nebo max. 95 % s </w:t>
            </w:r>
            <w:r w:rsidRPr="00A012FE">
              <w:rPr>
                <w:sz w:val="20"/>
                <w:szCs w:val="20"/>
              </w:rPr>
              <w:t>ohledem na závažnost porušení</w:t>
            </w:r>
            <w:r>
              <w:rPr>
                <w:sz w:val="20"/>
                <w:szCs w:val="20"/>
              </w:rPr>
              <w:t>.</w:t>
            </w:r>
          </w:p>
        </w:tc>
      </w:tr>
      <w:tr w:rsidR="00B165C2" w:rsidRPr="00A012FE" w:rsidTr="007A106C">
        <w:trPr>
          <w:trHeight w:val="255"/>
        </w:trPr>
        <w:tc>
          <w:tcPr>
            <w:tcW w:w="531" w:type="pct"/>
            <w:vMerge/>
            <w:vAlign w:val="center"/>
            <w:hideMark/>
          </w:tcPr>
          <w:p w:rsidR="00B165C2" w:rsidRPr="00A012FE" w:rsidRDefault="00B165C2" w:rsidP="007A106C">
            <w:pPr>
              <w:rPr>
                <w:sz w:val="20"/>
                <w:szCs w:val="20"/>
              </w:rPr>
            </w:pPr>
          </w:p>
        </w:tc>
        <w:tc>
          <w:tcPr>
            <w:tcW w:w="349" w:type="pct"/>
            <w:vMerge w:val="restart"/>
            <w:shd w:val="clear" w:color="auto" w:fill="auto"/>
            <w:vAlign w:val="center"/>
            <w:hideMark/>
          </w:tcPr>
          <w:p w:rsidR="00B165C2" w:rsidRPr="00A012FE" w:rsidRDefault="00B165C2" w:rsidP="007A106C">
            <w:pPr>
              <w:rPr>
                <w:sz w:val="20"/>
                <w:szCs w:val="20"/>
              </w:rPr>
            </w:pPr>
            <w:r>
              <w:rPr>
                <w:sz w:val="20"/>
                <w:szCs w:val="20"/>
              </w:rPr>
              <w:t>33f</w:t>
            </w:r>
          </w:p>
        </w:tc>
        <w:tc>
          <w:tcPr>
            <w:tcW w:w="1399" w:type="pct"/>
            <w:vMerge w:val="restart"/>
            <w:shd w:val="clear" w:color="auto" w:fill="auto"/>
            <w:vAlign w:val="center"/>
            <w:hideMark/>
          </w:tcPr>
          <w:p w:rsidR="00B165C2" w:rsidRPr="00A012FE" w:rsidRDefault="00B165C2" w:rsidP="007A106C">
            <w:pPr>
              <w:rPr>
                <w:sz w:val="20"/>
                <w:szCs w:val="20"/>
              </w:rPr>
            </w:pPr>
            <w:r w:rsidRPr="00A012FE">
              <w:rPr>
                <w:sz w:val="20"/>
                <w:szCs w:val="20"/>
              </w:rPr>
              <w:t xml:space="preserve">Hodnotící kritéria, případně jejich podrobná specifikace nejsou uvedena v zadávacích podmínkách. </w:t>
            </w:r>
          </w:p>
        </w:tc>
        <w:tc>
          <w:tcPr>
            <w:tcW w:w="625" w:type="pct"/>
            <w:vMerge w:val="restart"/>
            <w:shd w:val="clear" w:color="auto" w:fill="auto"/>
            <w:vAlign w:val="center"/>
            <w:hideMark/>
          </w:tcPr>
          <w:p w:rsidR="00B165C2" w:rsidRPr="00A012FE" w:rsidRDefault="00B165C2" w:rsidP="007A106C">
            <w:pPr>
              <w:rPr>
                <w:sz w:val="20"/>
                <w:szCs w:val="20"/>
              </w:rPr>
            </w:pPr>
            <w:r>
              <w:rPr>
                <w:sz w:val="20"/>
                <w:szCs w:val="20"/>
              </w:rPr>
              <w:t>75 % - 95 %</w:t>
            </w:r>
          </w:p>
        </w:tc>
        <w:tc>
          <w:tcPr>
            <w:tcW w:w="631" w:type="pct"/>
            <w:vMerge w:val="restart"/>
            <w:shd w:val="clear" w:color="auto" w:fill="auto"/>
            <w:noWrap/>
            <w:vAlign w:val="center"/>
            <w:hideMark/>
          </w:tcPr>
          <w:p w:rsidR="00B165C2" w:rsidRPr="00A012FE" w:rsidRDefault="00B165C2" w:rsidP="007A106C">
            <w:pPr>
              <w:rPr>
                <w:sz w:val="20"/>
                <w:szCs w:val="20"/>
              </w:rPr>
            </w:pPr>
            <w:r w:rsidRPr="00A012FE">
              <w:rPr>
                <w:sz w:val="20"/>
                <w:szCs w:val="20"/>
              </w:rPr>
              <w:t>předložený výdaj z VŘ</w:t>
            </w:r>
          </w:p>
        </w:tc>
        <w:tc>
          <w:tcPr>
            <w:tcW w:w="1465" w:type="pct"/>
            <w:shd w:val="clear" w:color="auto" w:fill="auto"/>
            <w:vAlign w:val="center"/>
            <w:hideMark/>
          </w:tcPr>
          <w:p w:rsidR="00B165C2" w:rsidRPr="00A012FE" w:rsidRDefault="00B165C2" w:rsidP="007A106C">
            <w:pPr>
              <w:rPr>
                <w:sz w:val="20"/>
                <w:szCs w:val="20"/>
              </w:rPr>
            </w:pPr>
            <w:r>
              <w:rPr>
                <w:sz w:val="20"/>
                <w:szCs w:val="20"/>
              </w:rPr>
              <w:t>75</w:t>
            </w:r>
            <w:r>
              <w:t> </w:t>
            </w:r>
            <w:r>
              <w:rPr>
                <w:sz w:val="20"/>
                <w:szCs w:val="20"/>
              </w:rPr>
              <w:t>%, nebo</w:t>
            </w:r>
          </w:p>
        </w:tc>
      </w:tr>
      <w:tr w:rsidR="00B165C2" w:rsidRPr="00A012FE" w:rsidTr="007A106C">
        <w:trPr>
          <w:trHeight w:val="1275"/>
        </w:trPr>
        <w:tc>
          <w:tcPr>
            <w:tcW w:w="531" w:type="pct"/>
            <w:vMerge/>
            <w:vAlign w:val="center"/>
            <w:hideMark/>
          </w:tcPr>
          <w:p w:rsidR="00B165C2" w:rsidRPr="00A012FE" w:rsidRDefault="00B165C2" w:rsidP="007A106C">
            <w:pPr>
              <w:rPr>
                <w:sz w:val="20"/>
                <w:szCs w:val="20"/>
              </w:rPr>
            </w:pPr>
          </w:p>
        </w:tc>
        <w:tc>
          <w:tcPr>
            <w:tcW w:w="349" w:type="pct"/>
            <w:vMerge/>
            <w:vAlign w:val="center"/>
            <w:hideMark/>
          </w:tcPr>
          <w:p w:rsidR="00B165C2" w:rsidRPr="00A012FE" w:rsidRDefault="00B165C2" w:rsidP="007A106C">
            <w:pPr>
              <w:rPr>
                <w:sz w:val="20"/>
                <w:szCs w:val="20"/>
              </w:rPr>
            </w:pPr>
          </w:p>
        </w:tc>
        <w:tc>
          <w:tcPr>
            <w:tcW w:w="1399" w:type="pct"/>
            <w:vMerge/>
            <w:vAlign w:val="center"/>
            <w:hideMark/>
          </w:tcPr>
          <w:p w:rsidR="00B165C2" w:rsidRPr="00A012FE" w:rsidRDefault="00B165C2" w:rsidP="007A106C">
            <w:pPr>
              <w:rPr>
                <w:sz w:val="20"/>
                <w:szCs w:val="20"/>
              </w:rPr>
            </w:pPr>
          </w:p>
        </w:tc>
        <w:tc>
          <w:tcPr>
            <w:tcW w:w="625" w:type="pct"/>
            <w:vMerge/>
            <w:shd w:val="clear" w:color="auto" w:fill="auto"/>
            <w:vAlign w:val="center"/>
            <w:hideMark/>
          </w:tcPr>
          <w:p w:rsidR="00B165C2" w:rsidRPr="00A012FE" w:rsidRDefault="00B165C2" w:rsidP="007A106C">
            <w:pPr>
              <w:rPr>
                <w:sz w:val="20"/>
                <w:szCs w:val="20"/>
              </w:rPr>
            </w:pPr>
          </w:p>
        </w:tc>
        <w:tc>
          <w:tcPr>
            <w:tcW w:w="631" w:type="pct"/>
            <w:vMerge/>
            <w:shd w:val="clear" w:color="auto" w:fill="auto"/>
            <w:noWrap/>
            <w:vAlign w:val="center"/>
            <w:hideMark/>
          </w:tcPr>
          <w:p w:rsidR="00B165C2" w:rsidRPr="00A012FE" w:rsidRDefault="00B165C2" w:rsidP="007A106C">
            <w:pPr>
              <w:rPr>
                <w:sz w:val="20"/>
                <w:szCs w:val="20"/>
              </w:rPr>
            </w:pPr>
          </w:p>
        </w:tc>
        <w:tc>
          <w:tcPr>
            <w:tcW w:w="1465" w:type="pct"/>
            <w:shd w:val="clear" w:color="auto" w:fill="auto"/>
            <w:vAlign w:val="center"/>
            <w:hideMark/>
          </w:tcPr>
          <w:p w:rsidR="00B165C2" w:rsidRPr="00A012FE" w:rsidRDefault="00B165C2" w:rsidP="007A106C">
            <w:pPr>
              <w:rPr>
                <w:sz w:val="20"/>
                <w:szCs w:val="20"/>
              </w:rPr>
            </w:pPr>
            <w:r>
              <w:rPr>
                <w:sz w:val="20"/>
                <w:szCs w:val="20"/>
              </w:rPr>
              <w:t>max. 90 % nebo  95 %, p</w:t>
            </w:r>
            <w:r w:rsidRPr="00A012FE">
              <w:rPr>
                <w:sz w:val="20"/>
                <w:szCs w:val="20"/>
              </w:rPr>
              <w:t>okud byla hodnotící kritéria v zadávacích podmínkách uvedena, ale nedostatečně podrobně popsána.</w:t>
            </w:r>
          </w:p>
        </w:tc>
      </w:tr>
      <w:tr w:rsidR="00B165C2" w:rsidRPr="00A012FE" w:rsidTr="007A106C">
        <w:trPr>
          <w:trHeight w:val="638"/>
        </w:trPr>
        <w:tc>
          <w:tcPr>
            <w:tcW w:w="531" w:type="pct"/>
            <w:vMerge/>
            <w:vAlign w:val="center"/>
          </w:tcPr>
          <w:p w:rsidR="00B165C2" w:rsidRPr="00A012FE" w:rsidRDefault="00B165C2" w:rsidP="007A106C">
            <w:pPr>
              <w:rPr>
                <w:sz w:val="20"/>
                <w:szCs w:val="20"/>
              </w:rPr>
            </w:pPr>
          </w:p>
        </w:tc>
        <w:tc>
          <w:tcPr>
            <w:tcW w:w="349" w:type="pct"/>
            <w:vMerge w:val="restart"/>
            <w:vAlign w:val="center"/>
          </w:tcPr>
          <w:p w:rsidR="00B165C2" w:rsidRPr="003769AD" w:rsidRDefault="00B165C2" w:rsidP="007A106C">
            <w:pPr>
              <w:rPr>
                <w:sz w:val="20"/>
                <w:szCs w:val="20"/>
                <w:highlight w:val="lightGray"/>
              </w:rPr>
            </w:pPr>
            <w:r w:rsidRPr="003769AD">
              <w:rPr>
                <w:sz w:val="20"/>
                <w:szCs w:val="20"/>
                <w:highlight w:val="lightGray"/>
              </w:rPr>
              <w:t>33g</w:t>
            </w:r>
          </w:p>
        </w:tc>
        <w:tc>
          <w:tcPr>
            <w:tcW w:w="1399" w:type="pct"/>
            <w:vMerge w:val="restart"/>
            <w:vAlign w:val="center"/>
          </w:tcPr>
          <w:p w:rsidR="00B165C2" w:rsidRPr="003769AD" w:rsidRDefault="00B165C2" w:rsidP="007A106C">
            <w:pPr>
              <w:rPr>
                <w:sz w:val="20"/>
                <w:szCs w:val="20"/>
                <w:highlight w:val="lightGray"/>
              </w:rPr>
            </w:pPr>
            <w:r w:rsidRPr="003769AD">
              <w:rPr>
                <w:sz w:val="20"/>
                <w:szCs w:val="20"/>
                <w:highlight w:val="lightGray"/>
              </w:rPr>
              <w:t>Zadavatel zadává zakázky v jednacím řízení s uveřejněním, ale takový postup není odůvodněn příslušnými ustanoveními ZVZ.</w:t>
            </w:r>
          </w:p>
        </w:tc>
        <w:tc>
          <w:tcPr>
            <w:tcW w:w="625" w:type="pct"/>
            <w:vMerge w:val="restart"/>
            <w:shd w:val="clear" w:color="auto" w:fill="auto"/>
            <w:vAlign w:val="center"/>
          </w:tcPr>
          <w:p w:rsidR="00B165C2" w:rsidRPr="003769AD" w:rsidRDefault="00B165C2" w:rsidP="007A106C">
            <w:pPr>
              <w:rPr>
                <w:sz w:val="20"/>
                <w:szCs w:val="20"/>
                <w:highlight w:val="lightGray"/>
              </w:rPr>
            </w:pPr>
            <w:r w:rsidRPr="003769AD">
              <w:rPr>
                <w:sz w:val="20"/>
                <w:szCs w:val="20"/>
                <w:highlight w:val="lightGray"/>
              </w:rPr>
              <w:t>75 % - 95 %</w:t>
            </w:r>
          </w:p>
        </w:tc>
        <w:tc>
          <w:tcPr>
            <w:tcW w:w="631" w:type="pct"/>
            <w:vMerge w:val="restart"/>
            <w:shd w:val="clear" w:color="auto" w:fill="auto"/>
            <w:noWrap/>
            <w:vAlign w:val="center"/>
          </w:tcPr>
          <w:p w:rsidR="00B165C2" w:rsidRPr="003769AD" w:rsidRDefault="00B165C2" w:rsidP="007A106C">
            <w:pPr>
              <w:rPr>
                <w:sz w:val="20"/>
                <w:szCs w:val="20"/>
                <w:highlight w:val="lightGray"/>
              </w:rPr>
            </w:pPr>
            <w:r w:rsidRPr="003769AD">
              <w:rPr>
                <w:sz w:val="20"/>
                <w:szCs w:val="20"/>
                <w:highlight w:val="lightGray"/>
              </w:rPr>
              <w:t>předložený výdaj z VŘ</w:t>
            </w:r>
          </w:p>
        </w:tc>
        <w:tc>
          <w:tcPr>
            <w:tcW w:w="1465" w:type="pct"/>
            <w:shd w:val="clear" w:color="auto" w:fill="auto"/>
            <w:vAlign w:val="center"/>
          </w:tcPr>
          <w:p w:rsidR="00B165C2" w:rsidRPr="003769AD" w:rsidRDefault="00B165C2" w:rsidP="007A106C">
            <w:pPr>
              <w:rPr>
                <w:sz w:val="20"/>
                <w:szCs w:val="20"/>
                <w:highlight w:val="lightGray"/>
              </w:rPr>
            </w:pPr>
            <w:r w:rsidRPr="003769AD">
              <w:rPr>
                <w:sz w:val="20"/>
                <w:szCs w:val="20"/>
                <w:highlight w:val="lightGray"/>
              </w:rPr>
              <w:t>75</w:t>
            </w:r>
            <w:r w:rsidRPr="003769AD">
              <w:rPr>
                <w:highlight w:val="lightGray"/>
              </w:rPr>
              <w:t> </w:t>
            </w:r>
            <w:r w:rsidRPr="003769AD">
              <w:rPr>
                <w:sz w:val="20"/>
                <w:szCs w:val="20"/>
                <w:highlight w:val="lightGray"/>
              </w:rPr>
              <w:t>%, nebo</w:t>
            </w:r>
          </w:p>
        </w:tc>
      </w:tr>
      <w:tr w:rsidR="00B165C2" w:rsidRPr="00A012FE" w:rsidTr="007A106C">
        <w:trPr>
          <w:trHeight w:val="637"/>
        </w:trPr>
        <w:tc>
          <w:tcPr>
            <w:tcW w:w="531" w:type="pct"/>
            <w:vMerge/>
            <w:vAlign w:val="center"/>
          </w:tcPr>
          <w:p w:rsidR="00B165C2" w:rsidRPr="00A012FE" w:rsidRDefault="00B165C2" w:rsidP="007A106C">
            <w:pPr>
              <w:rPr>
                <w:sz w:val="20"/>
                <w:szCs w:val="20"/>
              </w:rPr>
            </w:pPr>
          </w:p>
        </w:tc>
        <w:tc>
          <w:tcPr>
            <w:tcW w:w="349" w:type="pct"/>
            <w:vMerge/>
            <w:vAlign w:val="center"/>
          </w:tcPr>
          <w:p w:rsidR="00B165C2" w:rsidRPr="003769AD" w:rsidRDefault="00B165C2" w:rsidP="007A106C">
            <w:pPr>
              <w:rPr>
                <w:sz w:val="20"/>
                <w:szCs w:val="20"/>
                <w:highlight w:val="lightGray"/>
              </w:rPr>
            </w:pPr>
          </w:p>
        </w:tc>
        <w:tc>
          <w:tcPr>
            <w:tcW w:w="1399" w:type="pct"/>
            <w:vMerge/>
            <w:vAlign w:val="center"/>
          </w:tcPr>
          <w:p w:rsidR="00B165C2" w:rsidRPr="003769AD" w:rsidRDefault="00B165C2" w:rsidP="007A106C">
            <w:pPr>
              <w:rPr>
                <w:sz w:val="20"/>
                <w:szCs w:val="20"/>
                <w:highlight w:val="lightGray"/>
              </w:rPr>
            </w:pPr>
          </w:p>
        </w:tc>
        <w:tc>
          <w:tcPr>
            <w:tcW w:w="625" w:type="pct"/>
            <w:vMerge/>
            <w:shd w:val="clear" w:color="auto" w:fill="auto"/>
            <w:vAlign w:val="center"/>
          </w:tcPr>
          <w:p w:rsidR="00B165C2" w:rsidRPr="003769AD" w:rsidRDefault="00B165C2" w:rsidP="007A106C">
            <w:pPr>
              <w:rPr>
                <w:sz w:val="20"/>
                <w:szCs w:val="20"/>
                <w:highlight w:val="lightGray"/>
              </w:rPr>
            </w:pPr>
          </w:p>
        </w:tc>
        <w:tc>
          <w:tcPr>
            <w:tcW w:w="631" w:type="pct"/>
            <w:vMerge/>
            <w:shd w:val="clear" w:color="auto" w:fill="auto"/>
            <w:noWrap/>
            <w:vAlign w:val="center"/>
          </w:tcPr>
          <w:p w:rsidR="00B165C2" w:rsidRPr="003769AD" w:rsidRDefault="00B165C2" w:rsidP="007A106C">
            <w:pPr>
              <w:rPr>
                <w:sz w:val="20"/>
                <w:szCs w:val="20"/>
                <w:highlight w:val="lightGray"/>
              </w:rPr>
            </w:pPr>
          </w:p>
        </w:tc>
        <w:tc>
          <w:tcPr>
            <w:tcW w:w="1465" w:type="pct"/>
            <w:shd w:val="clear" w:color="auto" w:fill="auto"/>
            <w:vAlign w:val="center"/>
          </w:tcPr>
          <w:p w:rsidR="00B165C2" w:rsidRPr="003769AD" w:rsidRDefault="00B165C2" w:rsidP="007A106C">
            <w:pPr>
              <w:rPr>
                <w:sz w:val="20"/>
                <w:szCs w:val="20"/>
                <w:highlight w:val="lightGray"/>
              </w:rPr>
            </w:pPr>
            <w:r w:rsidRPr="003769AD">
              <w:rPr>
                <w:sz w:val="20"/>
                <w:szCs w:val="20"/>
                <w:highlight w:val="lightGray"/>
              </w:rPr>
              <w:t>max. 90 % nebo 95 % s ohledem na závažnost porušení.</w:t>
            </w:r>
          </w:p>
        </w:tc>
      </w:tr>
      <w:tr w:rsidR="00B165C2" w:rsidRPr="00A012FE" w:rsidTr="007A106C">
        <w:trPr>
          <w:trHeight w:val="255"/>
        </w:trPr>
        <w:tc>
          <w:tcPr>
            <w:tcW w:w="531" w:type="pct"/>
            <w:vMerge/>
            <w:vAlign w:val="center"/>
            <w:hideMark/>
          </w:tcPr>
          <w:p w:rsidR="00B165C2" w:rsidRPr="00A012FE" w:rsidRDefault="00B165C2" w:rsidP="007A106C">
            <w:pPr>
              <w:rPr>
                <w:sz w:val="20"/>
                <w:szCs w:val="20"/>
              </w:rPr>
            </w:pPr>
          </w:p>
        </w:tc>
        <w:tc>
          <w:tcPr>
            <w:tcW w:w="349" w:type="pct"/>
            <w:vMerge w:val="restart"/>
            <w:shd w:val="clear" w:color="auto" w:fill="auto"/>
            <w:vAlign w:val="center"/>
            <w:hideMark/>
          </w:tcPr>
          <w:p w:rsidR="00B165C2" w:rsidRPr="00A012FE" w:rsidRDefault="00B165C2" w:rsidP="007A106C">
            <w:pPr>
              <w:rPr>
                <w:sz w:val="20"/>
                <w:szCs w:val="20"/>
              </w:rPr>
            </w:pPr>
            <w:r>
              <w:rPr>
                <w:sz w:val="20"/>
                <w:szCs w:val="20"/>
              </w:rPr>
              <w:t>33h</w:t>
            </w:r>
          </w:p>
        </w:tc>
        <w:tc>
          <w:tcPr>
            <w:tcW w:w="1399" w:type="pct"/>
            <w:vMerge w:val="restart"/>
            <w:shd w:val="clear" w:color="auto" w:fill="auto"/>
            <w:vAlign w:val="center"/>
            <w:hideMark/>
          </w:tcPr>
          <w:p w:rsidR="00B165C2" w:rsidRPr="00A012FE" w:rsidRDefault="00B165C2" w:rsidP="007A106C">
            <w:pPr>
              <w:rPr>
                <w:sz w:val="20"/>
                <w:szCs w:val="20"/>
              </w:rPr>
            </w:pPr>
            <w:r w:rsidRPr="00A012FE">
              <w:rPr>
                <w:sz w:val="20"/>
                <w:szCs w:val="20"/>
              </w:rPr>
              <w:t>Stanovení diskriminačních kvalifikačních požadavků</w:t>
            </w:r>
            <w:r>
              <w:rPr>
                <w:sz w:val="20"/>
                <w:szCs w:val="20"/>
              </w:rPr>
              <w:t xml:space="preserve"> (</w:t>
            </w:r>
            <w:r w:rsidRPr="00863BB5">
              <w:rPr>
                <w:sz w:val="20"/>
                <w:szCs w:val="20"/>
              </w:rPr>
              <w:t>např. týkající se umístění provozovny či zkušenosti v dané zemi či regionu, či kvalifikační požadavky neodpovídají předmětu zakázky)</w:t>
            </w:r>
            <w:r w:rsidRPr="00A012FE">
              <w:rPr>
                <w:sz w:val="20"/>
                <w:szCs w:val="20"/>
              </w:rPr>
              <w:t>.</w:t>
            </w:r>
          </w:p>
        </w:tc>
        <w:tc>
          <w:tcPr>
            <w:tcW w:w="625" w:type="pct"/>
            <w:vMerge w:val="restart"/>
            <w:shd w:val="clear" w:color="auto" w:fill="auto"/>
            <w:vAlign w:val="center"/>
            <w:hideMark/>
          </w:tcPr>
          <w:p w:rsidR="00B165C2" w:rsidRPr="00A012FE" w:rsidRDefault="00B165C2" w:rsidP="007A106C">
            <w:pPr>
              <w:rPr>
                <w:sz w:val="20"/>
                <w:szCs w:val="20"/>
              </w:rPr>
            </w:pPr>
            <w:r w:rsidRPr="00A012FE">
              <w:rPr>
                <w:sz w:val="20"/>
                <w:szCs w:val="20"/>
              </w:rPr>
              <w:t>75 %</w:t>
            </w:r>
            <w:r>
              <w:rPr>
                <w:sz w:val="20"/>
                <w:szCs w:val="20"/>
              </w:rPr>
              <w:t xml:space="preserve"> - 95 %</w:t>
            </w:r>
          </w:p>
        </w:tc>
        <w:tc>
          <w:tcPr>
            <w:tcW w:w="631" w:type="pct"/>
            <w:vMerge w:val="restart"/>
            <w:shd w:val="clear" w:color="auto" w:fill="auto"/>
            <w:noWrap/>
            <w:vAlign w:val="center"/>
            <w:hideMark/>
          </w:tcPr>
          <w:p w:rsidR="00B165C2" w:rsidRPr="00A012FE" w:rsidRDefault="00B165C2" w:rsidP="007A106C">
            <w:pPr>
              <w:rPr>
                <w:sz w:val="20"/>
                <w:szCs w:val="20"/>
              </w:rPr>
            </w:pPr>
            <w:r w:rsidRPr="00A012FE">
              <w:rPr>
                <w:sz w:val="20"/>
                <w:szCs w:val="20"/>
              </w:rPr>
              <w:t>předložený výdaj z VŘ</w:t>
            </w:r>
          </w:p>
        </w:tc>
        <w:tc>
          <w:tcPr>
            <w:tcW w:w="1465" w:type="pct"/>
            <w:shd w:val="clear" w:color="auto" w:fill="auto"/>
            <w:vAlign w:val="center"/>
            <w:hideMark/>
          </w:tcPr>
          <w:p w:rsidR="00B165C2" w:rsidRPr="00A012FE" w:rsidRDefault="00B165C2" w:rsidP="007A106C">
            <w:pPr>
              <w:rPr>
                <w:sz w:val="20"/>
                <w:szCs w:val="20"/>
              </w:rPr>
            </w:pPr>
            <w:r>
              <w:rPr>
                <w:sz w:val="20"/>
                <w:szCs w:val="20"/>
              </w:rPr>
              <w:t>75 %, nebo</w:t>
            </w:r>
          </w:p>
        </w:tc>
      </w:tr>
      <w:tr w:rsidR="00B165C2" w:rsidRPr="00A012FE" w:rsidTr="007A106C">
        <w:trPr>
          <w:trHeight w:val="765"/>
        </w:trPr>
        <w:tc>
          <w:tcPr>
            <w:tcW w:w="531" w:type="pct"/>
            <w:vMerge/>
            <w:vAlign w:val="center"/>
            <w:hideMark/>
          </w:tcPr>
          <w:p w:rsidR="00B165C2" w:rsidRPr="00A012FE" w:rsidRDefault="00B165C2" w:rsidP="007A106C">
            <w:pPr>
              <w:rPr>
                <w:sz w:val="20"/>
                <w:szCs w:val="20"/>
              </w:rPr>
            </w:pPr>
          </w:p>
        </w:tc>
        <w:tc>
          <w:tcPr>
            <w:tcW w:w="349" w:type="pct"/>
            <w:vMerge/>
            <w:vAlign w:val="center"/>
            <w:hideMark/>
          </w:tcPr>
          <w:p w:rsidR="00B165C2" w:rsidRPr="00A012FE" w:rsidRDefault="00B165C2" w:rsidP="007A106C">
            <w:pPr>
              <w:rPr>
                <w:sz w:val="20"/>
                <w:szCs w:val="20"/>
              </w:rPr>
            </w:pPr>
          </w:p>
        </w:tc>
        <w:tc>
          <w:tcPr>
            <w:tcW w:w="1399" w:type="pct"/>
            <w:vMerge/>
            <w:vAlign w:val="center"/>
            <w:hideMark/>
          </w:tcPr>
          <w:p w:rsidR="00B165C2" w:rsidRPr="00A012FE" w:rsidRDefault="00B165C2" w:rsidP="007A106C">
            <w:pPr>
              <w:rPr>
                <w:sz w:val="20"/>
                <w:szCs w:val="20"/>
              </w:rPr>
            </w:pPr>
          </w:p>
        </w:tc>
        <w:tc>
          <w:tcPr>
            <w:tcW w:w="625" w:type="pct"/>
            <w:vMerge/>
            <w:shd w:val="clear" w:color="auto" w:fill="auto"/>
            <w:vAlign w:val="center"/>
            <w:hideMark/>
          </w:tcPr>
          <w:p w:rsidR="00B165C2" w:rsidRPr="00A012FE" w:rsidRDefault="00B165C2" w:rsidP="007A106C">
            <w:pPr>
              <w:rPr>
                <w:sz w:val="20"/>
                <w:szCs w:val="20"/>
              </w:rPr>
            </w:pPr>
          </w:p>
        </w:tc>
        <w:tc>
          <w:tcPr>
            <w:tcW w:w="631" w:type="pct"/>
            <w:vMerge/>
            <w:shd w:val="clear" w:color="auto" w:fill="auto"/>
            <w:noWrap/>
            <w:vAlign w:val="center"/>
            <w:hideMark/>
          </w:tcPr>
          <w:p w:rsidR="00B165C2" w:rsidRPr="00A012FE" w:rsidRDefault="00B165C2" w:rsidP="007A106C">
            <w:pPr>
              <w:rPr>
                <w:sz w:val="20"/>
                <w:szCs w:val="20"/>
              </w:rPr>
            </w:pPr>
          </w:p>
        </w:tc>
        <w:tc>
          <w:tcPr>
            <w:tcW w:w="1465" w:type="pct"/>
            <w:shd w:val="clear" w:color="auto" w:fill="auto"/>
            <w:vAlign w:val="center"/>
            <w:hideMark/>
          </w:tcPr>
          <w:p w:rsidR="00B165C2" w:rsidRPr="00A012FE" w:rsidRDefault="00B165C2" w:rsidP="007A106C">
            <w:pPr>
              <w:rPr>
                <w:sz w:val="20"/>
                <w:szCs w:val="20"/>
              </w:rPr>
            </w:pPr>
            <w:r>
              <w:rPr>
                <w:sz w:val="20"/>
                <w:szCs w:val="20"/>
              </w:rPr>
              <w:t xml:space="preserve">max. 90 % nebo 95 % s </w:t>
            </w:r>
            <w:r w:rsidRPr="00A012FE">
              <w:rPr>
                <w:sz w:val="20"/>
                <w:szCs w:val="20"/>
              </w:rPr>
              <w:t>ohledem na závažnost porušení.</w:t>
            </w:r>
          </w:p>
        </w:tc>
      </w:tr>
      <w:tr w:rsidR="00B165C2" w:rsidRPr="00A012FE" w:rsidTr="007A106C">
        <w:trPr>
          <w:trHeight w:val="765"/>
        </w:trPr>
        <w:tc>
          <w:tcPr>
            <w:tcW w:w="531" w:type="pct"/>
            <w:vMerge/>
            <w:vAlign w:val="center"/>
            <w:hideMark/>
          </w:tcPr>
          <w:p w:rsidR="00B165C2" w:rsidRPr="00A012FE" w:rsidRDefault="00B165C2" w:rsidP="007A106C">
            <w:pPr>
              <w:rPr>
                <w:sz w:val="20"/>
                <w:szCs w:val="20"/>
              </w:rPr>
            </w:pPr>
          </w:p>
        </w:tc>
        <w:tc>
          <w:tcPr>
            <w:tcW w:w="349" w:type="pct"/>
            <w:vMerge w:val="restart"/>
            <w:shd w:val="clear" w:color="auto" w:fill="auto"/>
            <w:vAlign w:val="center"/>
            <w:hideMark/>
          </w:tcPr>
          <w:p w:rsidR="00B165C2" w:rsidRPr="00A012FE" w:rsidRDefault="00B165C2" w:rsidP="007A106C">
            <w:pPr>
              <w:rPr>
                <w:sz w:val="20"/>
                <w:szCs w:val="20"/>
              </w:rPr>
            </w:pPr>
            <w:r>
              <w:rPr>
                <w:sz w:val="20"/>
                <w:szCs w:val="20"/>
              </w:rPr>
              <w:t>33i</w:t>
            </w:r>
          </w:p>
        </w:tc>
        <w:tc>
          <w:tcPr>
            <w:tcW w:w="1399" w:type="pct"/>
            <w:vMerge w:val="restart"/>
            <w:shd w:val="clear" w:color="auto" w:fill="auto"/>
            <w:vAlign w:val="center"/>
            <w:hideMark/>
          </w:tcPr>
          <w:p w:rsidR="00B165C2" w:rsidRPr="00A012FE" w:rsidRDefault="00B165C2" w:rsidP="007A106C">
            <w:pPr>
              <w:rPr>
                <w:sz w:val="20"/>
                <w:szCs w:val="20"/>
              </w:rPr>
            </w:pPr>
            <w:r w:rsidRPr="00A012FE">
              <w:rPr>
                <w:sz w:val="20"/>
                <w:szCs w:val="20"/>
              </w:rPr>
              <w:t>Stanovení hodnotících kritérií, která nevyjadřují vztah užitné hodnoty a ceny</w:t>
            </w:r>
            <w:r>
              <w:rPr>
                <w:sz w:val="20"/>
                <w:szCs w:val="20"/>
              </w:rPr>
              <w:t xml:space="preserve">, </w:t>
            </w:r>
            <w:r w:rsidRPr="00863BB5">
              <w:rPr>
                <w:sz w:val="20"/>
                <w:szCs w:val="20"/>
              </w:rPr>
              <w:t>nebo která neodpovídají či nejsou úměrná předmětu zakázky</w:t>
            </w:r>
            <w:r w:rsidRPr="00A012FE">
              <w:rPr>
                <w:sz w:val="20"/>
                <w:szCs w:val="20"/>
              </w:rPr>
              <w:t>.</w:t>
            </w:r>
          </w:p>
        </w:tc>
        <w:tc>
          <w:tcPr>
            <w:tcW w:w="625" w:type="pct"/>
            <w:vMerge w:val="restart"/>
            <w:shd w:val="clear" w:color="auto" w:fill="auto"/>
            <w:vAlign w:val="center"/>
            <w:hideMark/>
          </w:tcPr>
          <w:p w:rsidR="00B165C2" w:rsidRPr="00A012FE" w:rsidRDefault="00B165C2" w:rsidP="007A106C">
            <w:pPr>
              <w:rPr>
                <w:sz w:val="20"/>
                <w:szCs w:val="20"/>
              </w:rPr>
            </w:pPr>
            <w:r w:rsidRPr="00A012FE">
              <w:rPr>
                <w:sz w:val="20"/>
                <w:szCs w:val="20"/>
              </w:rPr>
              <w:t>75 %</w:t>
            </w:r>
            <w:r>
              <w:rPr>
                <w:sz w:val="20"/>
                <w:szCs w:val="20"/>
              </w:rPr>
              <w:t xml:space="preserve"> - 95 %</w:t>
            </w:r>
          </w:p>
        </w:tc>
        <w:tc>
          <w:tcPr>
            <w:tcW w:w="631" w:type="pct"/>
            <w:vMerge w:val="restart"/>
            <w:shd w:val="clear" w:color="auto" w:fill="auto"/>
            <w:noWrap/>
            <w:vAlign w:val="center"/>
            <w:hideMark/>
          </w:tcPr>
          <w:p w:rsidR="00B165C2" w:rsidRPr="00A012FE" w:rsidRDefault="00B165C2" w:rsidP="007A106C">
            <w:pPr>
              <w:rPr>
                <w:sz w:val="20"/>
                <w:szCs w:val="20"/>
              </w:rPr>
            </w:pPr>
            <w:r w:rsidRPr="00A012FE">
              <w:rPr>
                <w:sz w:val="20"/>
                <w:szCs w:val="20"/>
              </w:rPr>
              <w:t>předložený výdaj z VŘ</w:t>
            </w:r>
          </w:p>
        </w:tc>
        <w:tc>
          <w:tcPr>
            <w:tcW w:w="1465" w:type="pct"/>
            <w:shd w:val="clear" w:color="auto" w:fill="auto"/>
            <w:vAlign w:val="center"/>
            <w:hideMark/>
          </w:tcPr>
          <w:p w:rsidR="00B165C2" w:rsidRPr="00A012FE" w:rsidRDefault="00B165C2" w:rsidP="007A106C">
            <w:pPr>
              <w:rPr>
                <w:sz w:val="20"/>
                <w:szCs w:val="20"/>
              </w:rPr>
            </w:pPr>
            <w:r>
              <w:rPr>
                <w:sz w:val="20"/>
                <w:szCs w:val="20"/>
              </w:rPr>
              <w:t>75 %, nebo</w:t>
            </w:r>
          </w:p>
        </w:tc>
      </w:tr>
      <w:tr w:rsidR="00B165C2" w:rsidRPr="00A012FE" w:rsidTr="007A106C">
        <w:trPr>
          <w:trHeight w:val="510"/>
        </w:trPr>
        <w:tc>
          <w:tcPr>
            <w:tcW w:w="531" w:type="pct"/>
            <w:vMerge/>
            <w:vAlign w:val="center"/>
            <w:hideMark/>
          </w:tcPr>
          <w:p w:rsidR="00B165C2" w:rsidRPr="00A012FE" w:rsidRDefault="00B165C2" w:rsidP="007A106C">
            <w:pPr>
              <w:rPr>
                <w:sz w:val="20"/>
                <w:szCs w:val="20"/>
              </w:rPr>
            </w:pPr>
          </w:p>
        </w:tc>
        <w:tc>
          <w:tcPr>
            <w:tcW w:w="349" w:type="pct"/>
            <w:vMerge/>
            <w:vAlign w:val="center"/>
            <w:hideMark/>
          </w:tcPr>
          <w:p w:rsidR="00B165C2" w:rsidRPr="00A012FE" w:rsidRDefault="00B165C2" w:rsidP="007A106C">
            <w:pPr>
              <w:rPr>
                <w:sz w:val="20"/>
                <w:szCs w:val="20"/>
              </w:rPr>
            </w:pPr>
          </w:p>
        </w:tc>
        <w:tc>
          <w:tcPr>
            <w:tcW w:w="1399" w:type="pct"/>
            <w:vMerge/>
            <w:vAlign w:val="center"/>
            <w:hideMark/>
          </w:tcPr>
          <w:p w:rsidR="00B165C2" w:rsidRPr="00A012FE" w:rsidRDefault="00B165C2" w:rsidP="007A106C">
            <w:pPr>
              <w:rPr>
                <w:sz w:val="20"/>
                <w:szCs w:val="20"/>
              </w:rPr>
            </w:pPr>
          </w:p>
        </w:tc>
        <w:tc>
          <w:tcPr>
            <w:tcW w:w="625" w:type="pct"/>
            <w:vMerge/>
            <w:shd w:val="clear" w:color="auto" w:fill="auto"/>
            <w:vAlign w:val="center"/>
            <w:hideMark/>
          </w:tcPr>
          <w:p w:rsidR="00B165C2" w:rsidRPr="00A012FE" w:rsidRDefault="00B165C2" w:rsidP="007A106C">
            <w:pPr>
              <w:rPr>
                <w:sz w:val="20"/>
                <w:szCs w:val="20"/>
              </w:rPr>
            </w:pPr>
          </w:p>
        </w:tc>
        <w:tc>
          <w:tcPr>
            <w:tcW w:w="631" w:type="pct"/>
            <w:vMerge/>
            <w:shd w:val="clear" w:color="auto" w:fill="auto"/>
            <w:noWrap/>
            <w:vAlign w:val="center"/>
            <w:hideMark/>
          </w:tcPr>
          <w:p w:rsidR="00B165C2" w:rsidRPr="00A012FE" w:rsidRDefault="00B165C2" w:rsidP="007A106C">
            <w:pPr>
              <w:rPr>
                <w:sz w:val="20"/>
                <w:szCs w:val="20"/>
              </w:rPr>
            </w:pPr>
          </w:p>
        </w:tc>
        <w:tc>
          <w:tcPr>
            <w:tcW w:w="1465" w:type="pct"/>
            <w:shd w:val="clear" w:color="auto" w:fill="auto"/>
            <w:vAlign w:val="center"/>
            <w:hideMark/>
          </w:tcPr>
          <w:p w:rsidR="00B165C2" w:rsidRPr="00A012FE" w:rsidRDefault="00B165C2" w:rsidP="007A106C">
            <w:pPr>
              <w:rPr>
                <w:sz w:val="20"/>
                <w:szCs w:val="20"/>
              </w:rPr>
            </w:pPr>
            <w:r>
              <w:rPr>
                <w:sz w:val="20"/>
                <w:szCs w:val="20"/>
              </w:rPr>
              <w:t>max. 90 % nebo 95 % s</w:t>
            </w:r>
            <w:r w:rsidRPr="00A012FE">
              <w:rPr>
                <w:sz w:val="20"/>
                <w:szCs w:val="20"/>
              </w:rPr>
              <w:t xml:space="preserve"> ohledem na závažnost porušení.</w:t>
            </w:r>
          </w:p>
        </w:tc>
      </w:tr>
      <w:tr w:rsidR="00B165C2" w:rsidRPr="00A012FE" w:rsidTr="007A106C">
        <w:trPr>
          <w:trHeight w:val="255"/>
        </w:trPr>
        <w:tc>
          <w:tcPr>
            <w:tcW w:w="531" w:type="pct"/>
            <w:vMerge/>
            <w:vAlign w:val="center"/>
            <w:hideMark/>
          </w:tcPr>
          <w:p w:rsidR="00B165C2" w:rsidRPr="00A012FE" w:rsidRDefault="00B165C2" w:rsidP="007A106C">
            <w:pPr>
              <w:rPr>
                <w:sz w:val="20"/>
                <w:szCs w:val="20"/>
              </w:rPr>
            </w:pPr>
          </w:p>
        </w:tc>
        <w:tc>
          <w:tcPr>
            <w:tcW w:w="349" w:type="pct"/>
            <w:vMerge w:val="restart"/>
            <w:shd w:val="clear" w:color="auto" w:fill="auto"/>
            <w:vAlign w:val="center"/>
            <w:hideMark/>
          </w:tcPr>
          <w:p w:rsidR="00B165C2" w:rsidRPr="00A012FE" w:rsidRDefault="00B165C2" w:rsidP="007A106C">
            <w:pPr>
              <w:rPr>
                <w:sz w:val="20"/>
                <w:szCs w:val="20"/>
              </w:rPr>
            </w:pPr>
            <w:r>
              <w:rPr>
                <w:sz w:val="20"/>
                <w:szCs w:val="20"/>
              </w:rPr>
              <w:t>33j</w:t>
            </w:r>
          </w:p>
        </w:tc>
        <w:tc>
          <w:tcPr>
            <w:tcW w:w="1399" w:type="pct"/>
            <w:vMerge w:val="restart"/>
            <w:shd w:val="clear" w:color="auto" w:fill="auto"/>
            <w:vAlign w:val="center"/>
            <w:hideMark/>
          </w:tcPr>
          <w:p w:rsidR="00B165C2" w:rsidRPr="00A012FE" w:rsidRDefault="00B165C2" w:rsidP="007A106C">
            <w:pPr>
              <w:rPr>
                <w:sz w:val="20"/>
                <w:szCs w:val="20"/>
              </w:rPr>
            </w:pPr>
            <w:r w:rsidRPr="00A012FE">
              <w:rPr>
                <w:sz w:val="20"/>
                <w:szCs w:val="20"/>
              </w:rPr>
              <w:t>Předmět zakázky je v zadávacích podmí</w:t>
            </w:r>
            <w:r>
              <w:rPr>
                <w:sz w:val="20"/>
                <w:szCs w:val="20"/>
              </w:rPr>
              <w:t xml:space="preserve">nkách vymezen příliš konkrétně </w:t>
            </w:r>
            <w:r w:rsidRPr="00A012FE">
              <w:rPr>
                <w:sz w:val="20"/>
                <w:szCs w:val="20"/>
              </w:rPr>
              <w:t>tak</w:t>
            </w:r>
            <w:r>
              <w:rPr>
                <w:sz w:val="20"/>
                <w:szCs w:val="20"/>
              </w:rPr>
              <w:t>,</w:t>
            </w:r>
            <w:r w:rsidRPr="00A012FE">
              <w:rPr>
                <w:sz w:val="20"/>
                <w:szCs w:val="20"/>
              </w:rPr>
              <w:t xml:space="preserve"> že není zajištěn rovný přístup k jednotlivým dodavatelům, resp. někteří dodavatelé jsou takto vymezeným předmětem zakázky zvýhodněni.</w:t>
            </w:r>
          </w:p>
        </w:tc>
        <w:tc>
          <w:tcPr>
            <w:tcW w:w="625" w:type="pct"/>
            <w:vMerge w:val="restart"/>
            <w:shd w:val="clear" w:color="auto" w:fill="auto"/>
            <w:vAlign w:val="center"/>
            <w:hideMark/>
          </w:tcPr>
          <w:p w:rsidR="00B165C2" w:rsidRPr="00A012FE" w:rsidRDefault="00B165C2" w:rsidP="007A106C">
            <w:pPr>
              <w:rPr>
                <w:sz w:val="20"/>
                <w:szCs w:val="20"/>
              </w:rPr>
            </w:pPr>
            <w:r>
              <w:rPr>
                <w:sz w:val="20"/>
                <w:szCs w:val="20"/>
              </w:rPr>
              <w:t>75 % - 95 %</w:t>
            </w:r>
          </w:p>
        </w:tc>
        <w:tc>
          <w:tcPr>
            <w:tcW w:w="631" w:type="pct"/>
            <w:vMerge w:val="restart"/>
            <w:shd w:val="clear" w:color="auto" w:fill="auto"/>
            <w:noWrap/>
            <w:vAlign w:val="center"/>
            <w:hideMark/>
          </w:tcPr>
          <w:p w:rsidR="00B165C2" w:rsidRPr="00A012FE" w:rsidRDefault="00B165C2" w:rsidP="007A106C">
            <w:pPr>
              <w:rPr>
                <w:sz w:val="20"/>
                <w:szCs w:val="20"/>
              </w:rPr>
            </w:pPr>
            <w:r w:rsidRPr="00A012FE">
              <w:rPr>
                <w:sz w:val="20"/>
                <w:szCs w:val="20"/>
              </w:rPr>
              <w:t>předložený výdaj z VŘ</w:t>
            </w:r>
          </w:p>
        </w:tc>
        <w:tc>
          <w:tcPr>
            <w:tcW w:w="1465" w:type="pct"/>
            <w:shd w:val="clear" w:color="auto" w:fill="auto"/>
            <w:vAlign w:val="center"/>
            <w:hideMark/>
          </w:tcPr>
          <w:p w:rsidR="00B165C2" w:rsidRPr="00A012FE" w:rsidRDefault="00B165C2" w:rsidP="007A106C">
            <w:pPr>
              <w:rPr>
                <w:sz w:val="20"/>
                <w:szCs w:val="20"/>
              </w:rPr>
            </w:pPr>
            <w:r>
              <w:rPr>
                <w:sz w:val="20"/>
                <w:szCs w:val="20"/>
              </w:rPr>
              <w:t>75 %, nebo</w:t>
            </w:r>
          </w:p>
        </w:tc>
      </w:tr>
      <w:tr w:rsidR="00B165C2" w:rsidRPr="00A012FE" w:rsidTr="007A106C">
        <w:trPr>
          <w:trHeight w:val="510"/>
        </w:trPr>
        <w:tc>
          <w:tcPr>
            <w:tcW w:w="531" w:type="pct"/>
            <w:vMerge/>
            <w:vAlign w:val="center"/>
            <w:hideMark/>
          </w:tcPr>
          <w:p w:rsidR="00B165C2" w:rsidRPr="00A012FE" w:rsidRDefault="00B165C2" w:rsidP="007A106C">
            <w:pPr>
              <w:rPr>
                <w:sz w:val="20"/>
                <w:szCs w:val="20"/>
              </w:rPr>
            </w:pPr>
          </w:p>
        </w:tc>
        <w:tc>
          <w:tcPr>
            <w:tcW w:w="349" w:type="pct"/>
            <w:vMerge/>
            <w:vAlign w:val="center"/>
            <w:hideMark/>
          </w:tcPr>
          <w:p w:rsidR="00B165C2" w:rsidRPr="00A012FE" w:rsidRDefault="00B165C2" w:rsidP="007A106C">
            <w:pPr>
              <w:rPr>
                <w:sz w:val="20"/>
                <w:szCs w:val="20"/>
              </w:rPr>
            </w:pPr>
          </w:p>
        </w:tc>
        <w:tc>
          <w:tcPr>
            <w:tcW w:w="1399" w:type="pct"/>
            <w:vMerge/>
            <w:vAlign w:val="center"/>
            <w:hideMark/>
          </w:tcPr>
          <w:p w:rsidR="00B165C2" w:rsidRPr="00A012FE" w:rsidRDefault="00B165C2" w:rsidP="007A106C">
            <w:pPr>
              <w:rPr>
                <w:sz w:val="20"/>
                <w:szCs w:val="20"/>
              </w:rPr>
            </w:pPr>
          </w:p>
        </w:tc>
        <w:tc>
          <w:tcPr>
            <w:tcW w:w="625" w:type="pct"/>
            <w:vMerge/>
            <w:shd w:val="clear" w:color="auto" w:fill="auto"/>
            <w:vAlign w:val="center"/>
            <w:hideMark/>
          </w:tcPr>
          <w:p w:rsidR="00B165C2" w:rsidRPr="00A012FE" w:rsidRDefault="00B165C2" w:rsidP="007A106C">
            <w:pPr>
              <w:rPr>
                <w:sz w:val="20"/>
                <w:szCs w:val="20"/>
              </w:rPr>
            </w:pPr>
          </w:p>
        </w:tc>
        <w:tc>
          <w:tcPr>
            <w:tcW w:w="631" w:type="pct"/>
            <w:vMerge/>
            <w:shd w:val="clear" w:color="auto" w:fill="auto"/>
            <w:noWrap/>
            <w:vAlign w:val="center"/>
            <w:hideMark/>
          </w:tcPr>
          <w:p w:rsidR="00B165C2" w:rsidRPr="00A012FE" w:rsidRDefault="00B165C2" w:rsidP="007A106C">
            <w:pPr>
              <w:rPr>
                <w:sz w:val="20"/>
                <w:szCs w:val="20"/>
              </w:rPr>
            </w:pPr>
          </w:p>
        </w:tc>
        <w:tc>
          <w:tcPr>
            <w:tcW w:w="1465" w:type="pct"/>
            <w:shd w:val="clear" w:color="auto" w:fill="auto"/>
            <w:vAlign w:val="center"/>
            <w:hideMark/>
          </w:tcPr>
          <w:p w:rsidR="00B165C2" w:rsidRPr="00A012FE" w:rsidRDefault="00B165C2" w:rsidP="007A106C">
            <w:pPr>
              <w:rPr>
                <w:sz w:val="20"/>
                <w:szCs w:val="20"/>
              </w:rPr>
            </w:pPr>
            <w:r>
              <w:rPr>
                <w:sz w:val="20"/>
                <w:szCs w:val="20"/>
              </w:rPr>
              <w:t>max. 90 % nebo 95 % s</w:t>
            </w:r>
            <w:r w:rsidRPr="00A012FE">
              <w:rPr>
                <w:sz w:val="20"/>
                <w:szCs w:val="20"/>
              </w:rPr>
              <w:t xml:space="preserve"> ohledem na závažnost porušení.</w:t>
            </w:r>
          </w:p>
        </w:tc>
      </w:tr>
      <w:tr w:rsidR="00B165C2" w:rsidRPr="00A012FE" w:rsidTr="007A106C">
        <w:trPr>
          <w:trHeight w:val="255"/>
        </w:trPr>
        <w:tc>
          <w:tcPr>
            <w:tcW w:w="531" w:type="pct"/>
            <w:vMerge/>
            <w:vAlign w:val="center"/>
            <w:hideMark/>
          </w:tcPr>
          <w:p w:rsidR="00B165C2" w:rsidRPr="00A012FE" w:rsidRDefault="00B165C2" w:rsidP="007A106C">
            <w:pPr>
              <w:rPr>
                <w:sz w:val="20"/>
                <w:szCs w:val="20"/>
              </w:rPr>
            </w:pPr>
          </w:p>
        </w:tc>
        <w:tc>
          <w:tcPr>
            <w:tcW w:w="349" w:type="pct"/>
            <w:vMerge w:val="restart"/>
            <w:shd w:val="clear" w:color="auto" w:fill="auto"/>
            <w:vAlign w:val="center"/>
            <w:hideMark/>
          </w:tcPr>
          <w:p w:rsidR="00B165C2" w:rsidRPr="00A012FE" w:rsidRDefault="00B165C2" w:rsidP="007A106C">
            <w:pPr>
              <w:rPr>
                <w:sz w:val="20"/>
                <w:szCs w:val="20"/>
              </w:rPr>
            </w:pPr>
            <w:r>
              <w:rPr>
                <w:sz w:val="20"/>
                <w:szCs w:val="20"/>
              </w:rPr>
              <w:t>33k</w:t>
            </w:r>
          </w:p>
        </w:tc>
        <w:tc>
          <w:tcPr>
            <w:tcW w:w="1399" w:type="pct"/>
            <w:vMerge w:val="restart"/>
            <w:shd w:val="clear" w:color="auto" w:fill="auto"/>
            <w:vAlign w:val="center"/>
            <w:hideMark/>
          </w:tcPr>
          <w:p w:rsidR="00B165C2" w:rsidRPr="00A012FE" w:rsidRDefault="00B165C2" w:rsidP="007A106C">
            <w:pPr>
              <w:rPr>
                <w:sz w:val="20"/>
                <w:szCs w:val="20"/>
              </w:rPr>
            </w:pPr>
            <w:r w:rsidRPr="00A012FE">
              <w:rPr>
                <w:sz w:val="20"/>
                <w:szCs w:val="20"/>
              </w:rPr>
              <w:t>Předmět zakázky je v zadávacích p</w:t>
            </w:r>
            <w:r>
              <w:rPr>
                <w:sz w:val="20"/>
                <w:szCs w:val="20"/>
              </w:rPr>
              <w:t xml:space="preserve">odmínkách vymezen nedostatečně </w:t>
            </w:r>
            <w:r w:rsidRPr="00A012FE">
              <w:rPr>
                <w:sz w:val="20"/>
                <w:szCs w:val="20"/>
              </w:rPr>
              <w:t>tak</w:t>
            </w:r>
            <w:r>
              <w:rPr>
                <w:sz w:val="20"/>
                <w:szCs w:val="20"/>
              </w:rPr>
              <w:t>,</w:t>
            </w:r>
            <w:r w:rsidRPr="00A012FE">
              <w:rPr>
                <w:sz w:val="20"/>
                <w:szCs w:val="20"/>
              </w:rPr>
              <w:t xml:space="preserve"> že zadávací podmínky neobsahují veškeré informace podstatné pro zpracování nabídky.</w:t>
            </w:r>
          </w:p>
        </w:tc>
        <w:tc>
          <w:tcPr>
            <w:tcW w:w="625" w:type="pct"/>
            <w:vMerge w:val="restart"/>
            <w:shd w:val="clear" w:color="auto" w:fill="auto"/>
            <w:vAlign w:val="center"/>
            <w:hideMark/>
          </w:tcPr>
          <w:p w:rsidR="00B165C2" w:rsidRPr="00A012FE" w:rsidRDefault="00B165C2" w:rsidP="007A106C">
            <w:pPr>
              <w:rPr>
                <w:sz w:val="20"/>
                <w:szCs w:val="20"/>
              </w:rPr>
            </w:pPr>
            <w:r w:rsidRPr="00A012FE">
              <w:rPr>
                <w:sz w:val="20"/>
                <w:szCs w:val="20"/>
              </w:rPr>
              <w:t>90 %</w:t>
            </w:r>
            <w:r>
              <w:rPr>
                <w:sz w:val="20"/>
                <w:szCs w:val="20"/>
              </w:rPr>
              <w:t xml:space="preserve"> - 95 %</w:t>
            </w:r>
          </w:p>
        </w:tc>
        <w:tc>
          <w:tcPr>
            <w:tcW w:w="631" w:type="pct"/>
            <w:vMerge w:val="restart"/>
            <w:shd w:val="clear" w:color="auto" w:fill="auto"/>
            <w:noWrap/>
            <w:vAlign w:val="center"/>
            <w:hideMark/>
          </w:tcPr>
          <w:p w:rsidR="00B165C2" w:rsidRPr="00A012FE" w:rsidRDefault="00B165C2" w:rsidP="007A106C">
            <w:pPr>
              <w:rPr>
                <w:sz w:val="20"/>
                <w:szCs w:val="20"/>
              </w:rPr>
            </w:pPr>
            <w:r w:rsidRPr="00A012FE">
              <w:rPr>
                <w:sz w:val="20"/>
                <w:szCs w:val="20"/>
              </w:rPr>
              <w:t>předložený výdaj z VŘ</w:t>
            </w:r>
          </w:p>
        </w:tc>
        <w:tc>
          <w:tcPr>
            <w:tcW w:w="1465" w:type="pct"/>
            <w:shd w:val="clear" w:color="auto" w:fill="auto"/>
            <w:vAlign w:val="center"/>
            <w:hideMark/>
          </w:tcPr>
          <w:p w:rsidR="00B165C2" w:rsidRPr="00A012FE" w:rsidRDefault="00B165C2" w:rsidP="007A106C">
            <w:pPr>
              <w:rPr>
                <w:sz w:val="20"/>
                <w:szCs w:val="20"/>
              </w:rPr>
            </w:pPr>
            <w:r>
              <w:rPr>
                <w:sz w:val="20"/>
                <w:szCs w:val="20"/>
              </w:rPr>
              <w:t>90</w:t>
            </w:r>
            <w:r>
              <w:t xml:space="preserve"> </w:t>
            </w:r>
            <w:r>
              <w:rPr>
                <w:sz w:val="20"/>
                <w:szCs w:val="20"/>
              </w:rPr>
              <w:t>%, nebo</w:t>
            </w:r>
          </w:p>
        </w:tc>
      </w:tr>
      <w:tr w:rsidR="00B165C2" w:rsidRPr="00A012FE" w:rsidTr="007A106C">
        <w:trPr>
          <w:trHeight w:val="510"/>
        </w:trPr>
        <w:tc>
          <w:tcPr>
            <w:tcW w:w="531" w:type="pct"/>
            <w:vMerge/>
            <w:vAlign w:val="center"/>
            <w:hideMark/>
          </w:tcPr>
          <w:p w:rsidR="00B165C2" w:rsidRPr="00A012FE" w:rsidRDefault="00B165C2" w:rsidP="007A106C">
            <w:pPr>
              <w:rPr>
                <w:sz w:val="20"/>
                <w:szCs w:val="20"/>
              </w:rPr>
            </w:pPr>
          </w:p>
        </w:tc>
        <w:tc>
          <w:tcPr>
            <w:tcW w:w="349" w:type="pct"/>
            <w:vMerge/>
            <w:vAlign w:val="center"/>
            <w:hideMark/>
          </w:tcPr>
          <w:p w:rsidR="00B165C2" w:rsidRPr="00A012FE" w:rsidRDefault="00B165C2" w:rsidP="007A106C">
            <w:pPr>
              <w:rPr>
                <w:sz w:val="20"/>
                <w:szCs w:val="20"/>
              </w:rPr>
            </w:pPr>
          </w:p>
        </w:tc>
        <w:tc>
          <w:tcPr>
            <w:tcW w:w="1399" w:type="pct"/>
            <w:vMerge/>
            <w:vAlign w:val="center"/>
            <w:hideMark/>
          </w:tcPr>
          <w:p w:rsidR="00B165C2" w:rsidRPr="00A012FE" w:rsidRDefault="00B165C2" w:rsidP="007A106C">
            <w:pPr>
              <w:rPr>
                <w:sz w:val="20"/>
                <w:szCs w:val="20"/>
              </w:rPr>
            </w:pPr>
          </w:p>
        </w:tc>
        <w:tc>
          <w:tcPr>
            <w:tcW w:w="625" w:type="pct"/>
            <w:vMerge/>
            <w:shd w:val="clear" w:color="auto" w:fill="auto"/>
            <w:vAlign w:val="center"/>
            <w:hideMark/>
          </w:tcPr>
          <w:p w:rsidR="00B165C2" w:rsidRPr="00A012FE" w:rsidRDefault="00B165C2" w:rsidP="007A106C">
            <w:pPr>
              <w:rPr>
                <w:sz w:val="20"/>
                <w:szCs w:val="20"/>
              </w:rPr>
            </w:pPr>
          </w:p>
        </w:tc>
        <w:tc>
          <w:tcPr>
            <w:tcW w:w="631" w:type="pct"/>
            <w:vMerge/>
            <w:shd w:val="clear" w:color="auto" w:fill="auto"/>
            <w:noWrap/>
            <w:vAlign w:val="center"/>
            <w:hideMark/>
          </w:tcPr>
          <w:p w:rsidR="00B165C2" w:rsidRPr="00A012FE" w:rsidRDefault="00B165C2" w:rsidP="007A106C">
            <w:pPr>
              <w:rPr>
                <w:sz w:val="20"/>
                <w:szCs w:val="20"/>
              </w:rPr>
            </w:pPr>
          </w:p>
        </w:tc>
        <w:tc>
          <w:tcPr>
            <w:tcW w:w="1465" w:type="pct"/>
            <w:shd w:val="clear" w:color="auto" w:fill="auto"/>
            <w:vAlign w:val="center"/>
            <w:hideMark/>
          </w:tcPr>
          <w:p w:rsidR="00B165C2" w:rsidRPr="00A012FE" w:rsidRDefault="00B165C2" w:rsidP="007A106C">
            <w:pPr>
              <w:rPr>
                <w:sz w:val="20"/>
                <w:szCs w:val="20"/>
              </w:rPr>
            </w:pPr>
            <w:r>
              <w:rPr>
                <w:sz w:val="20"/>
                <w:szCs w:val="20"/>
              </w:rPr>
              <w:t>max. 95 % s</w:t>
            </w:r>
            <w:r w:rsidRPr="00A012FE">
              <w:rPr>
                <w:sz w:val="20"/>
                <w:szCs w:val="20"/>
              </w:rPr>
              <w:t xml:space="preserve"> ohledem na závažnost porušení.</w:t>
            </w:r>
          </w:p>
        </w:tc>
      </w:tr>
      <w:tr w:rsidR="00B165C2" w:rsidRPr="00A012FE" w:rsidTr="007A106C">
        <w:trPr>
          <w:trHeight w:val="255"/>
        </w:trPr>
        <w:tc>
          <w:tcPr>
            <w:tcW w:w="531" w:type="pct"/>
            <w:vMerge w:val="restart"/>
            <w:shd w:val="clear" w:color="auto" w:fill="auto"/>
            <w:hideMark/>
          </w:tcPr>
          <w:p w:rsidR="00B165C2" w:rsidRPr="00A012FE" w:rsidRDefault="00B165C2" w:rsidP="007A106C">
            <w:pPr>
              <w:jc w:val="center"/>
              <w:rPr>
                <w:sz w:val="20"/>
                <w:szCs w:val="20"/>
              </w:rPr>
            </w:pPr>
            <w:r w:rsidRPr="00A012FE">
              <w:rPr>
                <w:sz w:val="20"/>
                <w:szCs w:val="20"/>
              </w:rPr>
              <w:t>2. Hodnocení nabídek</w:t>
            </w:r>
          </w:p>
        </w:tc>
        <w:tc>
          <w:tcPr>
            <w:tcW w:w="349" w:type="pct"/>
            <w:vMerge w:val="restart"/>
            <w:shd w:val="clear" w:color="auto" w:fill="auto"/>
            <w:vAlign w:val="center"/>
            <w:hideMark/>
          </w:tcPr>
          <w:p w:rsidR="00B165C2" w:rsidRPr="00A012FE" w:rsidRDefault="00B165C2" w:rsidP="007A106C">
            <w:pPr>
              <w:rPr>
                <w:sz w:val="20"/>
                <w:szCs w:val="20"/>
              </w:rPr>
            </w:pPr>
            <w:r>
              <w:rPr>
                <w:sz w:val="20"/>
                <w:szCs w:val="20"/>
              </w:rPr>
              <w:t>34a</w:t>
            </w:r>
          </w:p>
        </w:tc>
        <w:tc>
          <w:tcPr>
            <w:tcW w:w="1399" w:type="pct"/>
            <w:vMerge w:val="restart"/>
            <w:shd w:val="clear" w:color="auto" w:fill="auto"/>
            <w:vAlign w:val="center"/>
            <w:hideMark/>
          </w:tcPr>
          <w:p w:rsidR="00B165C2" w:rsidRPr="00A012FE" w:rsidRDefault="00B165C2" w:rsidP="007A106C">
            <w:pPr>
              <w:rPr>
                <w:sz w:val="20"/>
                <w:szCs w:val="20"/>
              </w:rPr>
            </w:pPr>
            <w:r w:rsidRPr="00A012FE">
              <w:rPr>
                <w:sz w:val="20"/>
                <w:szCs w:val="20"/>
              </w:rPr>
              <w:t xml:space="preserve">Kvalifikační předpoklady byly změněny ve fázi posouzení kvalifikace, což má vliv na splnění kvalifikace jednotlivými </w:t>
            </w:r>
            <w:r w:rsidRPr="00A012FE">
              <w:rPr>
                <w:sz w:val="20"/>
                <w:szCs w:val="20"/>
              </w:rPr>
              <w:lastRenderedPageBreak/>
              <w:t xml:space="preserve">dodavateli (nesplnění kvalifikace dodavateli, kteří by ji dle zadávacích podmínek splňovali nebo splnění kvalifikace dodavateli, kteří by ji dle zadávacích podmínek nesplňovali). </w:t>
            </w:r>
          </w:p>
        </w:tc>
        <w:tc>
          <w:tcPr>
            <w:tcW w:w="625" w:type="pct"/>
            <w:vMerge w:val="restart"/>
            <w:shd w:val="clear" w:color="auto" w:fill="auto"/>
            <w:vAlign w:val="center"/>
            <w:hideMark/>
          </w:tcPr>
          <w:p w:rsidR="00B165C2" w:rsidRPr="00A012FE" w:rsidRDefault="00B165C2" w:rsidP="007A106C">
            <w:pPr>
              <w:rPr>
                <w:sz w:val="20"/>
                <w:szCs w:val="20"/>
              </w:rPr>
            </w:pPr>
            <w:r w:rsidRPr="00A012FE">
              <w:rPr>
                <w:sz w:val="20"/>
                <w:szCs w:val="20"/>
              </w:rPr>
              <w:lastRenderedPageBreak/>
              <w:t>75 %</w:t>
            </w:r>
            <w:r>
              <w:rPr>
                <w:sz w:val="20"/>
                <w:szCs w:val="20"/>
              </w:rPr>
              <w:t xml:space="preserve"> - 95 %</w:t>
            </w:r>
          </w:p>
        </w:tc>
        <w:tc>
          <w:tcPr>
            <w:tcW w:w="631" w:type="pct"/>
            <w:vMerge w:val="restart"/>
            <w:shd w:val="clear" w:color="auto" w:fill="auto"/>
            <w:noWrap/>
            <w:vAlign w:val="center"/>
            <w:hideMark/>
          </w:tcPr>
          <w:p w:rsidR="00B165C2" w:rsidRPr="00A012FE" w:rsidRDefault="00B165C2" w:rsidP="007A106C">
            <w:pPr>
              <w:rPr>
                <w:sz w:val="20"/>
                <w:szCs w:val="20"/>
              </w:rPr>
            </w:pPr>
            <w:r w:rsidRPr="00A012FE">
              <w:rPr>
                <w:sz w:val="20"/>
                <w:szCs w:val="20"/>
              </w:rPr>
              <w:t>předložený výdaj z VŘ</w:t>
            </w:r>
          </w:p>
        </w:tc>
        <w:tc>
          <w:tcPr>
            <w:tcW w:w="1465" w:type="pct"/>
            <w:shd w:val="clear" w:color="auto" w:fill="auto"/>
            <w:vAlign w:val="center"/>
            <w:hideMark/>
          </w:tcPr>
          <w:p w:rsidR="00B165C2" w:rsidRPr="00A012FE" w:rsidRDefault="00B165C2" w:rsidP="007A106C">
            <w:pPr>
              <w:rPr>
                <w:sz w:val="20"/>
                <w:szCs w:val="20"/>
              </w:rPr>
            </w:pPr>
            <w:r>
              <w:rPr>
                <w:sz w:val="20"/>
                <w:szCs w:val="20"/>
              </w:rPr>
              <w:t>75 %, nebo</w:t>
            </w:r>
          </w:p>
        </w:tc>
      </w:tr>
      <w:tr w:rsidR="00B165C2" w:rsidRPr="00A012FE" w:rsidTr="007A106C">
        <w:trPr>
          <w:trHeight w:val="510"/>
        </w:trPr>
        <w:tc>
          <w:tcPr>
            <w:tcW w:w="531" w:type="pct"/>
            <w:vMerge/>
            <w:vAlign w:val="center"/>
            <w:hideMark/>
          </w:tcPr>
          <w:p w:rsidR="00B165C2" w:rsidRPr="00A012FE" w:rsidRDefault="00B165C2" w:rsidP="007A106C">
            <w:pPr>
              <w:rPr>
                <w:sz w:val="20"/>
                <w:szCs w:val="20"/>
              </w:rPr>
            </w:pPr>
          </w:p>
        </w:tc>
        <w:tc>
          <w:tcPr>
            <w:tcW w:w="349" w:type="pct"/>
            <w:vMerge/>
            <w:vAlign w:val="center"/>
            <w:hideMark/>
          </w:tcPr>
          <w:p w:rsidR="00B165C2" w:rsidRPr="00A012FE" w:rsidRDefault="00B165C2" w:rsidP="007A106C">
            <w:pPr>
              <w:rPr>
                <w:sz w:val="20"/>
                <w:szCs w:val="20"/>
              </w:rPr>
            </w:pPr>
          </w:p>
        </w:tc>
        <w:tc>
          <w:tcPr>
            <w:tcW w:w="1399" w:type="pct"/>
            <w:vMerge/>
            <w:vAlign w:val="center"/>
            <w:hideMark/>
          </w:tcPr>
          <w:p w:rsidR="00B165C2" w:rsidRPr="00A012FE" w:rsidRDefault="00B165C2" w:rsidP="007A106C">
            <w:pPr>
              <w:rPr>
                <w:sz w:val="20"/>
                <w:szCs w:val="20"/>
              </w:rPr>
            </w:pPr>
          </w:p>
        </w:tc>
        <w:tc>
          <w:tcPr>
            <w:tcW w:w="625" w:type="pct"/>
            <w:vMerge/>
            <w:shd w:val="clear" w:color="auto" w:fill="auto"/>
            <w:vAlign w:val="center"/>
            <w:hideMark/>
          </w:tcPr>
          <w:p w:rsidR="00B165C2" w:rsidRPr="00A012FE" w:rsidRDefault="00B165C2" w:rsidP="007A106C">
            <w:pPr>
              <w:rPr>
                <w:sz w:val="20"/>
                <w:szCs w:val="20"/>
              </w:rPr>
            </w:pPr>
          </w:p>
        </w:tc>
        <w:tc>
          <w:tcPr>
            <w:tcW w:w="631" w:type="pct"/>
            <w:vMerge/>
            <w:shd w:val="clear" w:color="auto" w:fill="auto"/>
            <w:noWrap/>
            <w:vAlign w:val="center"/>
            <w:hideMark/>
          </w:tcPr>
          <w:p w:rsidR="00B165C2" w:rsidRPr="00A012FE" w:rsidRDefault="00B165C2" w:rsidP="007A106C">
            <w:pPr>
              <w:rPr>
                <w:sz w:val="20"/>
                <w:szCs w:val="20"/>
              </w:rPr>
            </w:pPr>
          </w:p>
        </w:tc>
        <w:tc>
          <w:tcPr>
            <w:tcW w:w="1465" w:type="pct"/>
            <w:shd w:val="clear" w:color="auto" w:fill="auto"/>
            <w:vAlign w:val="center"/>
            <w:hideMark/>
          </w:tcPr>
          <w:p w:rsidR="00B165C2" w:rsidRPr="00A012FE" w:rsidRDefault="00B165C2" w:rsidP="007A106C">
            <w:pPr>
              <w:rPr>
                <w:sz w:val="20"/>
                <w:szCs w:val="20"/>
              </w:rPr>
            </w:pPr>
            <w:r>
              <w:rPr>
                <w:sz w:val="20"/>
                <w:szCs w:val="20"/>
              </w:rPr>
              <w:t>max. 90 % nebo 95 % s</w:t>
            </w:r>
            <w:r w:rsidRPr="00A012FE">
              <w:rPr>
                <w:sz w:val="20"/>
                <w:szCs w:val="20"/>
              </w:rPr>
              <w:t xml:space="preserve"> ohledem na závažnost porušení.</w:t>
            </w:r>
          </w:p>
        </w:tc>
      </w:tr>
      <w:tr w:rsidR="00B165C2" w:rsidRPr="00A012FE" w:rsidTr="007A106C">
        <w:trPr>
          <w:trHeight w:val="255"/>
        </w:trPr>
        <w:tc>
          <w:tcPr>
            <w:tcW w:w="531" w:type="pct"/>
            <w:vMerge/>
            <w:vAlign w:val="center"/>
            <w:hideMark/>
          </w:tcPr>
          <w:p w:rsidR="00B165C2" w:rsidRPr="00A012FE" w:rsidRDefault="00B165C2" w:rsidP="007A106C">
            <w:pPr>
              <w:rPr>
                <w:sz w:val="20"/>
                <w:szCs w:val="20"/>
              </w:rPr>
            </w:pPr>
          </w:p>
        </w:tc>
        <w:tc>
          <w:tcPr>
            <w:tcW w:w="349" w:type="pct"/>
            <w:vMerge w:val="restart"/>
            <w:shd w:val="clear" w:color="auto" w:fill="auto"/>
            <w:vAlign w:val="center"/>
            <w:hideMark/>
          </w:tcPr>
          <w:p w:rsidR="00B165C2" w:rsidRPr="00A012FE" w:rsidRDefault="00B165C2" w:rsidP="007A106C">
            <w:pPr>
              <w:rPr>
                <w:sz w:val="20"/>
                <w:szCs w:val="20"/>
              </w:rPr>
            </w:pPr>
            <w:r>
              <w:rPr>
                <w:sz w:val="20"/>
                <w:szCs w:val="20"/>
              </w:rPr>
              <w:t>34b</w:t>
            </w:r>
          </w:p>
        </w:tc>
        <w:tc>
          <w:tcPr>
            <w:tcW w:w="1399" w:type="pct"/>
            <w:vMerge w:val="restart"/>
            <w:shd w:val="clear" w:color="auto" w:fill="auto"/>
            <w:vAlign w:val="center"/>
            <w:hideMark/>
          </w:tcPr>
          <w:p w:rsidR="00B165C2" w:rsidRPr="00A012FE" w:rsidRDefault="00B165C2" w:rsidP="007A106C">
            <w:pPr>
              <w:rPr>
                <w:sz w:val="20"/>
                <w:szCs w:val="20"/>
              </w:rPr>
            </w:pPr>
            <w:r w:rsidRPr="00A012FE">
              <w:rPr>
                <w:sz w:val="20"/>
                <w:szCs w:val="20"/>
              </w:rPr>
              <w:t>Při hodnocení nabídek byla použita jiná hodnotící kritéria (případně sub</w:t>
            </w:r>
            <w:r>
              <w:rPr>
                <w:sz w:val="20"/>
                <w:szCs w:val="20"/>
              </w:rPr>
              <w:t>-</w:t>
            </w:r>
            <w:r w:rsidRPr="00A012FE">
              <w:rPr>
                <w:sz w:val="20"/>
                <w:szCs w:val="20"/>
              </w:rPr>
              <w:t xml:space="preserve">kritéria nebo jejich váhy), než byla uvedena v zadávacích podmínkách a tato skutečnost měla vliv na výběr nejvhodnější nabídky. </w:t>
            </w:r>
          </w:p>
        </w:tc>
        <w:tc>
          <w:tcPr>
            <w:tcW w:w="625" w:type="pct"/>
            <w:vMerge w:val="restart"/>
            <w:shd w:val="clear" w:color="auto" w:fill="auto"/>
            <w:vAlign w:val="center"/>
            <w:hideMark/>
          </w:tcPr>
          <w:p w:rsidR="00B165C2" w:rsidRPr="00A012FE" w:rsidRDefault="00B165C2" w:rsidP="007A106C">
            <w:pPr>
              <w:rPr>
                <w:sz w:val="20"/>
                <w:szCs w:val="20"/>
              </w:rPr>
            </w:pPr>
            <w:r>
              <w:rPr>
                <w:sz w:val="20"/>
                <w:szCs w:val="20"/>
              </w:rPr>
              <w:t>75 % - 95 %</w:t>
            </w:r>
          </w:p>
        </w:tc>
        <w:tc>
          <w:tcPr>
            <w:tcW w:w="631" w:type="pct"/>
            <w:vMerge w:val="restart"/>
            <w:shd w:val="clear" w:color="auto" w:fill="auto"/>
            <w:noWrap/>
            <w:vAlign w:val="center"/>
            <w:hideMark/>
          </w:tcPr>
          <w:p w:rsidR="00B165C2" w:rsidRPr="00A012FE" w:rsidRDefault="00B165C2" w:rsidP="007A106C">
            <w:pPr>
              <w:rPr>
                <w:sz w:val="20"/>
                <w:szCs w:val="20"/>
              </w:rPr>
            </w:pPr>
            <w:r w:rsidRPr="00A012FE">
              <w:rPr>
                <w:sz w:val="20"/>
                <w:szCs w:val="20"/>
              </w:rPr>
              <w:t>předložený výdaj z VŘ</w:t>
            </w:r>
          </w:p>
        </w:tc>
        <w:tc>
          <w:tcPr>
            <w:tcW w:w="1465" w:type="pct"/>
            <w:shd w:val="clear" w:color="auto" w:fill="auto"/>
            <w:vAlign w:val="center"/>
            <w:hideMark/>
          </w:tcPr>
          <w:p w:rsidR="00B165C2" w:rsidRPr="00A012FE" w:rsidRDefault="00B165C2" w:rsidP="007A106C">
            <w:pPr>
              <w:rPr>
                <w:sz w:val="20"/>
                <w:szCs w:val="20"/>
              </w:rPr>
            </w:pPr>
            <w:r>
              <w:rPr>
                <w:sz w:val="20"/>
                <w:szCs w:val="20"/>
              </w:rPr>
              <w:t>75 %, nebo</w:t>
            </w:r>
          </w:p>
        </w:tc>
      </w:tr>
      <w:tr w:rsidR="00B165C2" w:rsidRPr="00A012FE" w:rsidTr="007A106C">
        <w:trPr>
          <w:trHeight w:val="510"/>
        </w:trPr>
        <w:tc>
          <w:tcPr>
            <w:tcW w:w="531" w:type="pct"/>
            <w:vMerge/>
            <w:vAlign w:val="center"/>
            <w:hideMark/>
          </w:tcPr>
          <w:p w:rsidR="00B165C2" w:rsidRPr="00A012FE" w:rsidRDefault="00B165C2" w:rsidP="007A106C">
            <w:pPr>
              <w:rPr>
                <w:sz w:val="20"/>
                <w:szCs w:val="20"/>
              </w:rPr>
            </w:pPr>
          </w:p>
        </w:tc>
        <w:tc>
          <w:tcPr>
            <w:tcW w:w="349" w:type="pct"/>
            <w:vMerge/>
            <w:vAlign w:val="center"/>
            <w:hideMark/>
          </w:tcPr>
          <w:p w:rsidR="00B165C2" w:rsidRPr="00A012FE" w:rsidRDefault="00B165C2" w:rsidP="007A106C">
            <w:pPr>
              <w:rPr>
                <w:sz w:val="20"/>
                <w:szCs w:val="20"/>
              </w:rPr>
            </w:pPr>
          </w:p>
        </w:tc>
        <w:tc>
          <w:tcPr>
            <w:tcW w:w="1399" w:type="pct"/>
            <w:vMerge/>
            <w:vAlign w:val="center"/>
            <w:hideMark/>
          </w:tcPr>
          <w:p w:rsidR="00B165C2" w:rsidRPr="00A012FE" w:rsidRDefault="00B165C2" w:rsidP="007A106C">
            <w:pPr>
              <w:rPr>
                <w:sz w:val="20"/>
                <w:szCs w:val="20"/>
              </w:rPr>
            </w:pPr>
          </w:p>
        </w:tc>
        <w:tc>
          <w:tcPr>
            <w:tcW w:w="625" w:type="pct"/>
            <w:vMerge/>
            <w:shd w:val="clear" w:color="auto" w:fill="auto"/>
            <w:vAlign w:val="center"/>
            <w:hideMark/>
          </w:tcPr>
          <w:p w:rsidR="00B165C2" w:rsidRPr="00A012FE" w:rsidRDefault="00B165C2" w:rsidP="007A106C">
            <w:pPr>
              <w:rPr>
                <w:sz w:val="20"/>
                <w:szCs w:val="20"/>
              </w:rPr>
            </w:pPr>
          </w:p>
        </w:tc>
        <w:tc>
          <w:tcPr>
            <w:tcW w:w="631" w:type="pct"/>
            <w:vMerge/>
            <w:shd w:val="clear" w:color="auto" w:fill="auto"/>
            <w:noWrap/>
            <w:vAlign w:val="center"/>
            <w:hideMark/>
          </w:tcPr>
          <w:p w:rsidR="00B165C2" w:rsidRPr="00A012FE" w:rsidRDefault="00B165C2" w:rsidP="007A106C">
            <w:pPr>
              <w:rPr>
                <w:sz w:val="20"/>
                <w:szCs w:val="20"/>
              </w:rPr>
            </w:pPr>
          </w:p>
        </w:tc>
        <w:tc>
          <w:tcPr>
            <w:tcW w:w="1465" w:type="pct"/>
            <w:shd w:val="clear" w:color="auto" w:fill="auto"/>
            <w:vAlign w:val="center"/>
            <w:hideMark/>
          </w:tcPr>
          <w:p w:rsidR="00B165C2" w:rsidRPr="00A012FE" w:rsidRDefault="00B165C2" w:rsidP="007A106C">
            <w:pPr>
              <w:rPr>
                <w:sz w:val="20"/>
                <w:szCs w:val="20"/>
              </w:rPr>
            </w:pPr>
            <w:r>
              <w:rPr>
                <w:sz w:val="20"/>
                <w:szCs w:val="20"/>
              </w:rPr>
              <w:t>max. 90 % nebo 95 % s</w:t>
            </w:r>
            <w:r w:rsidRPr="00A012FE">
              <w:rPr>
                <w:sz w:val="20"/>
                <w:szCs w:val="20"/>
              </w:rPr>
              <w:t xml:space="preserve"> ohledem na závažnost porušení.</w:t>
            </w:r>
          </w:p>
        </w:tc>
      </w:tr>
      <w:tr w:rsidR="00B165C2" w:rsidRPr="00A012FE" w:rsidTr="007A106C">
        <w:trPr>
          <w:trHeight w:val="255"/>
        </w:trPr>
        <w:tc>
          <w:tcPr>
            <w:tcW w:w="531" w:type="pct"/>
            <w:vMerge/>
            <w:vAlign w:val="center"/>
            <w:hideMark/>
          </w:tcPr>
          <w:p w:rsidR="00B165C2" w:rsidRPr="00A012FE" w:rsidRDefault="00B165C2" w:rsidP="007A106C">
            <w:pPr>
              <w:rPr>
                <w:sz w:val="20"/>
                <w:szCs w:val="20"/>
              </w:rPr>
            </w:pPr>
          </w:p>
        </w:tc>
        <w:tc>
          <w:tcPr>
            <w:tcW w:w="349" w:type="pct"/>
            <w:vMerge w:val="restart"/>
            <w:shd w:val="clear" w:color="auto" w:fill="auto"/>
            <w:vAlign w:val="center"/>
            <w:hideMark/>
          </w:tcPr>
          <w:p w:rsidR="00B165C2" w:rsidRPr="00A012FE" w:rsidRDefault="00B165C2" w:rsidP="007A106C">
            <w:pPr>
              <w:rPr>
                <w:sz w:val="20"/>
                <w:szCs w:val="20"/>
              </w:rPr>
            </w:pPr>
            <w:r>
              <w:rPr>
                <w:sz w:val="20"/>
                <w:szCs w:val="20"/>
              </w:rPr>
              <w:t>34c</w:t>
            </w:r>
          </w:p>
        </w:tc>
        <w:tc>
          <w:tcPr>
            <w:tcW w:w="1399" w:type="pct"/>
            <w:vMerge w:val="restart"/>
            <w:shd w:val="clear" w:color="auto" w:fill="auto"/>
            <w:vAlign w:val="center"/>
            <w:hideMark/>
          </w:tcPr>
          <w:p w:rsidR="00B165C2" w:rsidRPr="00A012FE" w:rsidRDefault="00B165C2" w:rsidP="007A106C">
            <w:pPr>
              <w:rPr>
                <w:sz w:val="20"/>
                <w:szCs w:val="20"/>
              </w:rPr>
            </w:pPr>
            <w:r w:rsidRPr="00A012FE">
              <w:rPr>
                <w:sz w:val="20"/>
                <w:szCs w:val="20"/>
              </w:rPr>
              <w:t>Protokol/zápis o</w:t>
            </w:r>
            <w:r>
              <w:rPr>
                <w:sz w:val="20"/>
                <w:szCs w:val="20"/>
              </w:rPr>
              <w:t xml:space="preserve"> hodnocení nabídek je nejasný, </w:t>
            </w:r>
            <w:r w:rsidRPr="00A012FE">
              <w:rPr>
                <w:sz w:val="20"/>
                <w:szCs w:val="20"/>
              </w:rPr>
              <w:t>neexistuje nebo neobsahuje všechny povinné náležitosti dle ZVZ nebo ZP</w:t>
            </w:r>
            <w:r>
              <w:rPr>
                <w:sz w:val="20"/>
                <w:szCs w:val="20"/>
              </w:rPr>
              <w:t xml:space="preserve"> </w:t>
            </w:r>
            <w:r w:rsidRPr="00222FEB">
              <w:rPr>
                <w:sz w:val="20"/>
                <w:szCs w:val="20"/>
              </w:rPr>
              <w:t>(např. bodové hodnocení nabídky je neodůvodněné)</w:t>
            </w:r>
            <w:r w:rsidRPr="00A012FE">
              <w:rPr>
                <w:sz w:val="20"/>
                <w:szCs w:val="20"/>
              </w:rPr>
              <w:t xml:space="preserve">. </w:t>
            </w:r>
          </w:p>
        </w:tc>
        <w:tc>
          <w:tcPr>
            <w:tcW w:w="625" w:type="pct"/>
            <w:vMerge w:val="restart"/>
            <w:shd w:val="clear" w:color="auto" w:fill="auto"/>
            <w:vAlign w:val="center"/>
            <w:hideMark/>
          </w:tcPr>
          <w:p w:rsidR="00B165C2" w:rsidRPr="00A012FE" w:rsidRDefault="00B165C2" w:rsidP="007A106C">
            <w:pPr>
              <w:rPr>
                <w:sz w:val="20"/>
                <w:szCs w:val="20"/>
              </w:rPr>
            </w:pPr>
            <w:r>
              <w:rPr>
                <w:sz w:val="20"/>
                <w:szCs w:val="20"/>
              </w:rPr>
              <w:t>75 % - 95 %</w:t>
            </w:r>
          </w:p>
        </w:tc>
        <w:tc>
          <w:tcPr>
            <w:tcW w:w="631" w:type="pct"/>
            <w:vMerge w:val="restart"/>
            <w:shd w:val="clear" w:color="auto" w:fill="auto"/>
            <w:noWrap/>
            <w:vAlign w:val="center"/>
            <w:hideMark/>
          </w:tcPr>
          <w:p w:rsidR="00B165C2" w:rsidRPr="00A012FE" w:rsidRDefault="00B165C2" w:rsidP="007A106C">
            <w:pPr>
              <w:rPr>
                <w:sz w:val="20"/>
                <w:szCs w:val="20"/>
              </w:rPr>
            </w:pPr>
            <w:r w:rsidRPr="00A012FE">
              <w:rPr>
                <w:sz w:val="20"/>
                <w:szCs w:val="20"/>
              </w:rPr>
              <w:t>předložený výdaj z VŘ</w:t>
            </w:r>
          </w:p>
        </w:tc>
        <w:tc>
          <w:tcPr>
            <w:tcW w:w="1465" w:type="pct"/>
            <w:shd w:val="clear" w:color="auto" w:fill="auto"/>
            <w:vAlign w:val="center"/>
            <w:hideMark/>
          </w:tcPr>
          <w:p w:rsidR="00B165C2" w:rsidRPr="00A012FE" w:rsidRDefault="00B165C2" w:rsidP="007A106C">
            <w:pPr>
              <w:rPr>
                <w:sz w:val="20"/>
                <w:szCs w:val="20"/>
              </w:rPr>
            </w:pPr>
            <w:r>
              <w:rPr>
                <w:sz w:val="20"/>
                <w:szCs w:val="20"/>
              </w:rPr>
              <w:t>75 %, nebo</w:t>
            </w:r>
          </w:p>
        </w:tc>
      </w:tr>
      <w:tr w:rsidR="00B165C2" w:rsidRPr="00A012FE" w:rsidTr="007A106C">
        <w:trPr>
          <w:trHeight w:val="510"/>
        </w:trPr>
        <w:tc>
          <w:tcPr>
            <w:tcW w:w="531" w:type="pct"/>
            <w:vMerge/>
            <w:vAlign w:val="center"/>
            <w:hideMark/>
          </w:tcPr>
          <w:p w:rsidR="00B165C2" w:rsidRPr="00A012FE" w:rsidRDefault="00B165C2" w:rsidP="007A106C">
            <w:pPr>
              <w:rPr>
                <w:sz w:val="20"/>
                <w:szCs w:val="20"/>
              </w:rPr>
            </w:pPr>
          </w:p>
        </w:tc>
        <w:tc>
          <w:tcPr>
            <w:tcW w:w="349" w:type="pct"/>
            <w:vMerge/>
            <w:vAlign w:val="center"/>
            <w:hideMark/>
          </w:tcPr>
          <w:p w:rsidR="00B165C2" w:rsidRPr="00A012FE" w:rsidRDefault="00B165C2" w:rsidP="007A106C">
            <w:pPr>
              <w:rPr>
                <w:sz w:val="20"/>
                <w:szCs w:val="20"/>
              </w:rPr>
            </w:pPr>
          </w:p>
        </w:tc>
        <w:tc>
          <w:tcPr>
            <w:tcW w:w="1399" w:type="pct"/>
            <w:vMerge/>
            <w:vAlign w:val="center"/>
            <w:hideMark/>
          </w:tcPr>
          <w:p w:rsidR="00B165C2" w:rsidRPr="00A012FE" w:rsidRDefault="00B165C2" w:rsidP="007A106C">
            <w:pPr>
              <w:rPr>
                <w:sz w:val="20"/>
                <w:szCs w:val="20"/>
              </w:rPr>
            </w:pPr>
          </w:p>
        </w:tc>
        <w:tc>
          <w:tcPr>
            <w:tcW w:w="625" w:type="pct"/>
            <w:vMerge/>
            <w:shd w:val="clear" w:color="auto" w:fill="auto"/>
            <w:vAlign w:val="center"/>
            <w:hideMark/>
          </w:tcPr>
          <w:p w:rsidR="00B165C2" w:rsidRPr="00A012FE" w:rsidRDefault="00B165C2" w:rsidP="007A106C">
            <w:pPr>
              <w:rPr>
                <w:sz w:val="20"/>
                <w:szCs w:val="20"/>
              </w:rPr>
            </w:pPr>
          </w:p>
        </w:tc>
        <w:tc>
          <w:tcPr>
            <w:tcW w:w="631" w:type="pct"/>
            <w:vMerge/>
            <w:shd w:val="clear" w:color="auto" w:fill="auto"/>
            <w:noWrap/>
            <w:vAlign w:val="center"/>
            <w:hideMark/>
          </w:tcPr>
          <w:p w:rsidR="00B165C2" w:rsidRPr="00A012FE" w:rsidRDefault="00B165C2" w:rsidP="007A106C">
            <w:pPr>
              <w:rPr>
                <w:sz w:val="20"/>
                <w:szCs w:val="20"/>
              </w:rPr>
            </w:pPr>
          </w:p>
        </w:tc>
        <w:tc>
          <w:tcPr>
            <w:tcW w:w="1465" w:type="pct"/>
            <w:shd w:val="clear" w:color="auto" w:fill="auto"/>
            <w:vAlign w:val="center"/>
            <w:hideMark/>
          </w:tcPr>
          <w:p w:rsidR="00B165C2" w:rsidRPr="00A012FE" w:rsidRDefault="00B165C2" w:rsidP="007A106C">
            <w:pPr>
              <w:rPr>
                <w:sz w:val="20"/>
                <w:szCs w:val="20"/>
              </w:rPr>
            </w:pPr>
            <w:r>
              <w:rPr>
                <w:sz w:val="20"/>
                <w:szCs w:val="20"/>
              </w:rPr>
              <w:t>max. 90 % nebo 95 % s</w:t>
            </w:r>
            <w:r w:rsidRPr="00A012FE">
              <w:rPr>
                <w:sz w:val="20"/>
                <w:szCs w:val="20"/>
              </w:rPr>
              <w:t xml:space="preserve"> ohledem na závažnost porušení.</w:t>
            </w:r>
          </w:p>
        </w:tc>
      </w:tr>
      <w:tr w:rsidR="00B165C2" w:rsidRPr="00A012FE" w:rsidTr="007A106C">
        <w:trPr>
          <w:trHeight w:val="255"/>
        </w:trPr>
        <w:tc>
          <w:tcPr>
            <w:tcW w:w="531" w:type="pct"/>
            <w:vMerge/>
            <w:vAlign w:val="center"/>
            <w:hideMark/>
          </w:tcPr>
          <w:p w:rsidR="00B165C2" w:rsidRPr="00A012FE" w:rsidRDefault="00B165C2" w:rsidP="007A106C">
            <w:pPr>
              <w:rPr>
                <w:sz w:val="20"/>
                <w:szCs w:val="20"/>
              </w:rPr>
            </w:pPr>
          </w:p>
        </w:tc>
        <w:tc>
          <w:tcPr>
            <w:tcW w:w="349" w:type="pct"/>
            <w:vMerge w:val="restart"/>
            <w:shd w:val="clear" w:color="auto" w:fill="auto"/>
            <w:vAlign w:val="center"/>
            <w:hideMark/>
          </w:tcPr>
          <w:p w:rsidR="00B165C2" w:rsidRPr="00A012FE" w:rsidRDefault="00B165C2" w:rsidP="007A106C">
            <w:pPr>
              <w:rPr>
                <w:sz w:val="20"/>
                <w:szCs w:val="20"/>
              </w:rPr>
            </w:pPr>
            <w:r>
              <w:rPr>
                <w:sz w:val="20"/>
                <w:szCs w:val="20"/>
              </w:rPr>
              <w:t>34d</w:t>
            </w:r>
          </w:p>
        </w:tc>
        <w:tc>
          <w:tcPr>
            <w:tcW w:w="1399" w:type="pct"/>
            <w:vMerge w:val="restart"/>
            <w:shd w:val="clear" w:color="auto" w:fill="auto"/>
            <w:vAlign w:val="center"/>
            <w:hideMark/>
          </w:tcPr>
          <w:p w:rsidR="00B165C2" w:rsidRPr="00A012FE" w:rsidRDefault="00B165C2" w:rsidP="007A106C">
            <w:pPr>
              <w:rPr>
                <w:sz w:val="20"/>
                <w:szCs w:val="20"/>
              </w:rPr>
            </w:pPr>
            <w:r w:rsidRPr="00A012FE">
              <w:rPr>
                <w:sz w:val="20"/>
                <w:szCs w:val="20"/>
              </w:rPr>
              <w:t xml:space="preserve">V průběhu lhůty pro podání nabídek jsou některému dodavateli nebo některým dodavatelům poskytnuty informace, které nejsou poskytnuty jiným, případně je některý dodavatel (nebo někteří dodavatelé) jiným způsobem zvýhodněn a tyto skutečnosti mají vliv/mohou mít vliv na výběr nejvhodnější nabídky. </w:t>
            </w:r>
          </w:p>
        </w:tc>
        <w:tc>
          <w:tcPr>
            <w:tcW w:w="625" w:type="pct"/>
            <w:vMerge w:val="restart"/>
            <w:shd w:val="clear" w:color="auto" w:fill="auto"/>
            <w:vAlign w:val="center"/>
            <w:hideMark/>
          </w:tcPr>
          <w:p w:rsidR="00B165C2" w:rsidRPr="00A012FE" w:rsidRDefault="00B165C2" w:rsidP="007A106C">
            <w:pPr>
              <w:rPr>
                <w:sz w:val="20"/>
                <w:szCs w:val="20"/>
              </w:rPr>
            </w:pPr>
            <w:r>
              <w:rPr>
                <w:sz w:val="20"/>
                <w:szCs w:val="20"/>
              </w:rPr>
              <w:t>75 % - 95 %</w:t>
            </w:r>
          </w:p>
        </w:tc>
        <w:tc>
          <w:tcPr>
            <w:tcW w:w="631" w:type="pct"/>
            <w:vMerge w:val="restart"/>
            <w:shd w:val="clear" w:color="auto" w:fill="auto"/>
            <w:noWrap/>
            <w:vAlign w:val="center"/>
            <w:hideMark/>
          </w:tcPr>
          <w:p w:rsidR="00B165C2" w:rsidRPr="00A012FE" w:rsidRDefault="00B165C2" w:rsidP="007A106C">
            <w:pPr>
              <w:rPr>
                <w:sz w:val="20"/>
                <w:szCs w:val="20"/>
              </w:rPr>
            </w:pPr>
            <w:r w:rsidRPr="00A012FE">
              <w:rPr>
                <w:sz w:val="20"/>
                <w:szCs w:val="20"/>
              </w:rPr>
              <w:t>předložený výdaj z VŘ</w:t>
            </w:r>
          </w:p>
        </w:tc>
        <w:tc>
          <w:tcPr>
            <w:tcW w:w="1465" w:type="pct"/>
            <w:shd w:val="clear" w:color="auto" w:fill="auto"/>
            <w:vAlign w:val="center"/>
            <w:hideMark/>
          </w:tcPr>
          <w:p w:rsidR="00B165C2" w:rsidRPr="00A012FE" w:rsidRDefault="00B165C2" w:rsidP="007A106C">
            <w:pPr>
              <w:rPr>
                <w:sz w:val="20"/>
                <w:szCs w:val="20"/>
              </w:rPr>
            </w:pPr>
            <w:r>
              <w:rPr>
                <w:sz w:val="20"/>
                <w:szCs w:val="20"/>
              </w:rPr>
              <w:t>75 %, nebo</w:t>
            </w:r>
          </w:p>
        </w:tc>
      </w:tr>
      <w:tr w:rsidR="00B165C2" w:rsidRPr="00A012FE" w:rsidTr="007A106C">
        <w:trPr>
          <w:trHeight w:val="510"/>
        </w:trPr>
        <w:tc>
          <w:tcPr>
            <w:tcW w:w="531" w:type="pct"/>
            <w:vMerge/>
            <w:vAlign w:val="center"/>
            <w:hideMark/>
          </w:tcPr>
          <w:p w:rsidR="00B165C2" w:rsidRPr="00A012FE" w:rsidRDefault="00B165C2" w:rsidP="007A106C">
            <w:pPr>
              <w:rPr>
                <w:sz w:val="20"/>
                <w:szCs w:val="20"/>
              </w:rPr>
            </w:pPr>
          </w:p>
        </w:tc>
        <w:tc>
          <w:tcPr>
            <w:tcW w:w="349" w:type="pct"/>
            <w:vMerge/>
            <w:vAlign w:val="center"/>
            <w:hideMark/>
          </w:tcPr>
          <w:p w:rsidR="00B165C2" w:rsidRPr="00A012FE" w:rsidRDefault="00B165C2" w:rsidP="007A106C">
            <w:pPr>
              <w:rPr>
                <w:sz w:val="20"/>
                <w:szCs w:val="20"/>
              </w:rPr>
            </w:pPr>
          </w:p>
        </w:tc>
        <w:tc>
          <w:tcPr>
            <w:tcW w:w="1399" w:type="pct"/>
            <w:vMerge/>
            <w:vAlign w:val="center"/>
            <w:hideMark/>
          </w:tcPr>
          <w:p w:rsidR="00B165C2" w:rsidRPr="00A012FE" w:rsidRDefault="00B165C2" w:rsidP="007A106C">
            <w:pPr>
              <w:rPr>
                <w:sz w:val="20"/>
                <w:szCs w:val="20"/>
              </w:rPr>
            </w:pPr>
          </w:p>
        </w:tc>
        <w:tc>
          <w:tcPr>
            <w:tcW w:w="625" w:type="pct"/>
            <w:vMerge/>
            <w:shd w:val="clear" w:color="auto" w:fill="auto"/>
            <w:vAlign w:val="center"/>
            <w:hideMark/>
          </w:tcPr>
          <w:p w:rsidR="00B165C2" w:rsidRPr="00A012FE" w:rsidRDefault="00B165C2" w:rsidP="007A106C">
            <w:pPr>
              <w:rPr>
                <w:sz w:val="20"/>
                <w:szCs w:val="20"/>
              </w:rPr>
            </w:pPr>
          </w:p>
        </w:tc>
        <w:tc>
          <w:tcPr>
            <w:tcW w:w="631" w:type="pct"/>
            <w:vMerge/>
            <w:shd w:val="clear" w:color="auto" w:fill="auto"/>
            <w:noWrap/>
            <w:vAlign w:val="center"/>
            <w:hideMark/>
          </w:tcPr>
          <w:p w:rsidR="00B165C2" w:rsidRPr="00A012FE" w:rsidRDefault="00B165C2" w:rsidP="007A106C">
            <w:pPr>
              <w:rPr>
                <w:sz w:val="20"/>
                <w:szCs w:val="20"/>
              </w:rPr>
            </w:pPr>
          </w:p>
        </w:tc>
        <w:tc>
          <w:tcPr>
            <w:tcW w:w="1465" w:type="pct"/>
            <w:shd w:val="clear" w:color="auto" w:fill="auto"/>
            <w:vAlign w:val="center"/>
            <w:hideMark/>
          </w:tcPr>
          <w:p w:rsidR="00B165C2" w:rsidRPr="00A012FE" w:rsidRDefault="00B165C2" w:rsidP="007A106C">
            <w:pPr>
              <w:rPr>
                <w:sz w:val="20"/>
                <w:szCs w:val="20"/>
              </w:rPr>
            </w:pPr>
            <w:r>
              <w:rPr>
                <w:sz w:val="20"/>
                <w:szCs w:val="20"/>
              </w:rPr>
              <w:t>max. 90 % nebo 95 % s</w:t>
            </w:r>
            <w:r w:rsidRPr="00A012FE">
              <w:rPr>
                <w:sz w:val="20"/>
                <w:szCs w:val="20"/>
              </w:rPr>
              <w:t xml:space="preserve"> ohledem na závažnost porušení.</w:t>
            </w:r>
          </w:p>
        </w:tc>
      </w:tr>
      <w:tr w:rsidR="00B165C2" w:rsidRPr="00A012FE" w:rsidTr="007A106C">
        <w:trPr>
          <w:trHeight w:val="255"/>
        </w:trPr>
        <w:tc>
          <w:tcPr>
            <w:tcW w:w="531" w:type="pct"/>
            <w:vMerge/>
            <w:vAlign w:val="center"/>
          </w:tcPr>
          <w:p w:rsidR="00B165C2" w:rsidRPr="00A012FE" w:rsidRDefault="00B165C2" w:rsidP="007A106C">
            <w:pPr>
              <w:rPr>
                <w:sz w:val="20"/>
                <w:szCs w:val="20"/>
              </w:rPr>
            </w:pPr>
          </w:p>
        </w:tc>
        <w:tc>
          <w:tcPr>
            <w:tcW w:w="349" w:type="pct"/>
            <w:vMerge w:val="restart"/>
            <w:vAlign w:val="center"/>
          </w:tcPr>
          <w:p w:rsidR="00B165C2" w:rsidRPr="003769AD" w:rsidRDefault="00B165C2" w:rsidP="007A106C">
            <w:pPr>
              <w:rPr>
                <w:sz w:val="20"/>
                <w:szCs w:val="20"/>
                <w:highlight w:val="lightGray"/>
              </w:rPr>
            </w:pPr>
            <w:r w:rsidRPr="003769AD">
              <w:rPr>
                <w:sz w:val="20"/>
                <w:szCs w:val="20"/>
                <w:highlight w:val="lightGray"/>
              </w:rPr>
              <w:t>34e</w:t>
            </w:r>
          </w:p>
        </w:tc>
        <w:tc>
          <w:tcPr>
            <w:tcW w:w="1399" w:type="pct"/>
            <w:vMerge w:val="restart"/>
            <w:vAlign w:val="center"/>
          </w:tcPr>
          <w:p w:rsidR="00B165C2" w:rsidRPr="003769AD" w:rsidRDefault="00B165C2" w:rsidP="007A106C">
            <w:pPr>
              <w:rPr>
                <w:color w:val="000000"/>
                <w:sz w:val="20"/>
                <w:szCs w:val="20"/>
                <w:highlight w:val="lightGray"/>
              </w:rPr>
            </w:pPr>
            <w:r w:rsidRPr="003769AD">
              <w:rPr>
                <w:color w:val="000000"/>
                <w:sz w:val="20"/>
                <w:szCs w:val="20"/>
                <w:highlight w:val="lightGray"/>
              </w:rPr>
              <w:t>V rámci otevřeného nebo užšího řízení dle ZVZ zadavatel vyjednává s uchazeči během fáze hodnocení, což vede k podstatné změně výchozích podmínek stanovených v oznámení o zakázce nebo ve specifikaci zadávacího řízení.</w:t>
            </w:r>
          </w:p>
        </w:tc>
        <w:tc>
          <w:tcPr>
            <w:tcW w:w="625" w:type="pct"/>
            <w:vMerge w:val="restart"/>
            <w:shd w:val="clear" w:color="auto" w:fill="auto"/>
            <w:vAlign w:val="center"/>
          </w:tcPr>
          <w:p w:rsidR="00B165C2" w:rsidRPr="003769AD" w:rsidRDefault="00B165C2" w:rsidP="007A106C">
            <w:pPr>
              <w:rPr>
                <w:sz w:val="20"/>
                <w:szCs w:val="20"/>
                <w:highlight w:val="lightGray"/>
              </w:rPr>
            </w:pPr>
            <w:r w:rsidRPr="003769AD">
              <w:rPr>
                <w:sz w:val="20"/>
                <w:szCs w:val="20"/>
                <w:highlight w:val="lightGray"/>
              </w:rPr>
              <w:t>75 % - 95 %</w:t>
            </w:r>
          </w:p>
        </w:tc>
        <w:tc>
          <w:tcPr>
            <w:tcW w:w="631" w:type="pct"/>
            <w:vMerge w:val="restart"/>
            <w:shd w:val="clear" w:color="auto" w:fill="auto"/>
            <w:noWrap/>
            <w:vAlign w:val="center"/>
          </w:tcPr>
          <w:p w:rsidR="00B165C2" w:rsidRPr="003769AD" w:rsidRDefault="00B165C2" w:rsidP="007A106C">
            <w:pPr>
              <w:rPr>
                <w:sz w:val="20"/>
                <w:szCs w:val="20"/>
                <w:highlight w:val="lightGray"/>
              </w:rPr>
            </w:pPr>
            <w:r w:rsidRPr="003769AD">
              <w:rPr>
                <w:sz w:val="20"/>
                <w:szCs w:val="20"/>
                <w:highlight w:val="lightGray"/>
              </w:rPr>
              <w:t>předložený výdaj z VŘ</w:t>
            </w:r>
          </w:p>
        </w:tc>
        <w:tc>
          <w:tcPr>
            <w:tcW w:w="1465" w:type="pct"/>
            <w:shd w:val="clear" w:color="auto" w:fill="auto"/>
            <w:vAlign w:val="center"/>
          </w:tcPr>
          <w:p w:rsidR="00B165C2" w:rsidRPr="003769AD" w:rsidRDefault="00B165C2" w:rsidP="007A106C">
            <w:pPr>
              <w:rPr>
                <w:sz w:val="20"/>
                <w:szCs w:val="20"/>
                <w:highlight w:val="lightGray"/>
              </w:rPr>
            </w:pPr>
            <w:r w:rsidRPr="003769AD">
              <w:rPr>
                <w:sz w:val="20"/>
                <w:szCs w:val="20"/>
                <w:highlight w:val="lightGray"/>
              </w:rPr>
              <w:t>75 %, nebo</w:t>
            </w:r>
          </w:p>
        </w:tc>
      </w:tr>
      <w:tr w:rsidR="00B165C2" w:rsidRPr="00A012FE" w:rsidTr="007A106C">
        <w:trPr>
          <w:trHeight w:val="255"/>
        </w:trPr>
        <w:tc>
          <w:tcPr>
            <w:tcW w:w="531" w:type="pct"/>
            <w:vMerge/>
            <w:vAlign w:val="center"/>
          </w:tcPr>
          <w:p w:rsidR="00B165C2" w:rsidRPr="00A012FE" w:rsidRDefault="00B165C2" w:rsidP="007A106C">
            <w:pPr>
              <w:rPr>
                <w:sz w:val="20"/>
                <w:szCs w:val="20"/>
              </w:rPr>
            </w:pPr>
          </w:p>
        </w:tc>
        <w:tc>
          <w:tcPr>
            <w:tcW w:w="349" w:type="pct"/>
            <w:vMerge/>
            <w:vAlign w:val="center"/>
          </w:tcPr>
          <w:p w:rsidR="00B165C2" w:rsidRPr="003769AD" w:rsidRDefault="00B165C2" w:rsidP="007A106C">
            <w:pPr>
              <w:rPr>
                <w:sz w:val="20"/>
                <w:szCs w:val="20"/>
                <w:highlight w:val="lightGray"/>
              </w:rPr>
            </w:pPr>
          </w:p>
        </w:tc>
        <w:tc>
          <w:tcPr>
            <w:tcW w:w="1399" w:type="pct"/>
            <w:vMerge/>
            <w:vAlign w:val="center"/>
          </w:tcPr>
          <w:p w:rsidR="00B165C2" w:rsidRPr="003769AD" w:rsidRDefault="00B165C2" w:rsidP="007A106C">
            <w:pPr>
              <w:rPr>
                <w:sz w:val="20"/>
                <w:szCs w:val="20"/>
                <w:highlight w:val="lightGray"/>
              </w:rPr>
            </w:pPr>
          </w:p>
        </w:tc>
        <w:tc>
          <w:tcPr>
            <w:tcW w:w="625" w:type="pct"/>
            <w:vMerge/>
            <w:shd w:val="clear" w:color="auto" w:fill="auto"/>
            <w:vAlign w:val="center"/>
          </w:tcPr>
          <w:p w:rsidR="00B165C2" w:rsidRPr="003769AD" w:rsidRDefault="00B165C2" w:rsidP="007A106C">
            <w:pPr>
              <w:rPr>
                <w:sz w:val="20"/>
                <w:szCs w:val="20"/>
                <w:highlight w:val="lightGray"/>
              </w:rPr>
            </w:pPr>
          </w:p>
        </w:tc>
        <w:tc>
          <w:tcPr>
            <w:tcW w:w="631" w:type="pct"/>
            <w:vMerge/>
            <w:shd w:val="clear" w:color="auto" w:fill="auto"/>
            <w:noWrap/>
            <w:vAlign w:val="center"/>
          </w:tcPr>
          <w:p w:rsidR="00B165C2" w:rsidRPr="003769AD" w:rsidRDefault="00B165C2" w:rsidP="007A106C">
            <w:pPr>
              <w:rPr>
                <w:sz w:val="20"/>
                <w:szCs w:val="20"/>
                <w:highlight w:val="lightGray"/>
              </w:rPr>
            </w:pPr>
          </w:p>
        </w:tc>
        <w:tc>
          <w:tcPr>
            <w:tcW w:w="1465" w:type="pct"/>
            <w:shd w:val="clear" w:color="auto" w:fill="auto"/>
            <w:vAlign w:val="center"/>
          </w:tcPr>
          <w:p w:rsidR="00B165C2" w:rsidRPr="003769AD" w:rsidRDefault="00B165C2" w:rsidP="007A106C">
            <w:pPr>
              <w:rPr>
                <w:sz w:val="20"/>
                <w:szCs w:val="20"/>
                <w:highlight w:val="lightGray"/>
              </w:rPr>
            </w:pPr>
            <w:r w:rsidRPr="003769AD">
              <w:rPr>
                <w:sz w:val="20"/>
                <w:szCs w:val="20"/>
                <w:highlight w:val="lightGray"/>
              </w:rPr>
              <w:t>max. 90 % nebo 95 % s ohledem na závažnost porušení.</w:t>
            </w:r>
          </w:p>
        </w:tc>
      </w:tr>
      <w:tr w:rsidR="00B165C2" w:rsidRPr="00A012FE" w:rsidTr="007A106C">
        <w:trPr>
          <w:trHeight w:val="255"/>
        </w:trPr>
        <w:tc>
          <w:tcPr>
            <w:tcW w:w="531" w:type="pct"/>
            <w:vMerge/>
            <w:vAlign w:val="center"/>
          </w:tcPr>
          <w:p w:rsidR="00B165C2" w:rsidRPr="00A012FE" w:rsidRDefault="00B165C2" w:rsidP="007A106C">
            <w:pPr>
              <w:rPr>
                <w:sz w:val="20"/>
                <w:szCs w:val="20"/>
              </w:rPr>
            </w:pPr>
          </w:p>
        </w:tc>
        <w:tc>
          <w:tcPr>
            <w:tcW w:w="349" w:type="pct"/>
            <w:vMerge w:val="restart"/>
            <w:vAlign w:val="center"/>
          </w:tcPr>
          <w:p w:rsidR="00B165C2" w:rsidRPr="003769AD" w:rsidRDefault="00B165C2" w:rsidP="007A106C">
            <w:pPr>
              <w:rPr>
                <w:sz w:val="20"/>
                <w:szCs w:val="20"/>
                <w:highlight w:val="lightGray"/>
              </w:rPr>
            </w:pPr>
            <w:r w:rsidRPr="003769AD">
              <w:rPr>
                <w:sz w:val="20"/>
                <w:szCs w:val="20"/>
                <w:highlight w:val="lightGray"/>
              </w:rPr>
              <w:t>34f</w:t>
            </w:r>
          </w:p>
        </w:tc>
        <w:tc>
          <w:tcPr>
            <w:tcW w:w="1399" w:type="pct"/>
            <w:vMerge w:val="restart"/>
            <w:vAlign w:val="center"/>
          </w:tcPr>
          <w:p w:rsidR="00B165C2" w:rsidRPr="003769AD" w:rsidRDefault="00B165C2" w:rsidP="007A106C">
            <w:pPr>
              <w:rPr>
                <w:color w:val="000000"/>
                <w:sz w:val="20"/>
                <w:szCs w:val="20"/>
                <w:highlight w:val="lightGray"/>
              </w:rPr>
            </w:pPr>
            <w:r w:rsidRPr="003769AD">
              <w:rPr>
                <w:color w:val="000000"/>
                <w:sz w:val="20"/>
                <w:szCs w:val="20"/>
                <w:highlight w:val="lightGray"/>
              </w:rPr>
              <w:t>V souvislosti s jednacím řízením s uveřejněním byly původní podmínky zakázky podstatně změněny.</w:t>
            </w:r>
          </w:p>
        </w:tc>
        <w:tc>
          <w:tcPr>
            <w:tcW w:w="625" w:type="pct"/>
            <w:vMerge w:val="restart"/>
            <w:shd w:val="clear" w:color="auto" w:fill="auto"/>
            <w:vAlign w:val="center"/>
          </w:tcPr>
          <w:p w:rsidR="00B165C2" w:rsidRPr="003769AD" w:rsidRDefault="00B165C2" w:rsidP="007A106C">
            <w:pPr>
              <w:rPr>
                <w:sz w:val="20"/>
                <w:szCs w:val="20"/>
                <w:highlight w:val="lightGray"/>
              </w:rPr>
            </w:pPr>
            <w:r w:rsidRPr="003769AD">
              <w:rPr>
                <w:sz w:val="20"/>
                <w:szCs w:val="20"/>
                <w:highlight w:val="lightGray"/>
              </w:rPr>
              <w:t>75 % - 95 %</w:t>
            </w:r>
          </w:p>
        </w:tc>
        <w:tc>
          <w:tcPr>
            <w:tcW w:w="631" w:type="pct"/>
            <w:vMerge w:val="restart"/>
            <w:shd w:val="clear" w:color="auto" w:fill="auto"/>
            <w:noWrap/>
            <w:vAlign w:val="center"/>
          </w:tcPr>
          <w:p w:rsidR="00B165C2" w:rsidRPr="003769AD" w:rsidRDefault="00B165C2" w:rsidP="007A106C">
            <w:pPr>
              <w:rPr>
                <w:sz w:val="20"/>
                <w:szCs w:val="20"/>
                <w:highlight w:val="lightGray"/>
              </w:rPr>
            </w:pPr>
            <w:r w:rsidRPr="003769AD">
              <w:rPr>
                <w:sz w:val="20"/>
                <w:szCs w:val="20"/>
                <w:highlight w:val="lightGray"/>
              </w:rPr>
              <w:t>předložený výdaj z VŘ</w:t>
            </w:r>
          </w:p>
        </w:tc>
        <w:tc>
          <w:tcPr>
            <w:tcW w:w="1465" w:type="pct"/>
            <w:shd w:val="clear" w:color="auto" w:fill="auto"/>
            <w:vAlign w:val="center"/>
          </w:tcPr>
          <w:p w:rsidR="00B165C2" w:rsidRPr="003769AD" w:rsidRDefault="00B165C2" w:rsidP="007A106C">
            <w:pPr>
              <w:rPr>
                <w:sz w:val="20"/>
                <w:szCs w:val="20"/>
                <w:highlight w:val="lightGray"/>
              </w:rPr>
            </w:pPr>
            <w:r w:rsidRPr="003769AD">
              <w:rPr>
                <w:sz w:val="20"/>
                <w:szCs w:val="20"/>
                <w:highlight w:val="lightGray"/>
              </w:rPr>
              <w:t>75 %, nebo</w:t>
            </w:r>
          </w:p>
        </w:tc>
      </w:tr>
      <w:tr w:rsidR="00B165C2" w:rsidRPr="00A012FE" w:rsidTr="007A106C">
        <w:trPr>
          <w:trHeight w:val="255"/>
        </w:trPr>
        <w:tc>
          <w:tcPr>
            <w:tcW w:w="531" w:type="pct"/>
            <w:vMerge/>
            <w:vAlign w:val="center"/>
          </w:tcPr>
          <w:p w:rsidR="00B165C2" w:rsidRPr="00A012FE" w:rsidRDefault="00B165C2" w:rsidP="007A106C">
            <w:pPr>
              <w:rPr>
                <w:sz w:val="20"/>
                <w:szCs w:val="20"/>
              </w:rPr>
            </w:pPr>
          </w:p>
        </w:tc>
        <w:tc>
          <w:tcPr>
            <w:tcW w:w="349" w:type="pct"/>
            <w:vMerge/>
            <w:vAlign w:val="center"/>
          </w:tcPr>
          <w:p w:rsidR="00B165C2" w:rsidRPr="003769AD" w:rsidRDefault="00B165C2" w:rsidP="007A106C">
            <w:pPr>
              <w:rPr>
                <w:sz w:val="20"/>
                <w:szCs w:val="20"/>
                <w:highlight w:val="lightGray"/>
              </w:rPr>
            </w:pPr>
          </w:p>
        </w:tc>
        <w:tc>
          <w:tcPr>
            <w:tcW w:w="1399" w:type="pct"/>
            <w:vMerge/>
            <w:vAlign w:val="center"/>
          </w:tcPr>
          <w:p w:rsidR="00B165C2" w:rsidRPr="003769AD" w:rsidRDefault="00B165C2" w:rsidP="007A106C">
            <w:pPr>
              <w:rPr>
                <w:sz w:val="20"/>
                <w:szCs w:val="20"/>
                <w:highlight w:val="lightGray"/>
              </w:rPr>
            </w:pPr>
          </w:p>
        </w:tc>
        <w:tc>
          <w:tcPr>
            <w:tcW w:w="625" w:type="pct"/>
            <w:vMerge/>
            <w:shd w:val="clear" w:color="auto" w:fill="auto"/>
            <w:vAlign w:val="center"/>
          </w:tcPr>
          <w:p w:rsidR="00B165C2" w:rsidRPr="003769AD" w:rsidRDefault="00B165C2" w:rsidP="007A106C">
            <w:pPr>
              <w:rPr>
                <w:sz w:val="20"/>
                <w:szCs w:val="20"/>
                <w:highlight w:val="lightGray"/>
              </w:rPr>
            </w:pPr>
          </w:p>
        </w:tc>
        <w:tc>
          <w:tcPr>
            <w:tcW w:w="631" w:type="pct"/>
            <w:vMerge/>
            <w:shd w:val="clear" w:color="auto" w:fill="auto"/>
            <w:noWrap/>
            <w:vAlign w:val="center"/>
          </w:tcPr>
          <w:p w:rsidR="00B165C2" w:rsidRPr="003769AD" w:rsidRDefault="00B165C2" w:rsidP="007A106C">
            <w:pPr>
              <w:rPr>
                <w:sz w:val="20"/>
                <w:szCs w:val="20"/>
                <w:highlight w:val="lightGray"/>
              </w:rPr>
            </w:pPr>
          </w:p>
        </w:tc>
        <w:tc>
          <w:tcPr>
            <w:tcW w:w="1465" w:type="pct"/>
            <w:shd w:val="clear" w:color="auto" w:fill="auto"/>
            <w:vAlign w:val="center"/>
          </w:tcPr>
          <w:p w:rsidR="00B165C2" w:rsidRPr="003769AD" w:rsidRDefault="00B165C2" w:rsidP="007A106C">
            <w:pPr>
              <w:rPr>
                <w:sz w:val="20"/>
                <w:szCs w:val="20"/>
                <w:highlight w:val="lightGray"/>
              </w:rPr>
            </w:pPr>
            <w:r w:rsidRPr="003769AD">
              <w:rPr>
                <w:sz w:val="20"/>
                <w:szCs w:val="20"/>
                <w:highlight w:val="lightGray"/>
              </w:rPr>
              <w:t>max. 90 % nebo 95 % s ohledem na závažnost porušení.</w:t>
            </w:r>
          </w:p>
        </w:tc>
      </w:tr>
      <w:tr w:rsidR="00B165C2" w:rsidRPr="00A012FE" w:rsidTr="007A106C">
        <w:trPr>
          <w:trHeight w:val="1063"/>
        </w:trPr>
        <w:tc>
          <w:tcPr>
            <w:tcW w:w="531" w:type="pct"/>
            <w:vMerge/>
            <w:vAlign w:val="center"/>
          </w:tcPr>
          <w:p w:rsidR="00B165C2" w:rsidRPr="00A012FE" w:rsidRDefault="00B165C2" w:rsidP="007A106C">
            <w:pPr>
              <w:rPr>
                <w:sz w:val="20"/>
                <w:szCs w:val="20"/>
              </w:rPr>
            </w:pPr>
          </w:p>
        </w:tc>
        <w:tc>
          <w:tcPr>
            <w:tcW w:w="349" w:type="pct"/>
            <w:vMerge w:val="restart"/>
            <w:shd w:val="clear" w:color="auto" w:fill="auto"/>
          </w:tcPr>
          <w:p w:rsidR="00B165C2" w:rsidRDefault="00B165C2" w:rsidP="007A106C">
            <w:pPr>
              <w:rPr>
                <w:sz w:val="20"/>
                <w:szCs w:val="20"/>
              </w:rPr>
            </w:pPr>
            <w:r>
              <w:rPr>
                <w:sz w:val="20"/>
                <w:szCs w:val="20"/>
              </w:rPr>
              <w:t>34g</w:t>
            </w:r>
          </w:p>
        </w:tc>
        <w:tc>
          <w:tcPr>
            <w:tcW w:w="1399" w:type="pct"/>
            <w:vMerge w:val="restart"/>
            <w:shd w:val="clear" w:color="auto" w:fill="auto"/>
          </w:tcPr>
          <w:p w:rsidR="00B165C2" w:rsidRPr="00D935F7" w:rsidRDefault="00B165C2" w:rsidP="007A106C">
            <w:pPr>
              <w:rPr>
                <w:sz w:val="20"/>
                <w:szCs w:val="20"/>
              </w:rPr>
            </w:pPr>
            <w:r w:rsidRPr="00F45930">
              <w:rPr>
                <w:sz w:val="20"/>
                <w:szCs w:val="20"/>
              </w:rPr>
              <w:t>Původní zadávací podmínky se podstatně změní po podání nabídek.</w:t>
            </w:r>
          </w:p>
        </w:tc>
        <w:tc>
          <w:tcPr>
            <w:tcW w:w="625" w:type="pct"/>
            <w:vMerge w:val="restart"/>
            <w:shd w:val="clear" w:color="auto" w:fill="auto"/>
            <w:vAlign w:val="center"/>
          </w:tcPr>
          <w:p w:rsidR="00B165C2" w:rsidRPr="00D935F7" w:rsidRDefault="00B165C2" w:rsidP="007A106C">
            <w:pPr>
              <w:jc w:val="center"/>
              <w:rPr>
                <w:sz w:val="20"/>
                <w:szCs w:val="20"/>
              </w:rPr>
            </w:pPr>
            <w:r>
              <w:rPr>
                <w:sz w:val="20"/>
                <w:szCs w:val="20"/>
              </w:rPr>
              <w:t>75 % - 95 %</w:t>
            </w:r>
          </w:p>
        </w:tc>
        <w:tc>
          <w:tcPr>
            <w:tcW w:w="631" w:type="pct"/>
            <w:vMerge w:val="restart"/>
            <w:shd w:val="clear" w:color="auto" w:fill="auto"/>
            <w:noWrap/>
            <w:vAlign w:val="center"/>
          </w:tcPr>
          <w:p w:rsidR="00B165C2" w:rsidRPr="00D935F7" w:rsidRDefault="00B165C2" w:rsidP="007A106C">
            <w:pPr>
              <w:jc w:val="center"/>
              <w:rPr>
                <w:sz w:val="20"/>
                <w:szCs w:val="20"/>
              </w:rPr>
            </w:pPr>
            <w:r w:rsidRPr="00D935F7">
              <w:rPr>
                <w:sz w:val="20"/>
                <w:szCs w:val="20"/>
              </w:rPr>
              <w:t>předložený výdaj z VŘ</w:t>
            </w:r>
          </w:p>
        </w:tc>
        <w:tc>
          <w:tcPr>
            <w:tcW w:w="1465" w:type="pct"/>
            <w:shd w:val="clear" w:color="auto" w:fill="auto"/>
            <w:vAlign w:val="center"/>
          </w:tcPr>
          <w:p w:rsidR="00B165C2" w:rsidRDefault="00B165C2" w:rsidP="007A106C">
            <w:pPr>
              <w:jc w:val="left"/>
              <w:rPr>
                <w:sz w:val="20"/>
                <w:szCs w:val="20"/>
              </w:rPr>
            </w:pPr>
            <w:r>
              <w:rPr>
                <w:sz w:val="20"/>
                <w:szCs w:val="20"/>
              </w:rPr>
              <w:t>75 %, nebo</w:t>
            </w:r>
          </w:p>
        </w:tc>
      </w:tr>
      <w:tr w:rsidR="00B165C2" w:rsidRPr="00A012FE" w:rsidTr="007A106C">
        <w:trPr>
          <w:trHeight w:val="523"/>
        </w:trPr>
        <w:tc>
          <w:tcPr>
            <w:tcW w:w="531" w:type="pct"/>
            <w:vMerge/>
            <w:vAlign w:val="center"/>
          </w:tcPr>
          <w:p w:rsidR="00B165C2" w:rsidRPr="00A012FE" w:rsidRDefault="00B165C2" w:rsidP="007A106C">
            <w:pPr>
              <w:rPr>
                <w:sz w:val="20"/>
                <w:szCs w:val="20"/>
              </w:rPr>
            </w:pPr>
          </w:p>
        </w:tc>
        <w:tc>
          <w:tcPr>
            <w:tcW w:w="349" w:type="pct"/>
            <w:vMerge/>
            <w:shd w:val="clear" w:color="auto" w:fill="auto"/>
          </w:tcPr>
          <w:p w:rsidR="00B165C2" w:rsidRDefault="00B165C2" w:rsidP="007A106C">
            <w:pPr>
              <w:rPr>
                <w:sz w:val="20"/>
                <w:szCs w:val="20"/>
              </w:rPr>
            </w:pPr>
          </w:p>
        </w:tc>
        <w:tc>
          <w:tcPr>
            <w:tcW w:w="1399" w:type="pct"/>
            <w:vMerge/>
            <w:shd w:val="clear" w:color="auto" w:fill="auto"/>
          </w:tcPr>
          <w:p w:rsidR="00B165C2" w:rsidRPr="00D935F7" w:rsidRDefault="00B165C2" w:rsidP="007A106C">
            <w:pPr>
              <w:rPr>
                <w:sz w:val="20"/>
                <w:szCs w:val="20"/>
              </w:rPr>
            </w:pPr>
          </w:p>
        </w:tc>
        <w:tc>
          <w:tcPr>
            <w:tcW w:w="625" w:type="pct"/>
            <w:vMerge/>
            <w:shd w:val="clear" w:color="auto" w:fill="auto"/>
            <w:vAlign w:val="center"/>
          </w:tcPr>
          <w:p w:rsidR="00B165C2" w:rsidRPr="00D935F7" w:rsidRDefault="00B165C2" w:rsidP="007A106C">
            <w:pPr>
              <w:jc w:val="center"/>
              <w:rPr>
                <w:sz w:val="20"/>
                <w:szCs w:val="20"/>
              </w:rPr>
            </w:pPr>
          </w:p>
        </w:tc>
        <w:tc>
          <w:tcPr>
            <w:tcW w:w="631" w:type="pct"/>
            <w:vMerge/>
            <w:shd w:val="clear" w:color="auto" w:fill="auto"/>
            <w:vAlign w:val="center"/>
          </w:tcPr>
          <w:p w:rsidR="00B165C2" w:rsidRPr="00D935F7" w:rsidRDefault="00B165C2" w:rsidP="007A106C">
            <w:pPr>
              <w:jc w:val="center"/>
              <w:rPr>
                <w:sz w:val="20"/>
                <w:szCs w:val="20"/>
              </w:rPr>
            </w:pPr>
          </w:p>
        </w:tc>
        <w:tc>
          <w:tcPr>
            <w:tcW w:w="1465" w:type="pct"/>
            <w:shd w:val="clear" w:color="auto" w:fill="auto"/>
            <w:vAlign w:val="center"/>
          </w:tcPr>
          <w:p w:rsidR="00B165C2" w:rsidRDefault="00B165C2" w:rsidP="007A106C">
            <w:pPr>
              <w:jc w:val="left"/>
              <w:rPr>
                <w:sz w:val="20"/>
                <w:szCs w:val="20"/>
              </w:rPr>
            </w:pPr>
            <w:r>
              <w:rPr>
                <w:sz w:val="20"/>
                <w:szCs w:val="20"/>
              </w:rPr>
              <w:t>max. 90 % nebo 95 % s</w:t>
            </w:r>
            <w:r w:rsidRPr="00A012FE">
              <w:rPr>
                <w:sz w:val="20"/>
                <w:szCs w:val="20"/>
              </w:rPr>
              <w:t xml:space="preserve"> ohledem na závažnost porušení.</w:t>
            </w:r>
          </w:p>
        </w:tc>
      </w:tr>
      <w:tr w:rsidR="00B165C2" w:rsidRPr="00A012FE" w:rsidTr="007A106C">
        <w:trPr>
          <w:trHeight w:val="405"/>
        </w:trPr>
        <w:tc>
          <w:tcPr>
            <w:tcW w:w="531" w:type="pct"/>
            <w:vMerge/>
            <w:vAlign w:val="center"/>
          </w:tcPr>
          <w:p w:rsidR="00B165C2" w:rsidRPr="00A012FE" w:rsidRDefault="00B165C2" w:rsidP="007A106C">
            <w:pPr>
              <w:rPr>
                <w:sz w:val="20"/>
                <w:szCs w:val="20"/>
              </w:rPr>
            </w:pPr>
          </w:p>
        </w:tc>
        <w:tc>
          <w:tcPr>
            <w:tcW w:w="349" w:type="pct"/>
            <w:vMerge w:val="restart"/>
            <w:shd w:val="clear" w:color="auto" w:fill="auto"/>
          </w:tcPr>
          <w:p w:rsidR="00B165C2" w:rsidRPr="003769AD" w:rsidRDefault="00B165C2" w:rsidP="007A106C">
            <w:pPr>
              <w:rPr>
                <w:sz w:val="20"/>
                <w:szCs w:val="20"/>
                <w:highlight w:val="lightGray"/>
              </w:rPr>
            </w:pPr>
            <w:r w:rsidRPr="003769AD">
              <w:rPr>
                <w:sz w:val="20"/>
                <w:szCs w:val="20"/>
                <w:highlight w:val="lightGray"/>
              </w:rPr>
              <w:t>34 h</w:t>
            </w:r>
          </w:p>
        </w:tc>
        <w:tc>
          <w:tcPr>
            <w:tcW w:w="1399" w:type="pct"/>
            <w:vMerge w:val="restart"/>
            <w:shd w:val="clear" w:color="auto" w:fill="auto"/>
          </w:tcPr>
          <w:p w:rsidR="00B165C2" w:rsidRPr="003769AD" w:rsidRDefault="00B165C2" w:rsidP="007A106C">
            <w:pPr>
              <w:rPr>
                <w:sz w:val="20"/>
                <w:szCs w:val="20"/>
                <w:highlight w:val="lightGray"/>
              </w:rPr>
            </w:pPr>
            <w:r w:rsidRPr="003769AD">
              <w:rPr>
                <w:sz w:val="20"/>
                <w:szCs w:val="20"/>
                <w:highlight w:val="lightGray"/>
              </w:rPr>
              <w:t>Zadavatel umožní upravit uchazeči nabídku během hodnocení nabídek.</w:t>
            </w:r>
          </w:p>
        </w:tc>
        <w:tc>
          <w:tcPr>
            <w:tcW w:w="625" w:type="pct"/>
            <w:vMerge w:val="restart"/>
            <w:shd w:val="clear" w:color="auto" w:fill="auto"/>
            <w:vAlign w:val="center"/>
          </w:tcPr>
          <w:p w:rsidR="00B165C2" w:rsidRPr="003769AD" w:rsidRDefault="00B165C2" w:rsidP="007A106C">
            <w:pPr>
              <w:jc w:val="center"/>
              <w:rPr>
                <w:sz w:val="20"/>
                <w:szCs w:val="20"/>
                <w:highlight w:val="lightGray"/>
              </w:rPr>
            </w:pPr>
            <w:r w:rsidRPr="003769AD">
              <w:rPr>
                <w:sz w:val="20"/>
                <w:szCs w:val="20"/>
                <w:highlight w:val="lightGray"/>
              </w:rPr>
              <w:t>75 % - 95 %</w:t>
            </w:r>
          </w:p>
        </w:tc>
        <w:tc>
          <w:tcPr>
            <w:tcW w:w="631" w:type="pct"/>
            <w:vMerge w:val="restart"/>
            <w:shd w:val="clear" w:color="auto" w:fill="auto"/>
            <w:vAlign w:val="center"/>
          </w:tcPr>
          <w:p w:rsidR="00B165C2" w:rsidRPr="003769AD" w:rsidRDefault="00B165C2" w:rsidP="007A106C">
            <w:pPr>
              <w:jc w:val="center"/>
              <w:rPr>
                <w:sz w:val="20"/>
                <w:szCs w:val="20"/>
                <w:highlight w:val="lightGray"/>
              </w:rPr>
            </w:pPr>
            <w:r w:rsidRPr="003769AD">
              <w:rPr>
                <w:sz w:val="20"/>
                <w:szCs w:val="20"/>
                <w:highlight w:val="lightGray"/>
              </w:rPr>
              <w:t>předložený výdaj z VŘ</w:t>
            </w:r>
          </w:p>
        </w:tc>
        <w:tc>
          <w:tcPr>
            <w:tcW w:w="1465" w:type="pct"/>
            <w:shd w:val="clear" w:color="auto" w:fill="auto"/>
            <w:vAlign w:val="center"/>
          </w:tcPr>
          <w:p w:rsidR="00B165C2" w:rsidRPr="003769AD" w:rsidRDefault="00B165C2" w:rsidP="007A106C">
            <w:pPr>
              <w:jc w:val="left"/>
              <w:rPr>
                <w:sz w:val="20"/>
                <w:szCs w:val="20"/>
                <w:highlight w:val="lightGray"/>
              </w:rPr>
            </w:pPr>
            <w:r w:rsidRPr="003769AD">
              <w:rPr>
                <w:sz w:val="20"/>
                <w:szCs w:val="20"/>
                <w:highlight w:val="lightGray"/>
              </w:rPr>
              <w:t>75 %, nebo</w:t>
            </w:r>
          </w:p>
        </w:tc>
      </w:tr>
      <w:tr w:rsidR="00B165C2" w:rsidRPr="00A012FE" w:rsidTr="007A106C">
        <w:trPr>
          <w:trHeight w:val="405"/>
        </w:trPr>
        <w:tc>
          <w:tcPr>
            <w:tcW w:w="531" w:type="pct"/>
            <w:vMerge/>
            <w:vAlign w:val="center"/>
          </w:tcPr>
          <w:p w:rsidR="00B165C2" w:rsidRPr="00A012FE" w:rsidRDefault="00B165C2" w:rsidP="007A106C">
            <w:pPr>
              <w:rPr>
                <w:sz w:val="20"/>
                <w:szCs w:val="20"/>
              </w:rPr>
            </w:pPr>
          </w:p>
        </w:tc>
        <w:tc>
          <w:tcPr>
            <w:tcW w:w="349" w:type="pct"/>
            <w:vMerge/>
            <w:shd w:val="clear" w:color="auto" w:fill="auto"/>
          </w:tcPr>
          <w:p w:rsidR="00B165C2" w:rsidRPr="003769AD" w:rsidRDefault="00B165C2" w:rsidP="007A106C">
            <w:pPr>
              <w:rPr>
                <w:sz w:val="20"/>
                <w:szCs w:val="20"/>
                <w:highlight w:val="lightGray"/>
              </w:rPr>
            </w:pPr>
          </w:p>
        </w:tc>
        <w:tc>
          <w:tcPr>
            <w:tcW w:w="1399" w:type="pct"/>
            <w:vMerge/>
            <w:shd w:val="clear" w:color="auto" w:fill="auto"/>
          </w:tcPr>
          <w:p w:rsidR="00B165C2" w:rsidRPr="003769AD" w:rsidRDefault="00B165C2" w:rsidP="007A106C">
            <w:pPr>
              <w:rPr>
                <w:sz w:val="20"/>
                <w:szCs w:val="20"/>
                <w:highlight w:val="lightGray"/>
              </w:rPr>
            </w:pPr>
          </w:p>
        </w:tc>
        <w:tc>
          <w:tcPr>
            <w:tcW w:w="625" w:type="pct"/>
            <w:vMerge/>
            <w:shd w:val="clear" w:color="auto" w:fill="auto"/>
            <w:vAlign w:val="center"/>
          </w:tcPr>
          <w:p w:rsidR="00B165C2" w:rsidRPr="003769AD" w:rsidRDefault="00B165C2" w:rsidP="007A106C">
            <w:pPr>
              <w:jc w:val="center"/>
              <w:rPr>
                <w:sz w:val="20"/>
                <w:szCs w:val="20"/>
                <w:highlight w:val="lightGray"/>
              </w:rPr>
            </w:pPr>
          </w:p>
        </w:tc>
        <w:tc>
          <w:tcPr>
            <w:tcW w:w="631" w:type="pct"/>
            <w:vMerge/>
            <w:shd w:val="clear" w:color="auto" w:fill="auto"/>
            <w:vAlign w:val="center"/>
          </w:tcPr>
          <w:p w:rsidR="00B165C2" w:rsidRPr="003769AD" w:rsidRDefault="00B165C2" w:rsidP="007A106C">
            <w:pPr>
              <w:jc w:val="center"/>
              <w:rPr>
                <w:sz w:val="20"/>
                <w:szCs w:val="20"/>
                <w:highlight w:val="lightGray"/>
              </w:rPr>
            </w:pPr>
          </w:p>
        </w:tc>
        <w:tc>
          <w:tcPr>
            <w:tcW w:w="1465" w:type="pct"/>
            <w:shd w:val="clear" w:color="auto" w:fill="auto"/>
            <w:vAlign w:val="center"/>
          </w:tcPr>
          <w:p w:rsidR="00B165C2" w:rsidRPr="003769AD" w:rsidRDefault="00B165C2" w:rsidP="007A106C">
            <w:pPr>
              <w:jc w:val="left"/>
              <w:rPr>
                <w:sz w:val="20"/>
                <w:szCs w:val="20"/>
                <w:highlight w:val="lightGray"/>
              </w:rPr>
            </w:pPr>
            <w:r w:rsidRPr="003769AD">
              <w:rPr>
                <w:sz w:val="20"/>
                <w:szCs w:val="20"/>
                <w:highlight w:val="lightGray"/>
              </w:rPr>
              <w:t>max. 90 % nebo 95 % s ohledem na závažnost porušení.</w:t>
            </w:r>
          </w:p>
        </w:tc>
      </w:tr>
      <w:tr w:rsidR="00B165C2" w:rsidRPr="00A012FE" w:rsidTr="007A106C">
        <w:trPr>
          <w:trHeight w:val="1730"/>
        </w:trPr>
        <w:tc>
          <w:tcPr>
            <w:tcW w:w="531" w:type="pct"/>
            <w:vMerge/>
            <w:vAlign w:val="center"/>
          </w:tcPr>
          <w:p w:rsidR="00B165C2" w:rsidRPr="00A012FE" w:rsidRDefault="00B165C2" w:rsidP="007A106C">
            <w:pPr>
              <w:rPr>
                <w:sz w:val="20"/>
                <w:szCs w:val="20"/>
              </w:rPr>
            </w:pPr>
          </w:p>
        </w:tc>
        <w:tc>
          <w:tcPr>
            <w:tcW w:w="349" w:type="pct"/>
            <w:shd w:val="clear" w:color="auto" w:fill="auto"/>
          </w:tcPr>
          <w:p w:rsidR="00B165C2" w:rsidRPr="002531A9" w:rsidRDefault="00B165C2" w:rsidP="007A106C">
            <w:pPr>
              <w:rPr>
                <w:sz w:val="20"/>
                <w:szCs w:val="20"/>
                <w:highlight w:val="lightGray"/>
              </w:rPr>
            </w:pPr>
            <w:r w:rsidRPr="002531A9">
              <w:rPr>
                <w:sz w:val="20"/>
                <w:szCs w:val="20"/>
                <w:highlight w:val="lightGray"/>
              </w:rPr>
              <w:t>34i</w:t>
            </w:r>
          </w:p>
        </w:tc>
        <w:tc>
          <w:tcPr>
            <w:tcW w:w="1399" w:type="pct"/>
            <w:shd w:val="clear" w:color="auto" w:fill="auto"/>
          </w:tcPr>
          <w:p w:rsidR="00B165C2" w:rsidRPr="002531A9" w:rsidRDefault="00B165C2" w:rsidP="007A106C">
            <w:pPr>
              <w:rPr>
                <w:sz w:val="20"/>
                <w:szCs w:val="20"/>
                <w:highlight w:val="lightGray"/>
              </w:rPr>
            </w:pPr>
            <w:r w:rsidRPr="002531A9">
              <w:rPr>
                <w:sz w:val="20"/>
                <w:szCs w:val="20"/>
                <w:highlight w:val="lightGray"/>
              </w:rPr>
              <w:t>Nabídkové ceny zboží, prací nebo služeb se zdají být neobvykle nízké, avšak zadavatel tyto nabídky vyřadí, aniž by nejdříve písemně požádal o vysvětlení, případně nepostupuje v souladu s § 77 ZVZ.</w:t>
            </w:r>
          </w:p>
        </w:tc>
        <w:tc>
          <w:tcPr>
            <w:tcW w:w="625" w:type="pct"/>
            <w:shd w:val="clear" w:color="auto" w:fill="auto"/>
            <w:vAlign w:val="center"/>
          </w:tcPr>
          <w:p w:rsidR="00B165C2" w:rsidRPr="002531A9" w:rsidRDefault="00B165C2" w:rsidP="007A106C">
            <w:pPr>
              <w:jc w:val="center"/>
              <w:rPr>
                <w:sz w:val="20"/>
                <w:szCs w:val="20"/>
                <w:highlight w:val="lightGray"/>
              </w:rPr>
            </w:pPr>
            <w:r w:rsidRPr="002531A9">
              <w:rPr>
                <w:sz w:val="20"/>
                <w:szCs w:val="20"/>
                <w:highlight w:val="lightGray"/>
              </w:rPr>
              <w:t xml:space="preserve">75 % </w:t>
            </w:r>
          </w:p>
        </w:tc>
        <w:tc>
          <w:tcPr>
            <w:tcW w:w="631" w:type="pct"/>
            <w:shd w:val="clear" w:color="auto" w:fill="auto"/>
            <w:vAlign w:val="center"/>
          </w:tcPr>
          <w:p w:rsidR="00B165C2" w:rsidRPr="002531A9" w:rsidRDefault="00B165C2" w:rsidP="007A106C">
            <w:pPr>
              <w:jc w:val="center"/>
              <w:rPr>
                <w:sz w:val="20"/>
                <w:szCs w:val="20"/>
                <w:highlight w:val="lightGray"/>
              </w:rPr>
            </w:pPr>
            <w:r w:rsidRPr="002531A9">
              <w:rPr>
                <w:sz w:val="20"/>
                <w:szCs w:val="20"/>
                <w:highlight w:val="lightGray"/>
              </w:rPr>
              <w:t>předložený výdaj z VŘ</w:t>
            </w:r>
          </w:p>
        </w:tc>
        <w:tc>
          <w:tcPr>
            <w:tcW w:w="1465" w:type="pct"/>
            <w:shd w:val="clear" w:color="auto" w:fill="auto"/>
            <w:vAlign w:val="center"/>
          </w:tcPr>
          <w:p w:rsidR="00B165C2" w:rsidRPr="002531A9" w:rsidRDefault="00B165C2" w:rsidP="007A106C">
            <w:pPr>
              <w:jc w:val="left"/>
              <w:rPr>
                <w:sz w:val="20"/>
                <w:szCs w:val="20"/>
                <w:highlight w:val="lightGray"/>
              </w:rPr>
            </w:pPr>
            <w:r w:rsidRPr="002531A9">
              <w:rPr>
                <w:sz w:val="20"/>
                <w:szCs w:val="20"/>
                <w:highlight w:val="lightGray"/>
              </w:rPr>
              <w:t>75 %.</w:t>
            </w:r>
          </w:p>
        </w:tc>
      </w:tr>
      <w:tr w:rsidR="00B165C2" w:rsidRPr="00A012FE" w:rsidTr="007A106C">
        <w:trPr>
          <w:trHeight w:val="1020"/>
        </w:trPr>
        <w:tc>
          <w:tcPr>
            <w:tcW w:w="531" w:type="pct"/>
            <w:vMerge/>
            <w:vAlign w:val="center"/>
            <w:hideMark/>
          </w:tcPr>
          <w:p w:rsidR="00B165C2" w:rsidRPr="00A012FE" w:rsidRDefault="00B165C2" w:rsidP="007A106C">
            <w:pPr>
              <w:rPr>
                <w:sz w:val="20"/>
                <w:szCs w:val="20"/>
              </w:rPr>
            </w:pPr>
          </w:p>
        </w:tc>
        <w:tc>
          <w:tcPr>
            <w:tcW w:w="349" w:type="pct"/>
            <w:shd w:val="clear" w:color="auto" w:fill="auto"/>
            <w:vAlign w:val="center"/>
            <w:hideMark/>
          </w:tcPr>
          <w:p w:rsidR="00B165C2" w:rsidRPr="00A012FE" w:rsidRDefault="00B165C2" w:rsidP="007A106C">
            <w:pPr>
              <w:rPr>
                <w:sz w:val="20"/>
                <w:szCs w:val="20"/>
              </w:rPr>
            </w:pPr>
            <w:r>
              <w:rPr>
                <w:sz w:val="20"/>
                <w:szCs w:val="20"/>
              </w:rPr>
              <w:t>34j</w:t>
            </w:r>
          </w:p>
        </w:tc>
        <w:tc>
          <w:tcPr>
            <w:tcW w:w="1399" w:type="pct"/>
            <w:shd w:val="clear" w:color="auto" w:fill="auto"/>
            <w:vAlign w:val="center"/>
            <w:hideMark/>
          </w:tcPr>
          <w:p w:rsidR="00B165C2" w:rsidRPr="00A012FE" w:rsidRDefault="00B165C2" w:rsidP="007A106C">
            <w:pPr>
              <w:rPr>
                <w:sz w:val="20"/>
                <w:szCs w:val="20"/>
              </w:rPr>
            </w:pPr>
            <w:r w:rsidRPr="00A012FE">
              <w:rPr>
                <w:sz w:val="20"/>
                <w:szCs w:val="20"/>
              </w:rPr>
              <w:t>Zadání zakázky v rozporu s obecnými zásadami Smlouvy o fungování EU při zadávání zak</w:t>
            </w:r>
            <w:r>
              <w:rPr>
                <w:sz w:val="20"/>
                <w:szCs w:val="20"/>
              </w:rPr>
              <w:t xml:space="preserve">ázek (princip transparentnosti, </w:t>
            </w:r>
            <w:r w:rsidRPr="00A012FE">
              <w:rPr>
                <w:sz w:val="20"/>
                <w:szCs w:val="20"/>
              </w:rPr>
              <w:t>nediskriminace a rovného zacházení).</w:t>
            </w:r>
            <w:r>
              <w:rPr>
                <w:sz w:val="20"/>
                <w:szCs w:val="20"/>
              </w:rPr>
              <w:t xml:space="preserve"> (Střet zájmů)</w:t>
            </w:r>
          </w:p>
        </w:tc>
        <w:tc>
          <w:tcPr>
            <w:tcW w:w="625" w:type="pct"/>
            <w:shd w:val="clear" w:color="auto" w:fill="auto"/>
            <w:vAlign w:val="center"/>
            <w:hideMark/>
          </w:tcPr>
          <w:p w:rsidR="00B165C2" w:rsidRPr="00A012FE" w:rsidRDefault="00B165C2" w:rsidP="007A106C">
            <w:pPr>
              <w:rPr>
                <w:sz w:val="20"/>
                <w:szCs w:val="20"/>
              </w:rPr>
            </w:pPr>
            <w:r>
              <w:rPr>
                <w:sz w:val="20"/>
                <w:szCs w:val="20"/>
              </w:rPr>
              <w:t>0 %</w:t>
            </w:r>
          </w:p>
        </w:tc>
        <w:tc>
          <w:tcPr>
            <w:tcW w:w="631" w:type="pct"/>
            <w:shd w:val="clear" w:color="auto" w:fill="auto"/>
            <w:noWrap/>
            <w:vAlign w:val="center"/>
            <w:hideMark/>
          </w:tcPr>
          <w:p w:rsidR="00B165C2" w:rsidRPr="00A012FE" w:rsidRDefault="00B165C2" w:rsidP="007A106C">
            <w:pPr>
              <w:jc w:val="center"/>
              <w:rPr>
                <w:sz w:val="20"/>
                <w:szCs w:val="20"/>
              </w:rPr>
            </w:pPr>
            <w:r w:rsidRPr="00A012FE">
              <w:rPr>
                <w:sz w:val="20"/>
                <w:szCs w:val="20"/>
              </w:rPr>
              <w:t>předložený výdaj z VŘ</w:t>
            </w:r>
          </w:p>
        </w:tc>
        <w:tc>
          <w:tcPr>
            <w:tcW w:w="1465" w:type="pct"/>
            <w:shd w:val="clear" w:color="auto" w:fill="auto"/>
            <w:vAlign w:val="center"/>
            <w:hideMark/>
          </w:tcPr>
          <w:p w:rsidR="00B165C2" w:rsidRPr="00A012FE" w:rsidRDefault="00B165C2" w:rsidP="007A106C">
            <w:pPr>
              <w:pStyle w:val="Textpoznpodarou"/>
            </w:pPr>
            <w:r w:rsidRPr="008A70A7">
              <w:t>Zadavatel nesmí uzavřít smlouvu s uchazečem: a) pokud s</w:t>
            </w:r>
            <w:r>
              <w:t>e</w:t>
            </w:r>
            <w:r w:rsidRPr="008A70A7">
              <w:t xml:space="preserve"> na zpracování uchazečovy nabídky podílel zaměstnanec zadavatele či člen statutárního orgánu, státní orgán, člen realizačního týmu projektu či osoba, která</w:t>
            </w:r>
            <w:r>
              <w:t xml:space="preserve"> na základě smluvního vztahu podílela na zadání předmětného výběrového řízení, b) resp. s uchazečem ve sdružení, který je zaměstnancem zadavatele či členem realizačního týmu, či osobou, která se na základě smluvního vztahu podílela na zadání předmětného výběrového řízení, nebo c) jehož subdodavatelem je zaměstnanec zadavatele, člen realizačního týmu či osoba, která se na základě smluvního vztahu podílela na zadání předmětného výběrového řízení. </w:t>
            </w:r>
          </w:p>
        </w:tc>
      </w:tr>
      <w:tr w:rsidR="00B165C2" w:rsidRPr="00A012FE" w:rsidTr="007A106C">
        <w:trPr>
          <w:trHeight w:val="350"/>
        </w:trPr>
        <w:tc>
          <w:tcPr>
            <w:tcW w:w="531" w:type="pct"/>
            <w:vMerge w:val="restart"/>
            <w:shd w:val="clear" w:color="auto" w:fill="auto"/>
            <w:hideMark/>
          </w:tcPr>
          <w:p w:rsidR="00B165C2" w:rsidRPr="00A012FE" w:rsidRDefault="00B165C2" w:rsidP="007A106C">
            <w:pPr>
              <w:jc w:val="center"/>
              <w:rPr>
                <w:sz w:val="20"/>
                <w:szCs w:val="20"/>
              </w:rPr>
            </w:pPr>
            <w:r>
              <w:rPr>
                <w:sz w:val="20"/>
                <w:szCs w:val="20"/>
              </w:rPr>
              <w:t xml:space="preserve">3. Plnění </w:t>
            </w:r>
            <w:r w:rsidRPr="00A012FE">
              <w:rPr>
                <w:sz w:val="20"/>
                <w:szCs w:val="20"/>
              </w:rPr>
              <w:t>zakázky</w:t>
            </w:r>
          </w:p>
        </w:tc>
        <w:tc>
          <w:tcPr>
            <w:tcW w:w="349" w:type="pct"/>
            <w:vMerge w:val="restart"/>
            <w:shd w:val="clear" w:color="auto" w:fill="auto"/>
            <w:vAlign w:val="center"/>
            <w:hideMark/>
          </w:tcPr>
          <w:p w:rsidR="00B165C2" w:rsidRPr="00A012FE" w:rsidRDefault="00B165C2" w:rsidP="007A106C">
            <w:pPr>
              <w:rPr>
                <w:sz w:val="20"/>
                <w:szCs w:val="20"/>
              </w:rPr>
            </w:pPr>
            <w:r>
              <w:rPr>
                <w:sz w:val="20"/>
                <w:szCs w:val="20"/>
              </w:rPr>
              <w:t>35a</w:t>
            </w:r>
          </w:p>
        </w:tc>
        <w:tc>
          <w:tcPr>
            <w:tcW w:w="1399" w:type="pct"/>
            <w:vMerge w:val="restart"/>
            <w:shd w:val="clear" w:color="auto" w:fill="auto"/>
            <w:vAlign w:val="center"/>
            <w:hideMark/>
          </w:tcPr>
          <w:p w:rsidR="00B165C2" w:rsidRPr="00A012FE" w:rsidRDefault="00B165C2" w:rsidP="007A106C">
            <w:pPr>
              <w:rPr>
                <w:sz w:val="20"/>
                <w:szCs w:val="20"/>
              </w:rPr>
            </w:pPr>
            <w:r w:rsidRPr="00A012FE">
              <w:rPr>
                <w:sz w:val="20"/>
                <w:szCs w:val="20"/>
              </w:rPr>
              <w:t>Podstatná změna smlouvy</w:t>
            </w:r>
            <w:r>
              <w:rPr>
                <w:sz w:val="20"/>
                <w:szCs w:val="20"/>
              </w:rPr>
              <w:t xml:space="preserve"> </w:t>
            </w:r>
            <w:r w:rsidRPr="00A012FE">
              <w:rPr>
                <w:sz w:val="20"/>
                <w:szCs w:val="20"/>
              </w:rPr>
              <w:t>na plnění zakázky, která by mohla mít vliv na výběr nejvhodnější nabídky nebo by umožnila účast jiných uchazečů nebo by měnila ekonomickou rovnováhu smlouvy ve prospěch vybraného uchazeče. (Týká se nedovolené úpravy předmětu zakázky, ceny, doby trvání, povahy prací, subdodavatelů a množství, apod., které byly ve smlouvě specifikovány jinak</w:t>
            </w:r>
            <w:r>
              <w:rPr>
                <w:sz w:val="20"/>
                <w:szCs w:val="20"/>
              </w:rPr>
              <w:t>,</w:t>
            </w:r>
            <w:r w:rsidRPr="00A012FE">
              <w:rPr>
                <w:sz w:val="20"/>
                <w:szCs w:val="20"/>
              </w:rPr>
              <w:t xml:space="preserve"> než byly uvedeny v zadávacích podmínkách nebo v nabídce.)</w:t>
            </w:r>
          </w:p>
        </w:tc>
        <w:tc>
          <w:tcPr>
            <w:tcW w:w="625" w:type="pct"/>
            <w:vMerge w:val="restart"/>
            <w:shd w:val="clear" w:color="auto" w:fill="auto"/>
            <w:vAlign w:val="center"/>
            <w:hideMark/>
          </w:tcPr>
          <w:p w:rsidR="00B165C2" w:rsidRDefault="00B165C2" w:rsidP="007A106C">
            <w:pPr>
              <w:rPr>
                <w:sz w:val="20"/>
                <w:szCs w:val="20"/>
              </w:rPr>
            </w:pPr>
            <w:r>
              <w:rPr>
                <w:sz w:val="20"/>
                <w:szCs w:val="20"/>
              </w:rPr>
              <w:t>75 % nebo</w:t>
            </w:r>
          </w:p>
          <w:p w:rsidR="00B165C2" w:rsidRPr="00A012FE" w:rsidRDefault="00B165C2" w:rsidP="007A106C">
            <w:pPr>
              <w:rPr>
                <w:sz w:val="20"/>
                <w:szCs w:val="20"/>
              </w:rPr>
            </w:pPr>
            <w:r w:rsidRPr="00A012FE">
              <w:rPr>
                <w:sz w:val="20"/>
                <w:szCs w:val="20"/>
              </w:rPr>
              <w:t>0 %</w:t>
            </w:r>
          </w:p>
        </w:tc>
        <w:tc>
          <w:tcPr>
            <w:tcW w:w="631" w:type="pct"/>
            <w:vMerge w:val="restart"/>
            <w:shd w:val="clear" w:color="auto" w:fill="auto"/>
            <w:vAlign w:val="center"/>
            <w:hideMark/>
          </w:tcPr>
          <w:p w:rsidR="00B165C2" w:rsidRPr="00A012FE" w:rsidRDefault="00B165C2" w:rsidP="007A106C">
            <w:pPr>
              <w:rPr>
                <w:sz w:val="20"/>
                <w:szCs w:val="20"/>
              </w:rPr>
            </w:pPr>
            <w:r w:rsidRPr="00A012FE">
              <w:rPr>
                <w:sz w:val="20"/>
                <w:szCs w:val="20"/>
              </w:rPr>
              <w:t>předložený výdaj z</w:t>
            </w:r>
            <w:r>
              <w:rPr>
                <w:sz w:val="20"/>
                <w:szCs w:val="20"/>
              </w:rPr>
              <w:t> </w:t>
            </w:r>
            <w:r w:rsidRPr="00A012FE">
              <w:rPr>
                <w:sz w:val="20"/>
                <w:szCs w:val="20"/>
              </w:rPr>
              <w:t>VŘ</w:t>
            </w:r>
            <w:r>
              <w:rPr>
                <w:sz w:val="20"/>
                <w:szCs w:val="20"/>
              </w:rPr>
              <w:t xml:space="preserve"> a částka přesahující původní nabídkovou cenu</w:t>
            </w:r>
          </w:p>
        </w:tc>
        <w:tc>
          <w:tcPr>
            <w:tcW w:w="1465" w:type="pct"/>
            <w:vMerge w:val="restart"/>
            <w:shd w:val="clear" w:color="auto" w:fill="auto"/>
            <w:vAlign w:val="center"/>
            <w:hideMark/>
          </w:tcPr>
          <w:p w:rsidR="00B165C2" w:rsidRPr="00A012FE" w:rsidRDefault="00B165C2" w:rsidP="007A106C">
            <w:pPr>
              <w:rPr>
                <w:sz w:val="20"/>
                <w:szCs w:val="20"/>
              </w:rPr>
            </w:pPr>
            <w:r w:rsidRPr="00A012FE">
              <w:rPr>
                <w:sz w:val="20"/>
                <w:szCs w:val="20"/>
              </w:rPr>
              <w:t>75</w:t>
            </w:r>
            <w:r>
              <w:rPr>
                <w:sz w:val="20"/>
                <w:szCs w:val="20"/>
              </w:rPr>
              <w:t> </w:t>
            </w:r>
            <w:r w:rsidRPr="00A012FE">
              <w:rPr>
                <w:sz w:val="20"/>
                <w:szCs w:val="20"/>
              </w:rPr>
              <w:t>% z ceny původní zakázky</w:t>
            </w:r>
            <w:r>
              <w:rPr>
                <w:sz w:val="20"/>
                <w:szCs w:val="20"/>
              </w:rPr>
              <w:t xml:space="preserve"> a 0 </w:t>
            </w:r>
            <w:r w:rsidRPr="00A012FE">
              <w:rPr>
                <w:sz w:val="20"/>
                <w:szCs w:val="20"/>
              </w:rPr>
              <w:t>% prominutí částky přesahující původní nabídkovou cenu.</w:t>
            </w:r>
          </w:p>
        </w:tc>
      </w:tr>
      <w:tr w:rsidR="00B165C2" w:rsidRPr="00A012FE" w:rsidTr="007A106C">
        <w:trPr>
          <w:trHeight w:val="350"/>
        </w:trPr>
        <w:tc>
          <w:tcPr>
            <w:tcW w:w="531" w:type="pct"/>
            <w:vMerge/>
            <w:vAlign w:val="center"/>
            <w:hideMark/>
          </w:tcPr>
          <w:p w:rsidR="00B165C2" w:rsidRPr="00A012FE" w:rsidRDefault="00B165C2" w:rsidP="007A106C">
            <w:pPr>
              <w:rPr>
                <w:sz w:val="20"/>
                <w:szCs w:val="20"/>
              </w:rPr>
            </w:pPr>
          </w:p>
        </w:tc>
        <w:tc>
          <w:tcPr>
            <w:tcW w:w="349" w:type="pct"/>
            <w:vMerge/>
            <w:vAlign w:val="center"/>
            <w:hideMark/>
          </w:tcPr>
          <w:p w:rsidR="00B165C2" w:rsidRPr="00A012FE" w:rsidRDefault="00B165C2" w:rsidP="007A106C">
            <w:pPr>
              <w:rPr>
                <w:sz w:val="20"/>
                <w:szCs w:val="20"/>
              </w:rPr>
            </w:pPr>
          </w:p>
        </w:tc>
        <w:tc>
          <w:tcPr>
            <w:tcW w:w="1399" w:type="pct"/>
            <w:vMerge/>
            <w:vAlign w:val="center"/>
            <w:hideMark/>
          </w:tcPr>
          <w:p w:rsidR="00B165C2" w:rsidRPr="00A012FE" w:rsidRDefault="00B165C2" w:rsidP="007A106C">
            <w:pPr>
              <w:rPr>
                <w:sz w:val="20"/>
                <w:szCs w:val="20"/>
              </w:rPr>
            </w:pPr>
          </w:p>
        </w:tc>
        <w:tc>
          <w:tcPr>
            <w:tcW w:w="625" w:type="pct"/>
            <w:vMerge/>
            <w:vAlign w:val="center"/>
            <w:hideMark/>
          </w:tcPr>
          <w:p w:rsidR="00B165C2" w:rsidRPr="00A012FE" w:rsidRDefault="00B165C2" w:rsidP="007A106C">
            <w:pPr>
              <w:rPr>
                <w:sz w:val="20"/>
                <w:szCs w:val="20"/>
              </w:rPr>
            </w:pPr>
          </w:p>
        </w:tc>
        <w:tc>
          <w:tcPr>
            <w:tcW w:w="631" w:type="pct"/>
            <w:vMerge/>
            <w:vAlign w:val="center"/>
            <w:hideMark/>
          </w:tcPr>
          <w:p w:rsidR="00B165C2" w:rsidRPr="00A012FE" w:rsidRDefault="00B165C2" w:rsidP="007A106C">
            <w:pPr>
              <w:rPr>
                <w:sz w:val="20"/>
                <w:szCs w:val="20"/>
              </w:rPr>
            </w:pPr>
          </w:p>
        </w:tc>
        <w:tc>
          <w:tcPr>
            <w:tcW w:w="1465" w:type="pct"/>
            <w:vMerge/>
            <w:vAlign w:val="center"/>
            <w:hideMark/>
          </w:tcPr>
          <w:p w:rsidR="00B165C2" w:rsidRPr="00A012FE" w:rsidRDefault="00B165C2" w:rsidP="007A106C">
            <w:pPr>
              <w:rPr>
                <w:sz w:val="20"/>
                <w:szCs w:val="20"/>
              </w:rPr>
            </w:pPr>
          </w:p>
        </w:tc>
      </w:tr>
      <w:tr w:rsidR="00B165C2" w:rsidRPr="00A012FE" w:rsidTr="007A106C">
        <w:trPr>
          <w:trHeight w:val="1530"/>
        </w:trPr>
        <w:tc>
          <w:tcPr>
            <w:tcW w:w="531" w:type="pct"/>
            <w:vMerge/>
            <w:vAlign w:val="center"/>
            <w:hideMark/>
          </w:tcPr>
          <w:p w:rsidR="00B165C2" w:rsidRPr="00A012FE" w:rsidRDefault="00B165C2" w:rsidP="007A106C">
            <w:pPr>
              <w:rPr>
                <w:sz w:val="20"/>
                <w:szCs w:val="20"/>
              </w:rPr>
            </w:pPr>
          </w:p>
        </w:tc>
        <w:tc>
          <w:tcPr>
            <w:tcW w:w="349" w:type="pct"/>
            <w:shd w:val="clear" w:color="auto" w:fill="auto"/>
            <w:vAlign w:val="center"/>
            <w:hideMark/>
          </w:tcPr>
          <w:p w:rsidR="00B165C2" w:rsidRPr="00A012FE" w:rsidRDefault="00B165C2" w:rsidP="007A106C">
            <w:pPr>
              <w:rPr>
                <w:sz w:val="20"/>
                <w:szCs w:val="20"/>
              </w:rPr>
            </w:pPr>
            <w:r>
              <w:rPr>
                <w:sz w:val="20"/>
                <w:szCs w:val="20"/>
              </w:rPr>
              <w:t>35b</w:t>
            </w:r>
          </w:p>
        </w:tc>
        <w:tc>
          <w:tcPr>
            <w:tcW w:w="1399" w:type="pct"/>
            <w:shd w:val="clear" w:color="auto" w:fill="auto"/>
            <w:vAlign w:val="center"/>
            <w:hideMark/>
          </w:tcPr>
          <w:p w:rsidR="00B165C2" w:rsidRPr="00A012FE" w:rsidRDefault="00B165C2" w:rsidP="007A106C">
            <w:pPr>
              <w:rPr>
                <w:sz w:val="20"/>
                <w:szCs w:val="20"/>
              </w:rPr>
            </w:pPr>
            <w:r w:rsidRPr="00A012FE">
              <w:rPr>
                <w:sz w:val="20"/>
                <w:szCs w:val="20"/>
              </w:rPr>
              <w:t>Snížení rozsahu smlouvy na plnění veřejné zakázky, které by mohlo mít vliv na výběr nejvhodnější nabídky nebo umožnilo účast jiných uchazečů nebo by měnilo ekonomickou rovnováhu smlouvy ve prospěch vybraného uchazeče.</w:t>
            </w:r>
          </w:p>
        </w:tc>
        <w:tc>
          <w:tcPr>
            <w:tcW w:w="625" w:type="pct"/>
            <w:shd w:val="clear" w:color="auto" w:fill="auto"/>
            <w:vAlign w:val="center"/>
            <w:hideMark/>
          </w:tcPr>
          <w:p w:rsidR="00B165C2" w:rsidRPr="00A012FE" w:rsidRDefault="00B165C2" w:rsidP="007A106C">
            <w:pPr>
              <w:rPr>
                <w:sz w:val="20"/>
                <w:szCs w:val="20"/>
              </w:rPr>
            </w:pPr>
            <w:r w:rsidRPr="00A012FE">
              <w:rPr>
                <w:sz w:val="20"/>
                <w:szCs w:val="20"/>
              </w:rPr>
              <w:t>75 %</w:t>
            </w:r>
          </w:p>
        </w:tc>
        <w:tc>
          <w:tcPr>
            <w:tcW w:w="631" w:type="pct"/>
            <w:shd w:val="clear" w:color="auto" w:fill="auto"/>
            <w:noWrap/>
            <w:vAlign w:val="center"/>
            <w:hideMark/>
          </w:tcPr>
          <w:p w:rsidR="00B165C2" w:rsidRPr="00A012FE" w:rsidRDefault="00B165C2" w:rsidP="007A106C">
            <w:pPr>
              <w:rPr>
                <w:sz w:val="20"/>
                <w:szCs w:val="20"/>
              </w:rPr>
            </w:pPr>
            <w:r w:rsidRPr="00A012FE">
              <w:rPr>
                <w:sz w:val="20"/>
                <w:szCs w:val="20"/>
              </w:rPr>
              <w:t>předložený výdaj z VŘ</w:t>
            </w:r>
          </w:p>
        </w:tc>
        <w:tc>
          <w:tcPr>
            <w:tcW w:w="1465" w:type="pct"/>
            <w:shd w:val="clear" w:color="auto" w:fill="auto"/>
            <w:vAlign w:val="center"/>
            <w:hideMark/>
          </w:tcPr>
          <w:p w:rsidR="00B165C2" w:rsidRPr="00A012FE" w:rsidRDefault="00B165C2" w:rsidP="007A106C">
            <w:pPr>
              <w:rPr>
                <w:sz w:val="20"/>
                <w:szCs w:val="20"/>
              </w:rPr>
            </w:pPr>
            <w:r>
              <w:rPr>
                <w:sz w:val="20"/>
                <w:szCs w:val="20"/>
              </w:rPr>
              <w:t xml:space="preserve">75 % </w:t>
            </w:r>
            <w:r w:rsidRPr="00A012FE">
              <w:rPr>
                <w:sz w:val="20"/>
                <w:szCs w:val="20"/>
              </w:rPr>
              <w:t>ze smluvní ceny po jejím snížení.</w:t>
            </w:r>
          </w:p>
        </w:tc>
      </w:tr>
      <w:tr w:rsidR="00B165C2" w:rsidRPr="00A012FE" w:rsidTr="007A106C">
        <w:trPr>
          <w:trHeight w:val="510"/>
        </w:trPr>
        <w:tc>
          <w:tcPr>
            <w:tcW w:w="531" w:type="pct"/>
            <w:vMerge/>
            <w:vAlign w:val="center"/>
            <w:hideMark/>
          </w:tcPr>
          <w:p w:rsidR="00B165C2" w:rsidRPr="00A012FE" w:rsidRDefault="00B165C2" w:rsidP="007A106C">
            <w:pPr>
              <w:rPr>
                <w:sz w:val="20"/>
                <w:szCs w:val="20"/>
              </w:rPr>
            </w:pPr>
          </w:p>
        </w:tc>
        <w:tc>
          <w:tcPr>
            <w:tcW w:w="349" w:type="pct"/>
            <w:vMerge w:val="restart"/>
            <w:shd w:val="clear" w:color="auto" w:fill="auto"/>
            <w:vAlign w:val="center"/>
            <w:hideMark/>
          </w:tcPr>
          <w:p w:rsidR="00B165C2" w:rsidRPr="00A012FE" w:rsidRDefault="00B165C2" w:rsidP="007A106C">
            <w:pPr>
              <w:rPr>
                <w:sz w:val="20"/>
                <w:szCs w:val="20"/>
              </w:rPr>
            </w:pPr>
            <w:r>
              <w:rPr>
                <w:sz w:val="20"/>
                <w:szCs w:val="20"/>
              </w:rPr>
              <w:t>35c</w:t>
            </w:r>
          </w:p>
        </w:tc>
        <w:tc>
          <w:tcPr>
            <w:tcW w:w="1399" w:type="pct"/>
            <w:vMerge w:val="restart"/>
            <w:shd w:val="clear" w:color="auto" w:fill="auto"/>
            <w:vAlign w:val="center"/>
            <w:hideMark/>
          </w:tcPr>
          <w:p w:rsidR="00B165C2" w:rsidRPr="00A012FE" w:rsidRDefault="00B165C2" w:rsidP="007A106C">
            <w:pPr>
              <w:rPr>
                <w:sz w:val="20"/>
                <w:szCs w:val="20"/>
              </w:rPr>
            </w:pPr>
            <w:r w:rsidRPr="00A012FE">
              <w:rPr>
                <w:sz w:val="20"/>
                <w:szCs w:val="20"/>
              </w:rPr>
              <w:t>Původní zakázka byla zadána v souladu s</w:t>
            </w:r>
            <w:r>
              <w:rPr>
                <w:sz w:val="20"/>
                <w:szCs w:val="20"/>
              </w:rPr>
              <w:t>e ZVZ či ZP</w:t>
            </w:r>
            <w:r w:rsidRPr="00A012FE">
              <w:rPr>
                <w:sz w:val="20"/>
                <w:szCs w:val="20"/>
              </w:rPr>
              <w:t xml:space="preserve">, ale dodatečné zakázky byly zadány </w:t>
            </w:r>
            <w:r w:rsidRPr="00A012FE">
              <w:rPr>
                <w:sz w:val="20"/>
                <w:szCs w:val="20"/>
              </w:rPr>
              <w:lastRenderedPageBreak/>
              <w:t xml:space="preserve">v rozporu </w:t>
            </w:r>
            <w:r>
              <w:rPr>
                <w:sz w:val="20"/>
                <w:szCs w:val="20"/>
              </w:rPr>
              <w:t>s důvody uvedenými v ZVZ či ZP </w:t>
            </w:r>
            <w:r w:rsidRPr="00A012FE">
              <w:rPr>
                <w:sz w:val="20"/>
                <w:szCs w:val="20"/>
              </w:rPr>
              <w:t> </w:t>
            </w:r>
          </w:p>
        </w:tc>
        <w:tc>
          <w:tcPr>
            <w:tcW w:w="625" w:type="pct"/>
            <w:shd w:val="clear" w:color="auto" w:fill="auto"/>
            <w:vAlign w:val="center"/>
            <w:hideMark/>
          </w:tcPr>
          <w:p w:rsidR="00B165C2" w:rsidRPr="00A012FE" w:rsidRDefault="00B165C2" w:rsidP="007A106C">
            <w:pPr>
              <w:rPr>
                <w:sz w:val="20"/>
                <w:szCs w:val="20"/>
              </w:rPr>
            </w:pPr>
            <w:r w:rsidRPr="00A012FE">
              <w:rPr>
                <w:sz w:val="20"/>
                <w:szCs w:val="20"/>
              </w:rPr>
              <w:lastRenderedPageBreak/>
              <w:t>0</w:t>
            </w:r>
            <w:r>
              <w:rPr>
                <w:sz w:val="20"/>
                <w:szCs w:val="20"/>
              </w:rPr>
              <w:t xml:space="preserve"> </w:t>
            </w:r>
            <w:r w:rsidRPr="00A012FE">
              <w:rPr>
                <w:sz w:val="20"/>
                <w:szCs w:val="20"/>
              </w:rPr>
              <w:t>%</w:t>
            </w:r>
          </w:p>
        </w:tc>
        <w:tc>
          <w:tcPr>
            <w:tcW w:w="631" w:type="pct"/>
            <w:shd w:val="clear" w:color="auto" w:fill="auto"/>
            <w:noWrap/>
            <w:vAlign w:val="center"/>
            <w:hideMark/>
          </w:tcPr>
          <w:p w:rsidR="00B165C2" w:rsidRPr="00A012FE" w:rsidRDefault="00B165C2" w:rsidP="007A106C">
            <w:pPr>
              <w:rPr>
                <w:sz w:val="20"/>
                <w:szCs w:val="20"/>
              </w:rPr>
            </w:pPr>
            <w:r>
              <w:rPr>
                <w:sz w:val="20"/>
                <w:szCs w:val="20"/>
              </w:rPr>
              <w:t>hodnoty dodatečných zakázek</w:t>
            </w:r>
          </w:p>
        </w:tc>
        <w:tc>
          <w:tcPr>
            <w:tcW w:w="1465" w:type="pct"/>
            <w:shd w:val="clear" w:color="auto" w:fill="auto"/>
            <w:vAlign w:val="center"/>
            <w:hideMark/>
          </w:tcPr>
          <w:p w:rsidR="00B165C2" w:rsidRPr="00A012FE" w:rsidRDefault="00B165C2" w:rsidP="007A106C">
            <w:pPr>
              <w:rPr>
                <w:sz w:val="20"/>
                <w:szCs w:val="20"/>
              </w:rPr>
            </w:pPr>
            <w:r>
              <w:rPr>
                <w:sz w:val="20"/>
                <w:szCs w:val="20"/>
              </w:rPr>
              <w:t>0 % nebo,</w:t>
            </w:r>
          </w:p>
        </w:tc>
      </w:tr>
      <w:tr w:rsidR="00B165C2" w:rsidRPr="00A012FE" w:rsidTr="007A106C">
        <w:trPr>
          <w:trHeight w:val="1275"/>
        </w:trPr>
        <w:tc>
          <w:tcPr>
            <w:tcW w:w="531" w:type="pct"/>
            <w:vMerge/>
            <w:vAlign w:val="center"/>
            <w:hideMark/>
          </w:tcPr>
          <w:p w:rsidR="00B165C2" w:rsidRPr="00A012FE" w:rsidRDefault="00B165C2" w:rsidP="007A106C">
            <w:pPr>
              <w:rPr>
                <w:sz w:val="20"/>
                <w:szCs w:val="20"/>
              </w:rPr>
            </w:pPr>
          </w:p>
        </w:tc>
        <w:tc>
          <w:tcPr>
            <w:tcW w:w="349" w:type="pct"/>
            <w:vMerge/>
            <w:vAlign w:val="center"/>
            <w:hideMark/>
          </w:tcPr>
          <w:p w:rsidR="00B165C2" w:rsidRPr="00A012FE" w:rsidRDefault="00B165C2" w:rsidP="007A106C">
            <w:pPr>
              <w:rPr>
                <w:sz w:val="20"/>
                <w:szCs w:val="20"/>
              </w:rPr>
            </w:pPr>
          </w:p>
        </w:tc>
        <w:tc>
          <w:tcPr>
            <w:tcW w:w="1399" w:type="pct"/>
            <w:vMerge/>
            <w:vAlign w:val="center"/>
            <w:hideMark/>
          </w:tcPr>
          <w:p w:rsidR="00B165C2" w:rsidRPr="00A012FE" w:rsidRDefault="00B165C2" w:rsidP="007A106C">
            <w:pPr>
              <w:rPr>
                <w:sz w:val="20"/>
                <w:szCs w:val="20"/>
              </w:rPr>
            </w:pPr>
          </w:p>
        </w:tc>
        <w:tc>
          <w:tcPr>
            <w:tcW w:w="625" w:type="pct"/>
            <w:shd w:val="clear" w:color="auto" w:fill="auto"/>
            <w:vAlign w:val="center"/>
            <w:hideMark/>
          </w:tcPr>
          <w:p w:rsidR="00B165C2" w:rsidRPr="00A012FE" w:rsidRDefault="00B165C2" w:rsidP="007A106C">
            <w:pPr>
              <w:rPr>
                <w:sz w:val="20"/>
                <w:szCs w:val="20"/>
              </w:rPr>
            </w:pPr>
            <w:r w:rsidRPr="00A012FE">
              <w:rPr>
                <w:sz w:val="20"/>
                <w:szCs w:val="20"/>
              </w:rPr>
              <w:t>75 %</w:t>
            </w:r>
          </w:p>
        </w:tc>
        <w:tc>
          <w:tcPr>
            <w:tcW w:w="631" w:type="pct"/>
            <w:shd w:val="clear" w:color="auto" w:fill="auto"/>
            <w:noWrap/>
            <w:vAlign w:val="center"/>
            <w:hideMark/>
          </w:tcPr>
          <w:p w:rsidR="00B165C2" w:rsidRPr="00A012FE" w:rsidRDefault="00B165C2" w:rsidP="007A106C">
            <w:pPr>
              <w:rPr>
                <w:sz w:val="20"/>
                <w:szCs w:val="20"/>
              </w:rPr>
            </w:pPr>
            <w:r>
              <w:rPr>
                <w:sz w:val="20"/>
                <w:szCs w:val="20"/>
              </w:rPr>
              <w:t xml:space="preserve"> hodnoty dodatečných zakázek</w:t>
            </w:r>
          </w:p>
        </w:tc>
        <w:tc>
          <w:tcPr>
            <w:tcW w:w="1465" w:type="pct"/>
            <w:shd w:val="clear" w:color="auto" w:fill="auto"/>
            <w:vAlign w:val="center"/>
            <w:hideMark/>
          </w:tcPr>
          <w:p w:rsidR="00B165C2" w:rsidRPr="00A012FE" w:rsidRDefault="00B165C2" w:rsidP="007A106C">
            <w:pPr>
              <w:rPr>
                <w:sz w:val="20"/>
                <w:szCs w:val="20"/>
              </w:rPr>
            </w:pPr>
            <w:r>
              <w:rPr>
                <w:sz w:val="20"/>
                <w:szCs w:val="20"/>
              </w:rPr>
              <w:t xml:space="preserve">75 % </w:t>
            </w:r>
            <w:r w:rsidRPr="00A012FE">
              <w:rPr>
                <w:sz w:val="20"/>
                <w:szCs w:val="20"/>
              </w:rPr>
              <w:t xml:space="preserve">z hodnoty dodatečných zakázek v případě, kdy dodatečné zakázky </w:t>
            </w:r>
            <w:r>
              <w:rPr>
                <w:sz w:val="20"/>
                <w:szCs w:val="20"/>
              </w:rPr>
              <w:t>nepřekročí 50 </w:t>
            </w:r>
            <w:r w:rsidRPr="00A012FE">
              <w:rPr>
                <w:sz w:val="20"/>
                <w:szCs w:val="20"/>
              </w:rPr>
              <w:t>% hodnoty původní zakázky.</w:t>
            </w:r>
          </w:p>
        </w:tc>
      </w:tr>
      <w:tr w:rsidR="00B165C2" w:rsidRPr="00A012FE" w:rsidTr="007A106C">
        <w:trPr>
          <w:trHeight w:val="1275"/>
        </w:trPr>
        <w:tc>
          <w:tcPr>
            <w:tcW w:w="531" w:type="pct"/>
            <w:vMerge/>
            <w:tcBorders>
              <w:bottom w:val="single" w:sz="4" w:space="0" w:color="auto"/>
            </w:tcBorders>
            <w:vAlign w:val="center"/>
            <w:hideMark/>
          </w:tcPr>
          <w:p w:rsidR="00B165C2" w:rsidRPr="00A012FE" w:rsidRDefault="00B165C2" w:rsidP="007A106C">
            <w:pPr>
              <w:rPr>
                <w:sz w:val="20"/>
                <w:szCs w:val="20"/>
              </w:rPr>
            </w:pPr>
          </w:p>
        </w:tc>
        <w:tc>
          <w:tcPr>
            <w:tcW w:w="349" w:type="pct"/>
            <w:tcBorders>
              <w:bottom w:val="single" w:sz="4" w:space="0" w:color="auto"/>
            </w:tcBorders>
            <w:shd w:val="clear" w:color="auto" w:fill="auto"/>
            <w:vAlign w:val="center"/>
            <w:hideMark/>
          </w:tcPr>
          <w:p w:rsidR="00B165C2" w:rsidRPr="00A012FE" w:rsidRDefault="00B165C2" w:rsidP="007A106C">
            <w:pPr>
              <w:rPr>
                <w:sz w:val="20"/>
                <w:szCs w:val="20"/>
              </w:rPr>
            </w:pPr>
            <w:r>
              <w:rPr>
                <w:sz w:val="20"/>
                <w:szCs w:val="20"/>
              </w:rPr>
              <w:t>35d</w:t>
            </w:r>
          </w:p>
        </w:tc>
        <w:tc>
          <w:tcPr>
            <w:tcW w:w="1399" w:type="pct"/>
            <w:tcBorders>
              <w:bottom w:val="single" w:sz="4" w:space="0" w:color="auto"/>
            </w:tcBorders>
            <w:shd w:val="clear" w:color="auto" w:fill="auto"/>
            <w:vAlign w:val="center"/>
            <w:hideMark/>
          </w:tcPr>
          <w:p w:rsidR="00B165C2" w:rsidRPr="00A012FE" w:rsidRDefault="00B165C2" w:rsidP="007A106C">
            <w:pPr>
              <w:rPr>
                <w:sz w:val="20"/>
                <w:szCs w:val="20"/>
              </w:rPr>
            </w:pPr>
            <w:r w:rsidRPr="00A012FE">
              <w:rPr>
                <w:sz w:val="20"/>
                <w:szCs w:val="20"/>
              </w:rPr>
              <w:t>Původní zakázka byla zadána v souladu s</w:t>
            </w:r>
            <w:r>
              <w:rPr>
                <w:sz w:val="20"/>
                <w:szCs w:val="20"/>
              </w:rPr>
              <w:t> ZP a ZVZ</w:t>
            </w:r>
            <w:r w:rsidRPr="00A012FE">
              <w:rPr>
                <w:sz w:val="20"/>
                <w:szCs w:val="20"/>
              </w:rPr>
              <w:t> , dodatečné stavební práce nebo služby byly zadány z důvodů uvedených v </w:t>
            </w:r>
            <w:r>
              <w:rPr>
                <w:sz w:val="20"/>
                <w:szCs w:val="20"/>
              </w:rPr>
              <w:t>ZVZ a ZP</w:t>
            </w:r>
            <w:r w:rsidRPr="00A012FE">
              <w:rPr>
                <w:sz w:val="20"/>
                <w:szCs w:val="20"/>
              </w:rPr>
              <w:t>, ale v objemu vyšším než povolené % původní hodnoty zakázky.</w:t>
            </w:r>
          </w:p>
        </w:tc>
        <w:tc>
          <w:tcPr>
            <w:tcW w:w="625" w:type="pct"/>
            <w:tcBorders>
              <w:bottom w:val="single" w:sz="4" w:space="0" w:color="auto"/>
            </w:tcBorders>
            <w:shd w:val="clear" w:color="auto" w:fill="auto"/>
            <w:vAlign w:val="center"/>
            <w:hideMark/>
          </w:tcPr>
          <w:p w:rsidR="00B165C2" w:rsidRDefault="00B165C2" w:rsidP="007A106C">
            <w:pPr>
              <w:rPr>
                <w:sz w:val="20"/>
                <w:szCs w:val="20"/>
              </w:rPr>
            </w:pPr>
            <w:r>
              <w:rPr>
                <w:sz w:val="20"/>
                <w:szCs w:val="20"/>
              </w:rPr>
              <w:t>75 % nebo</w:t>
            </w:r>
          </w:p>
          <w:p w:rsidR="00B165C2" w:rsidRPr="00A012FE" w:rsidRDefault="00B165C2" w:rsidP="007A106C">
            <w:pPr>
              <w:rPr>
                <w:sz w:val="20"/>
                <w:szCs w:val="20"/>
              </w:rPr>
            </w:pPr>
            <w:r w:rsidRPr="00A012FE">
              <w:rPr>
                <w:sz w:val="20"/>
                <w:szCs w:val="20"/>
              </w:rPr>
              <w:t>0 %</w:t>
            </w:r>
          </w:p>
        </w:tc>
        <w:tc>
          <w:tcPr>
            <w:tcW w:w="631" w:type="pct"/>
            <w:tcBorders>
              <w:bottom w:val="single" w:sz="4" w:space="0" w:color="auto"/>
            </w:tcBorders>
            <w:shd w:val="clear" w:color="auto" w:fill="auto"/>
            <w:noWrap/>
            <w:vAlign w:val="center"/>
            <w:hideMark/>
          </w:tcPr>
          <w:p w:rsidR="00B165C2" w:rsidRPr="00A012FE" w:rsidRDefault="00B165C2" w:rsidP="007A106C">
            <w:pPr>
              <w:rPr>
                <w:sz w:val="20"/>
                <w:szCs w:val="20"/>
              </w:rPr>
            </w:pPr>
            <w:r>
              <w:rPr>
                <w:sz w:val="20"/>
                <w:szCs w:val="20"/>
              </w:rPr>
              <w:t>částky přesahující povolené % ceny původní zakázky nebo z částky přesahující 50 % z ceny původní zakázky</w:t>
            </w:r>
          </w:p>
        </w:tc>
        <w:tc>
          <w:tcPr>
            <w:tcW w:w="1465" w:type="pct"/>
            <w:tcBorders>
              <w:bottom w:val="single" w:sz="4" w:space="0" w:color="auto"/>
            </w:tcBorders>
            <w:shd w:val="clear" w:color="auto" w:fill="auto"/>
            <w:vAlign w:val="center"/>
            <w:hideMark/>
          </w:tcPr>
          <w:p w:rsidR="00B165C2" w:rsidRPr="00A012FE" w:rsidRDefault="00B165C2" w:rsidP="007A106C">
            <w:pPr>
              <w:rPr>
                <w:sz w:val="20"/>
                <w:szCs w:val="20"/>
              </w:rPr>
            </w:pPr>
            <w:r>
              <w:rPr>
                <w:sz w:val="20"/>
                <w:szCs w:val="20"/>
              </w:rPr>
              <w:t>75 </w:t>
            </w:r>
            <w:r w:rsidRPr="00A012FE">
              <w:rPr>
                <w:sz w:val="20"/>
                <w:szCs w:val="20"/>
              </w:rPr>
              <w:t>% z částky přesahující po</w:t>
            </w:r>
            <w:r>
              <w:rPr>
                <w:sz w:val="20"/>
                <w:szCs w:val="20"/>
              </w:rPr>
              <w:t xml:space="preserve">volené % ceny původní zakázky a 0 % z částky přesahující 50 </w:t>
            </w:r>
            <w:r w:rsidRPr="00A012FE">
              <w:rPr>
                <w:sz w:val="20"/>
                <w:szCs w:val="20"/>
              </w:rPr>
              <w:t xml:space="preserve">% ceny původní zakázky. </w:t>
            </w:r>
          </w:p>
        </w:tc>
      </w:tr>
      <w:tr w:rsidR="00B165C2" w:rsidRPr="00A012FE" w:rsidTr="007A106C">
        <w:trPr>
          <w:trHeight w:val="1210"/>
        </w:trPr>
        <w:tc>
          <w:tcPr>
            <w:tcW w:w="531"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B165C2" w:rsidRPr="00A012FE" w:rsidRDefault="00B165C2" w:rsidP="007A106C">
            <w:pPr>
              <w:jc w:val="center"/>
              <w:rPr>
                <w:sz w:val="20"/>
                <w:szCs w:val="20"/>
              </w:rPr>
            </w:pPr>
            <w:r w:rsidRPr="00A012FE">
              <w:rPr>
                <w:sz w:val="20"/>
                <w:szCs w:val="20"/>
              </w:rPr>
              <w:t>4. Jiné porušení</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5C2" w:rsidRPr="00A012FE" w:rsidRDefault="00B165C2" w:rsidP="007A106C">
            <w:pPr>
              <w:rPr>
                <w:sz w:val="20"/>
                <w:szCs w:val="20"/>
              </w:rPr>
            </w:pPr>
            <w:r>
              <w:rPr>
                <w:sz w:val="20"/>
                <w:szCs w:val="20"/>
              </w:rPr>
              <w:t>36a</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5C2" w:rsidRPr="00A012FE" w:rsidRDefault="00B165C2" w:rsidP="007A106C">
            <w:pPr>
              <w:rPr>
                <w:sz w:val="20"/>
                <w:szCs w:val="20"/>
              </w:rPr>
            </w:pPr>
            <w:r w:rsidRPr="00A012FE">
              <w:rPr>
                <w:sz w:val="20"/>
                <w:szCs w:val="20"/>
              </w:rPr>
              <w:t>Jiné porušení</w:t>
            </w:r>
            <w:r>
              <w:rPr>
                <w:sz w:val="20"/>
                <w:szCs w:val="20"/>
              </w:rPr>
              <w:t xml:space="preserve"> ZVZ nebo ZP, </w:t>
            </w:r>
            <w:r w:rsidRPr="00A012FE">
              <w:rPr>
                <w:sz w:val="20"/>
                <w:szCs w:val="20"/>
              </w:rPr>
              <w:t>výše neuvedené, které mělo nebo mohlo mít vliv na výběr nejvhodnější nabídky.</w:t>
            </w:r>
          </w:p>
        </w:tc>
        <w:tc>
          <w:tcPr>
            <w:tcW w:w="625" w:type="pct"/>
            <w:tcBorders>
              <w:top w:val="single" w:sz="4" w:space="0" w:color="auto"/>
              <w:left w:val="single" w:sz="4" w:space="0" w:color="auto"/>
              <w:right w:val="single" w:sz="4" w:space="0" w:color="auto"/>
            </w:tcBorders>
            <w:shd w:val="clear" w:color="auto" w:fill="auto"/>
            <w:vAlign w:val="center"/>
            <w:hideMark/>
          </w:tcPr>
          <w:p w:rsidR="00B165C2" w:rsidRPr="00A012FE" w:rsidRDefault="00B165C2" w:rsidP="007A106C">
            <w:pPr>
              <w:rPr>
                <w:sz w:val="20"/>
                <w:szCs w:val="20"/>
              </w:rPr>
            </w:pPr>
            <w:r w:rsidRPr="00A012FE">
              <w:rPr>
                <w:sz w:val="20"/>
                <w:szCs w:val="20"/>
              </w:rPr>
              <w:t>75</w:t>
            </w:r>
            <w:r>
              <w:rPr>
                <w:sz w:val="20"/>
                <w:szCs w:val="20"/>
              </w:rPr>
              <w:t> </w:t>
            </w:r>
            <w:r w:rsidRPr="00A012FE">
              <w:rPr>
                <w:sz w:val="20"/>
                <w:szCs w:val="20"/>
              </w:rPr>
              <w:t>%</w:t>
            </w:r>
            <w:r>
              <w:rPr>
                <w:sz w:val="20"/>
                <w:szCs w:val="20"/>
              </w:rPr>
              <w:t xml:space="preserve"> - 95 %</w:t>
            </w:r>
          </w:p>
        </w:tc>
        <w:tc>
          <w:tcPr>
            <w:tcW w:w="631" w:type="pct"/>
            <w:tcBorders>
              <w:top w:val="single" w:sz="4" w:space="0" w:color="auto"/>
              <w:left w:val="single" w:sz="4" w:space="0" w:color="auto"/>
              <w:right w:val="single" w:sz="4" w:space="0" w:color="auto"/>
            </w:tcBorders>
            <w:shd w:val="clear" w:color="auto" w:fill="auto"/>
            <w:noWrap/>
            <w:vAlign w:val="center"/>
            <w:hideMark/>
          </w:tcPr>
          <w:p w:rsidR="00B165C2" w:rsidRPr="00A012FE" w:rsidRDefault="00B165C2" w:rsidP="007A106C">
            <w:pPr>
              <w:rPr>
                <w:sz w:val="20"/>
                <w:szCs w:val="20"/>
              </w:rPr>
            </w:pPr>
            <w:r>
              <w:rPr>
                <w:sz w:val="20"/>
                <w:szCs w:val="20"/>
              </w:rPr>
              <w:t>předložený výdaj z VŘ</w:t>
            </w:r>
          </w:p>
        </w:tc>
        <w:tc>
          <w:tcPr>
            <w:tcW w:w="1465" w:type="pct"/>
            <w:tcBorders>
              <w:top w:val="single" w:sz="4" w:space="0" w:color="auto"/>
              <w:left w:val="single" w:sz="4" w:space="0" w:color="auto"/>
              <w:right w:val="single" w:sz="4" w:space="0" w:color="auto"/>
            </w:tcBorders>
            <w:shd w:val="clear" w:color="auto" w:fill="auto"/>
            <w:vAlign w:val="center"/>
            <w:hideMark/>
          </w:tcPr>
          <w:p w:rsidR="00B165C2" w:rsidRPr="00A012FE" w:rsidRDefault="00B165C2" w:rsidP="007A106C">
            <w:pPr>
              <w:rPr>
                <w:sz w:val="20"/>
                <w:szCs w:val="20"/>
              </w:rPr>
            </w:pPr>
            <w:r>
              <w:rPr>
                <w:sz w:val="20"/>
                <w:szCs w:val="20"/>
              </w:rPr>
              <w:t>75 %, nebo max. 90 % nebo 95 % s</w:t>
            </w:r>
            <w:r w:rsidRPr="00A012FE">
              <w:rPr>
                <w:sz w:val="20"/>
                <w:szCs w:val="20"/>
              </w:rPr>
              <w:t xml:space="preserve"> ohledem na závažnost porušení.</w:t>
            </w:r>
          </w:p>
          <w:p w:rsidR="00B165C2" w:rsidRPr="00A012FE" w:rsidRDefault="00B165C2" w:rsidP="007A106C">
            <w:pPr>
              <w:rPr>
                <w:sz w:val="20"/>
                <w:szCs w:val="20"/>
              </w:rPr>
            </w:pPr>
          </w:p>
        </w:tc>
      </w:tr>
      <w:tr w:rsidR="00B165C2" w:rsidRPr="00A012FE" w:rsidTr="007A106C">
        <w:trPr>
          <w:trHeight w:val="1530"/>
        </w:trPr>
        <w:tc>
          <w:tcPr>
            <w:tcW w:w="531" w:type="pct"/>
            <w:vMerge/>
            <w:tcBorders>
              <w:top w:val="single" w:sz="4" w:space="0" w:color="auto"/>
            </w:tcBorders>
            <w:vAlign w:val="center"/>
            <w:hideMark/>
          </w:tcPr>
          <w:p w:rsidR="00B165C2" w:rsidRPr="00A012FE" w:rsidRDefault="00B165C2" w:rsidP="007A106C">
            <w:pPr>
              <w:rPr>
                <w:sz w:val="20"/>
                <w:szCs w:val="20"/>
              </w:rPr>
            </w:pPr>
          </w:p>
        </w:tc>
        <w:tc>
          <w:tcPr>
            <w:tcW w:w="349" w:type="pct"/>
            <w:tcBorders>
              <w:top w:val="single" w:sz="4" w:space="0" w:color="auto"/>
            </w:tcBorders>
            <w:shd w:val="clear" w:color="auto" w:fill="auto"/>
            <w:vAlign w:val="center"/>
            <w:hideMark/>
          </w:tcPr>
          <w:p w:rsidR="00B165C2" w:rsidRPr="00A012FE" w:rsidRDefault="00B165C2" w:rsidP="007A106C">
            <w:pPr>
              <w:rPr>
                <w:sz w:val="20"/>
                <w:szCs w:val="20"/>
              </w:rPr>
            </w:pPr>
            <w:r>
              <w:rPr>
                <w:sz w:val="20"/>
                <w:szCs w:val="20"/>
              </w:rPr>
              <w:t>36b</w:t>
            </w:r>
          </w:p>
        </w:tc>
        <w:tc>
          <w:tcPr>
            <w:tcW w:w="1399" w:type="pct"/>
            <w:tcBorders>
              <w:top w:val="single" w:sz="4" w:space="0" w:color="auto"/>
            </w:tcBorders>
            <w:shd w:val="clear" w:color="auto" w:fill="auto"/>
            <w:vAlign w:val="center"/>
          </w:tcPr>
          <w:p w:rsidR="00B165C2" w:rsidRPr="00A012FE" w:rsidRDefault="00B165C2" w:rsidP="007A106C">
            <w:pPr>
              <w:rPr>
                <w:sz w:val="20"/>
                <w:szCs w:val="20"/>
              </w:rPr>
            </w:pPr>
            <w:r>
              <w:rPr>
                <w:sz w:val="20"/>
                <w:szCs w:val="20"/>
              </w:rPr>
              <w:t>Jiné porušení ZVZ nebo ZP výše neuvedené, které nemělo, resp. nemohlo mít vliv na výběr nejvhodnější nabídky.</w:t>
            </w:r>
          </w:p>
        </w:tc>
        <w:tc>
          <w:tcPr>
            <w:tcW w:w="625" w:type="pct"/>
            <w:tcBorders>
              <w:top w:val="single" w:sz="4" w:space="0" w:color="auto"/>
            </w:tcBorders>
            <w:shd w:val="clear" w:color="auto" w:fill="auto"/>
            <w:noWrap/>
            <w:vAlign w:val="center"/>
          </w:tcPr>
          <w:p w:rsidR="00B165C2" w:rsidRPr="00A012FE" w:rsidRDefault="00B165C2" w:rsidP="007A106C">
            <w:pPr>
              <w:rPr>
                <w:sz w:val="20"/>
                <w:szCs w:val="20"/>
              </w:rPr>
            </w:pPr>
          </w:p>
        </w:tc>
        <w:tc>
          <w:tcPr>
            <w:tcW w:w="631" w:type="pct"/>
            <w:tcBorders>
              <w:top w:val="single" w:sz="4" w:space="0" w:color="auto"/>
            </w:tcBorders>
            <w:shd w:val="clear" w:color="auto" w:fill="auto"/>
            <w:noWrap/>
            <w:vAlign w:val="center"/>
            <w:hideMark/>
          </w:tcPr>
          <w:p w:rsidR="00B165C2" w:rsidRPr="00A012FE" w:rsidRDefault="00B165C2" w:rsidP="007A106C">
            <w:pPr>
              <w:rPr>
                <w:sz w:val="20"/>
                <w:szCs w:val="20"/>
              </w:rPr>
            </w:pPr>
          </w:p>
        </w:tc>
        <w:tc>
          <w:tcPr>
            <w:tcW w:w="1465" w:type="pct"/>
            <w:tcBorders>
              <w:top w:val="single" w:sz="4" w:space="0" w:color="auto"/>
            </w:tcBorders>
            <w:shd w:val="clear" w:color="auto" w:fill="auto"/>
            <w:vAlign w:val="center"/>
            <w:hideMark/>
          </w:tcPr>
          <w:p w:rsidR="00B165C2" w:rsidRPr="00A012FE" w:rsidRDefault="00B165C2" w:rsidP="007A106C">
            <w:pPr>
              <w:rPr>
                <w:sz w:val="20"/>
                <w:szCs w:val="20"/>
              </w:rPr>
            </w:pPr>
            <w:r>
              <w:rPr>
                <w:sz w:val="20"/>
                <w:szCs w:val="20"/>
              </w:rPr>
              <w:t>Toto porušení nezakládá žádnou finanční sankci.</w:t>
            </w:r>
          </w:p>
        </w:tc>
      </w:tr>
    </w:tbl>
    <w:p w:rsidR="00B165C2" w:rsidRPr="0097379F" w:rsidRDefault="00B165C2" w:rsidP="00B165C2">
      <w:pPr>
        <w:spacing w:before="120"/>
      </w:pPr>
      <w:r w:rsidRPr="0097379F">
        <w:t>Vysvětlení pojmů:</w:t>
      </w:r>
    </w:p>
    <w:p w:rsidR="00B165C2" w:rsidRPr="0097379F" w:rsidRDefault="00B165C2" w:rsidP="00B165C2">
      <w:r w:rsidRPr="0097379F">
        <w:t>Dotace = částka dosud poskytnutých finančních prostředků</w:t>
      </w:r>
      <w:r>
        <w:t>.</w:t>
      </w:r>
    </w:p>
    <w:p w:rsidR="00B165C2" w:rsidRPr="0097379F" w:rsidRDefault="00B165C2" w:rsidP="00B165C2">
      <w:r w:rsidRPr="0097379F">
        <w:t>Vrácení finančních prostředků = jejich odepsání z účtu příjemce</w:t>
      </w:r>
      <w:r>
        <w:t>.</w:t>
      </w:r>
    </w:p>
    <w:p w:rsidR="00B165C2" w:rsidRPr="0097379F" w:rsidRDefault="00B165C2" w:rsidP="00B165C2">
      <w:r w:rsidRPr="0097379F">
        <w:t>Za vrácení finančních prostředků se pro účely prominutí odvodu považuje mimo vrácení na</w:t>
      </w:r>
      <w:r>
        <w:t> </w:t>
      </w:r>
      <w:r w:rsidRPr="0097379F">
        <w:t xml:space="preserve">projektový účet rovněž vrácení prostředků do </w:t>
      </w:r>
      <w:r w:rsidRPr="0097379F">
        <w:rPr>
          <w:u w:val="single"/>
        </w:rPr>
        <w:t>projektové</w:t>
      </w:r>
      <w:r w:rsidRPr="0097379F">
        <w:t xml:space="preserve"> pokladny, vč. uznání splnění termínu pro vrácení.</w:t>
      </w:r>
    </w:p>
    <w:p w:rsidR="00B165C2" w:rsidRPr="009339AD" w:rsidRDefault="00B165C2" w:rsidP="00B165C2">
      <w:r w:rsidRPr="0097379F">
        <w:t>V případě, že projekt je financován v rámci systému nepřímých nákladů, pak při prominutí</w:t>
      </w:r>
      <w:r w:rsidRPr="009339AD">
        <w:t xml:space="preserve"> </w:t>
      </w:r>
      <w:r w:rsidRPr="0097379F">
        <w:t>přímého nákladu (nebo jeho části) je současně promíjen i s ním spojený náklad nepřímý (nebo jeho část poměrově odpovídající částečnému prominutí nákladu přímého).</w:t>
      </w:r>
    </w:p>
    <w:p w:rsidR="00B165C2" w:rsidRDefault="00B165C2" w:rsidP="00B165C2">
      <w:pPr>
        <w:pStyle w:val="Titulek"/>
        <w:jc w:val="both"/>
        <w:rPr>
          <w:b w:val="0"/>
          <w:sz w:val="24"/>
          <w:szCs w:val="24"/>
        </w:rPr>
      </w:pPr>
      <w:r>
        <w:rPr>
          <w:b w:val="0"/>
          <w:sz w:val="24"/>
          <w:szCs w:val="24"/>
        </w:rPr>
        <w:t>Ve smyslu kapitoly 4. 2. 1. 1 je tento sazebník rovněž určením výše finančních oprav za pochybení ve VZ vyžadované ŘO OP VK a je možné jej aplikovat v oblasti VZ také pro sankce plynoucí z právních aktů uzavřených po 1. 5. 2012, stanovují-li tyto opravy přísnější.</w:t>
      </w:r>
    </w:p>
    <w:p w:rsidR="00E550E8" w:rsidRDefault="00E550E8"/>
    <w:sectPr w:rsidR="00E550E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3934" w:rsidRDefault="00F63934" w:rsidP="00B165C2">
      <w:pPr>
        <w:spacing w:after="0"/>
      </w:pPr>
      <w:r>
        <w:separator/>
      </w:r>
    </w:p>
  </w:endnote>
  <w:endnote w:type="continuationSeparator" w:id="0">
    <w:p w:rsidR="00F63934" w:rsidRDefault="00F63934" w:rsidP="00B165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3934" w:rsidRDefault="00F63934" w:rsidP="00B165C2">
      <w:pPr>
        <w:spacing w:after="0"/>
      </w:pPr>
      <w:r>
        <w:separator/>
      </w:r>
    </w:p>
  </w:footnote>
  <w:footnote w:type="continuationSeparator" w:id="0">
    <w:p w:rsidR="00F63934" w:rsidRDefault="00F63934" w:rsidP="00B165C2">
      <w:pPr>
        <w:spacing w:after="0"/>
      </w:pPr>
      <w:r>
        <w:continuationSeparator/>
      </w:r>
    </w:p>
  </w:footnote>
  <w:footnote w:id="1">
    <w:p w:rsidR="00B165C2" w:rsidRDefault="00B165C2" w:rsidP="00B165C2">
      <w:pPr>
        <w:pStyle w:val="Textpoznpodarou"/>
      </w:pPr>
      <w:r>
        <w:rPr>
          <w:rStyle w:val="Znakapoznpodarou"/>
        </w:rPr>
        <w:footnoteRef/>
      </w:r>
      <w:r>
        <w:t xml:space="preserve"> Sazby či procentní rozmezí pro možnost prominutí odvodu za PRK představují maximální částku, kterou lze z prostředků OP VK financovat. ZS si mohou v rámci interních postupů sazby upravit, ale pouze za předpokladu přísnějšího postihu porušitele rozpočtové kázně.</w:t>
      </w:r>
    </w:p>
  </w:footnote>
  <w:footnote w:id="2">
    <w:p w:rsidR="00B165C2" w:rsidRDefault="00B165C2" w:rsidP="00B165C2">
      <w:pPr>
        <w:pStyle w:val="Textpoznpodarou"/>
      </w:pPr>
      <w:r w:rsidRPr="004E1D65">
        <w:rPr>
          <w:rStyle w:val="Znakapoznpodarou"/>
        </w:rPr>
        <w:footnoteRef/>
      </w:r>
      <w:r w:rsidRPr="004E1D65">
        <w:t xml:space="preserve"> V případě, že je stanoveno procentuální rozmezí, pak konkrétní procentní sazbu zvolí poskytovatel s přihlédnutím k individuálním okolnostem daného případu a míře pochybení příjemce.</w:t>
      </w:r>
    </w:p>
  </w:footnote>
  <w:footnote w:id="3">
    <w:p w:rsidR="00B165C2" w:rsidRDefault="00B165C2" w:rsidP="00B165C2">
      <w:pPr>
        <w:pStyle w:val="Textpoznpodarou"/>
      </w:pPr>
      <w:r>
        <w:rPr>
          <w:rStyle w:val="Znakapoznpodarou"/>
        </w:rPr>
        <w:footnoteRef/>
      </w:r>
      <w:r>
        <w:t xml:space="preserve"> </w:t>
      </w:r>
      <w:r w:rsidRPr="0011367D">
        <w:t xml:space="preserve">Pod bod č. 9 Sazebníku nemůže být zařazeno pochybení, které vzniklo na základě schválení výdaje v rozpočtu jako neinvestičního a poté došlo k jeho proplacení. Následnou kontrolou bylo zjištěno, že se jedná o investici. Dodatek na podstatnou změnu možný není a prominutí v tomto případě také ne, takové výdaje budou řazeny pod bod </w:t>
      </w:r>
      <w:proofErr w:type="gramStart"/>
      <w:r w:rsidRPr="0011367D">
        <w:t>č. 4</w:t>
      </w:r>
      <w:r>
        <w:t xml:space="preserve"> </w:t>
      </w:r>
      <w:r w:rsidRPr="0011367D">
        <w:t>Sazebníku</w:t>
      </w:r>
      <w:proofErr w:type="gramEnd"/>
      <w:r w:rsidRPr="0011367D">
        <w:t>.</w:t>
      </w:r>
    </w:p>
  </w:footnote>
  <w:footnote w:id="4">
    <w:p w:rsidR="00B165C2" w:rsidRDefault="00B165C2" w:rsidP="00B165C2">
      <w:pPr>
        <w:pStyle w:val="Textpoznpodarou"/>
      </w:pPr>
      <w:r>
        <w:rPr>
          <w:rStyle w:val="Znakapoznpodarou"/>
        </w:rPr>
        <w:footnoteRef/>
      </w:r>
      <w:r>
        <w:t xml:space="preserve"> </w:t>
      </w:r>
      <w:r w:rsidRPr="00022E3C">
        <w:t xml:space="preserve">Pro úplnost je nutno uvést, že stanovení cílových hodnot monitorovacích indikátorů dle pohlaví v projektové žádosti je na relevantních oblastech podpory pouze orientační a jejich nenaplnění není </w:t>
      </w:r>
      <w:proofErr w:type="spellStart"/>
      <w:r w:rsidRPr="00022E3C">
        <w:t>sankcionovatelné</w:t>
      </w:r>
      <w:proofErr w:type="spellEnd"/>
      <w:r w:rsidRPr="00022E3C">
        <w:t>, tj. nejedná se o porušení rozpočtové kázně, viz Metodika monitorovacích indikátorů</w:t>
      </w:r>
    </w:p>
  </w:footnote>
  <w:footnote w:id="5">
    <w:p w:rsidR="00B165C2" w:rsidRDefault="00B165C2" w:rsidP="00B165C2">
      <w:pPr>
        <w:pStyle w:val="Textpoznpodarou"/>
      </w:pPr>
      <w:r w:rsidRPr="00022E3C">
        <w:rPr>
          <w:rStyle w:val="Znakapoznpodarou"/>
        </w:rPr>
        <w:footnoteRef/>
      </w:r>
      <w:r w:rsidRPr="00022E3C">
        <w:t xml:space="preserve"> Důvodem je skutečnost, že indikátor nevypovídá o kvalitě projektu nebo dosažených výsledcích a výstupech, jedná se o statistický indikátor. I přes tuto skutečnost je nutné nedodržení tohoto indikátoru identifikovat jako porušení rozpočtové kázně, protože se jedná o porušení povinnosti stanovené smlouvou. Avšak z výše uvedeného důvodu je v případě tohoto MI možné odvod prominout ze 100 %.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5C2"/>
    <w:rsid w:val="00005F17"/>
    <w:rsid w:val="001D6151"/>
    <w:rsid w:val="006B2FD6"/>
    <w:rsid w:val="00B165C2"/>
    <w:rsid w:val="00E550E8"/>
    <w:rsid w:val="00E96767"/>
    <w:rsid w:val="00F639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165C2"/>
    <w:pPr>
      <w:spacing w:after="120" w:line="240" w:lineRule="auto"/>
      <w:jc w:val="both"/>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aliases w:val="pozn. pod čarou,Schriftart: 9 pt,Schriftart: 10 pt,Schriftart: 8 pt,Podrozdział,Footnote,Podrozdzia3,Text poznámky pod čiarou 007,Fußnotentextf,Geneva 9,Font: Geneva 9,Boston 10,f,Text pozn. pod čarou Char2"/>
    <w:basedOn w:val="Normln"/>
    <w:link w:val="TextpoznpodarouChar"/>
    <w:uiPriority w:val="99"/>
    <w:unhideWhenUsed/>
    <w:rsid w:val="00B165C2"/>
    <w:rPr>
      <w:sz w:val="20"/>
      <w:szCs w:val="20"/>
    </w:rPr>
  </w:style>
  <w:style w:type="character" w:customStyle="1" w:styleId="TextpoznpodarouChar">
    <w:name w:val="Text pozn. pod čarou Char"/>
    <w:aliases w:val="pozn. pod čarou Char,Schriftart: 9 pt Char,Schriftart: 10 pt Char,Schriftart: 8 pt Char,Podrozdział Char,Footnote Char,Podrozdzia3 Char,Text poznámky pod čiarou 007 Char,Fußnotentextf Char,Geneva 9 Char,Font: Geneva 9 Char"/>
    <w:basedOn w:val="Standardnpsmoodstavce"/>
    <w:link w:val="Textpoznpodarou"/>
    <w:uiPriority w:val="99"/>
    <w:rsid w:val="00B165C2"/>
    <w:rPr>
      <w:rFonts w:ascii="Times New Roman" w:eastAsia="Times New Roman" w:hAnsi="Times New Roman" w:cs="Times New Roman"/>
      <w:sz w:val="20"/>
      <w:szCs w:val="20"/>
      <w:lang w:eastAsia="cs-CZ"/>
    </w:rPr>
  </w:style>
  <w:style w:type="character" w:styleId="Znakapoznpodarou">
    <w:name w:val="footnote reference"/>
    <w:aliases w:val="PGI Fußnote Ziffer,EN Footnote Reference,PGI Fußnote Ziffer + Times New Roman,12 b.,Zúžené o ..."/>
    <w:uiPriority w:val="99"/>
    <w:unhideWhenUsed/>
    <w:rsid w:val="00B165C2"/>
    <w:rPr>
      <w:vertAlign w:val="superscript"/>
    </w:rPr>
  </w:style>
  <w:style w:type="paragraph" w:styleId="Titulek">
    <w:name w:val="caption"/>
    <w:basedOn w:val="Normln"/>
    <w:next w:val="Normln"/>
    <w:qFormat/>
    <w:rsid w:val="00B165C2"/>
    <w:pPr>
      <w:jc w:val="left"/>
    </w:pPr>
    <w:rPr>
      <w:b/>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165C2"/>
    <w:pPr>
      <w:spacing w:after="120" w:line="240" w:lineRule="auto"/>
      <w:jc w:val="both"/>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aliases w:val="pozn. pod čarou,Schriftart: 9 pt,Schriftart: 10 pt,Schriftart: 8 pt,Podrozdział,Footnote,Podrozdzia3,Text poznámky pod čiarou 007,Fußnotentextf,Geneva 9,Font: Geneva 9,Boston 10,f,Text pozn. pod čarou Char2"/>
    <w:basedOn w:val="Normln"/>
    <w:link w:val="TextpoznpodarouChar"/>
    <w:uiPriority w:val="99"/>
    <w:unhideWhenUsed/>
    <w:rsid w:val="00B165C2"/>
    <w:rPr>
      <w:sz w:val="20"/>
      <w:szCs w:val="20"/>
    </w:rPr>
  </w:style>
  <w:style w:type="character" w:customStyle="1" w:styleId="TextpoznpodarouChar">
    <w:name w:val="Text pozn. pod čarou Char"/>
    <w:aliases w:val="pozn. pod čarou Char,Schriftart: 9 pt Char,Schriftart: 10 pt Char,Schriftart: 8 pt Char,Podrozdział Char,Footnote Char,Podrozdzia3 Char,Text poznámky pod čiarou 007 Char,Fußnotentextf Char,Geneva 9 Char,Font: Geneva 9 Char"/>
    <w:basedOn w:val="Standardnpsmoodstavce"/>
    <w:link w:val="Textpoznpodarou"/>
    <w:uiPriority w:val="99"/>
    <w:rsid w:val="00B165C2"/>
    <w:rPr>
      <w:rFonts w:ascii="Times New Roman" w:eastAsia="Times New Roman" w:hAnsi="Times New Roman" w:cs="Times New Roman"/>
      <w:sz w:val="20"/>
      <w:szCs w:val="20"/>
      <w:lang w:eastAsia="cs-CZ"/>
    </w:rPr>
  </w:style>
  <w:style w:type="character" w:styleId="Znakapoznpodarou">
    <w:name w:val="footnote reference"/>
    <w:aliases w:val="PGI Fußnote Ziffer,EN Footnote Reference,PGI Fußnote Ziffer + Times New Roman,12 b.,Zúžené o ..."/>
    <w:uiPriority w:val="99"/>
    <w:unhideWhenUsed/>
    <w:rsid w:val="00B165C2"/>
    <w:rPr>
      <w:vertAlign w:val="superscript"/>
    </w:rPr>
  </w:style>
  <w:style w:type="paragraph" w:styleId="Titulek">
    <w:name w:val="caption"/>
    <w:basedOn w:val="Normln"/>
    <w:next w:val="Normln"/>
    <w:qFormat/>
    <w:rsid w:val="00B165C2"/>
    <w:pPr>
      <w:jc w:val="left"/>
    </w:pPr>
    <w:rPr>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2882</Words>
  <Characters>17005</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
    </vt:vector>
  </TitlesOfParts>
  <Company>Krajský úřad Libereckého kraje</Company>
  <LinksUpToDate>false</LinksUpToDate>
  <CharactersWithSpaces>19848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Klimova Alena</dc:creator>
  <cp:lastModifiedBy>Horakova Eva</cp:lastModifiedBy>
  <cp:revision>3</cp:revision>
  <dcterms:created xsi:type="dcterms:W3CDTF">2015-02-19T07:31:00Z</dcterms:created>
  <dcterms:modified xsi:type="dcterms:W3CDTF">2015-02-23T11:21:00Z</dcterms:modified>
</cp:coreProperties>
</file>