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165C2" w:rsidRDefault="00B165C2" w:rsidP="00B165C2">
      <w:pPr>
        <w:pStyle w:val="Titulek"/>
        <w:jc w:val="both"/>
      </w:pPr>
      <w:bookmarkStart w:id="0" w:name="_Toc306700583"/>
      <w:bookmarkStart w:id="1" w:name="_Toc398728584"/>
      <w:bookmarkStart w:id="2" w:name="_GoBack"/>
      <w:bookmarkEnd w:id="2"/>
      <w:r>
        <w:t>P01: Sazebník pro stanovování výše prominutí povinnosti odvodu za porušení rozpočtové kázně a výklad jeho jednotlivých položek</w:t>
      </w:r>
      <w:bookmarkEnd w:id="0"/>
      <w:r>
        <w:rPr>
          <w:rStyle w:val="Znakapoznpodarou"/>
        </w:rPr>
        <w:footnoteReference w:id="1"/>
      </w:r>
      <w:bookmarkEnd w:id="1"/>
    </w:p>
    <w:tbl>
      <w:tblPr>
        <w:tblW w:w="549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067"/>
        <w:gridCol w:w="707"/>
        <w:gridCol w:w="2835"/>
        <w:gridCol w:w="1131"/>
        <w:gridCol w:w="1412"/>
        <w:gridCol w:w="2979"/>
      </w:tblGrid>
      <w:tr w:rsidR="00B165C2" w:rsidRPr="00A012FE" w:rsidTr="007A106C">
        <w:trPr>
          <w:trHeight w:val="1275"/>
        </w:trPr>
        <w:tc>
          <w:tcPr>
            <w:tcW w:w="527" w:type="pct"/>
            <w:shd w:val="clear" w:color="auto" w:fill="auto"/>
            <w:noWrap/>
            <w:vAlign w:val="center"/>
            <w:hideMark/>
          </w:tcPr>
          <w:p w:rsidR="00B165C2" w:rsidRPr="00A012FE" w:rsidRDefault="00B165C2" w:rsidP="007A106C">
            <w:pPr>
              <w:jc w:val="center"/>
              <w:rPr>
                <w:b/>
                <w:bCs/>
                <w:color w:val="000000"/>
                <w:sz w:val="20"/>
                <w:szCs w:val="20"/>
              </w:rPr>
            </w:pPr>
            <w:r w:rsidRPr="00A012FE">
              <w:rPr>
                <w:b/>
                <w:bCs/>
                <w:color w:val="000000"/>
                <w:sz w:val="20"/>
                <w:szCs w:val="20"/>
              </w:rPr>
              <w:t>Oblast</w:t>
            </w:r>
          </w:p>
        </w:tc>
        <w:tc>
          <w:tcPr>
            <w:tcW w:w="349" w:type="pct"/>
            <w:shd w:val="clear" w:color="auto" w:fill="auto"/>
            <w:vAlign w:val="center"/>
            <w:hideMark/>
          </w:tcPr>
          <w:p w:rsidR="00B165C2" w:rsidRPr="00A012FE" w:rsidRDefault="00B165C2" w:rsidP="007A106C">
            <w:pPr>
              <w:jc w:val="center"/>
              <w:rPr>
                <w:b/>
                <w:bCs/>
                <w:color w:val="000000"/>
                <w:sz w:val="20"/>
                <w:szCs w:val="20"/>
              </w:rPr>
            </w:pPr>
            <w:r w:rsidRPr="00A012FE">
              <w:rPr>
                <w:b/>
                <w:bCs/>
                <w:color w:val="000000"/>
                <w:sz w:val="20"/>
                <w:szCs w:val="20"/>
              </w:rPr>
              <w:t>Číslo řádku</w:t>
            </w:r>
          </w:p>
        </w:tc>
        <w:tc>
          <w:tcPr>
            <w:tcW w:w="1399" w:type="pct"/>
            <w:shd w:val="clear" w:color="auto" w:fill="auto"/>
            <w:noWrap/>
            <w:vAlign w:val="center"/>
            <w:hideMark/>
          </w:tcPr>
          <w:p w:rsidR="00B165C2" w:rsidRPr="00A012FE" w:rsidRDefault="00B165C2" w:rsidP="007A106C">
            <w:pPr>
              <w:jc w:val="center"/>
              <w:rPr>
                <w:b/>
                <w:bCs/>
                <w:color w:val="000000"/>
                <w:sz w:val="20"/>
                <w:szCs w:val="20"/>
              </w:rPr>
            </w:pPr>
            <w:r w:rsidRPr="00A012FE">
              <w:rPr>
                <w:b/>
                <w:bCs/>
                <w:color w:val="000000"/>
                <w:sz w:val="20"/>
                <w:szCs w:val="20"/>
              </w:rPr>
              <w:t>Porušení</w:t>
            </w:r>
          </w:p>
        </w:tc>
        <w:tc>
          <w:tcPr>
            <w:tcW w:w="558" w:type="pct"/>
            <w:shd w:val="clear" w:color="auto" w:fill="auto"/>
            <w:vAlign w:val="center"/>
            <w:hideMark/>
          </w:tcPr>
          <w:p w:rsidR="00B165C2" w:rsidRPr="00A012FE" w:rsidRDefault="00B165C2" w:rsidP="007A106C">
            <w:pPr>
              <w:jc w:val="center"/>
              <w:rPr>
                <w:b/>
                <w:bCs/>
                <w:color w:val="000000"/>
                <w:sz w:val="20"/>
                <w:szCs w:val="20"/>
              </w:rPr>
            </w:pPr>
            <w:r>
              <w:rPr>
                <w:b/>
                <w:bCs/>
                <w:color w:val="000000"/>
                <w:sz w:val="20"/>
                <w:szCs w:val="20"/>
              </w:rPr>
              <w:t>V</w:t>
            </w:r>
            <w:r w:rsidRPr="00A012FE">
              <w:rPr>
                <w:b/>
                <w:bCs/>
                <w:color w:val="000000"/>
                <w:sz w:val="20"/>
                <w:szCs w:val="20"/>
              </w:rPr>
              <w:t>ýše možného prominutí odvodu (pevná sazba/procentuální rozmezí)</w:t>
            </w:r>
            <w:r w:rsidRPr="00A012FE">
              <w:rPr>
                <w:rStyle w:val="Znakapoznpodarou"/>
                <w:b/>
                <w:bCs/>
                <w:color w:val="000000"/>
                <w:sz w:val="20"/>
                <w:szCs w:val="20"/>
              </w:rPr>
              <w:footnoteReference w:id="2"/>
            </w:r>
          </w:p>
        </w:tc>
        <w:tc>
          <w:tcPr>
            <w:tcW w:w="697" w:type="pct"/>
            <w:shd w:val="clear" w:color="auto" w:fill="auto"/>
            <w:vAlign w:val="center"/>
            <w:hideMark/>
          </w:tcPr>
          <w:p w:rsidR="00B165C2" w:rsidRPr="00A012FE" w:rsidRDefault="00B165C2" w:rsidP="007A106C">
            <w:pPr>
              <w:jc w:val="center"/>
              <w:rPr>
                <w:b/>
                <w:bCs/>
                <w:color w:val="000000"/>
                <w:sz w:val="20"/>
                <w:szCs w:val="20"/>
              </w:rPr>
            </w:pPr>
            <w:r w:rsidRPr="00A012FE">
              <w:rPr>
                <w:b/>
                <w:bCs/>
                <w:color w:val="000000"/>
                <w:sz w:val="20"/>
                <w:szCs w:val="20"/>
              </w:rPr>
              <w:t>Výchozí částka pro výpočet odvodu za PRK, resp. prominutí</w:t>
            </w:r>
          </w:p>
        </w:tc>
        <w:tc>
          <w:tcPr>
            <w:tcW w:w="1470" w:type="pct"/>
            <w:shd w:val="clear" w:color="auto" w:fill="auto"/>
            <w:vAlign w:val="center"/>
            <w:hideMark/>
          </w:tcPr>
          <w:p w:rsidR="00B165C2" w:rsidRPr="00A012FE" w:rsidRDefault="00B165C2" w:rsidP="007A106C">
            <w:pPr>
              <w:rPr>
                <w:b/>
                <w:bCs/>
                <w:color w:val="000000"/>
                <w:sz w:val="20"/>
                <w:szCs w:val="20"/>
              </w:rPr>
            </w:pPr>
            <w:r w:rsidRPr="00A012FE">
              <w:rPr>
                <w:b/>
                <w:bCs/>
                <w:color w:val="000000"/>
                <w:sz w:val="20"/>
                <w:szCs w:val="20"/>
              </w:rPr>
              <w:t>Komentář</w:t>
            </w:r>
          </w:p>
        </w:tc>
      </w:tr>
      <w:tr w:rsidR="00B165C2" w:rsidRPr="00A012FE" w:rsidTr="007A106C">
        <w:trPr>
          <w:trHeight w:val="1020"/>
        </w:trPr>
        <w:tc>
          <w:tcPr>
            <w:tcW w:w="527" w:type="pct"/>
            <w:vMerge w:val="restart"/>
            <w:shd w:val="clear" w:color="auto" w:fill="auto"/>
            <w:noWrap/>
            <w:textDirection w:val="btLr"/>
            <w:vAlign w:val="center"/>
            <w:hideMark/>
          </w:tcPr>
          <w:p w:rsidR="00B165C2" w:rsidRPr="00A012FE" w:rsidRDefault="00B165C2" w:rsidP="007A106C">
            <w:pPr>
              <w:jc w:val="center"/>
              <w:rPr>
                <w:color w:val="000000"/>
                <w:sz w:val="20"/>
                <w:szCs w:val="20"/>
              </w:rPr>
            </w:pPr>
            <w:r w:rsidRPr="00A012FE">
              <w:rPr>
                <w:color w:val="000000"/>
                <w:sz w:val="20"/>
                <w:szCs w:val="20"/>
              </w:rPr>
              <w:t>Financování</w:t>
            </w:r>
          </w:p>
        </w:tc>
        <w:tc>
          <w:tcPr>
            <w:tcW w:w="349" w:type="pct"/>
            <w:shd w:val="clear" w:color="auto" w:fill="auto"/>
            <w:noWrap/>
            <w:vAlign w:val="center"/>
            <w:hideMark/>
          </w:tcPr>
          <w:p w:rsidR="00B165C2" w:rsidRPr="00A012FE" w:rsidRDefault="00B165C2" w:rsidP="007A106C">
            <w:pPr>
              <w:jc w:val="center"/>
              <w:rPr>
                <w:color w:val="000000"/>
                <w:sz w:val="20"/>
                <w:szCs w:val="20"/>
              </w:rPr>
            </w:pPr>
            <w:r w:rsidRPr="00A012FE">
              <w:rPr>
                <w:color w:val="000000"/>
                <w:sz w:val="20"/>
                <w:szCs w:val="20"/>
              </w:rPr>
              <w:t>1</w:t>
            </w:r>
          </w:p>
        </w:tc>
        <w:tc>
          <w:tcPr>
            <w:tcW w:w="1399" w:type="pct"/>
            <w:shd w:val="clear" w:color="auto" w:fill="auto"/>
            <w:vAlign w:val="center"/>
            <w:hideMark/>
          </w:tcPr>
          <w:p w:rsidR="00B165C2" w:rsidRPr="00A012FE" w:rsidRDefault="00B165C2" w:rsidP="007A106C">
            <w:pPr>
              <w:rPr>
                <w:color w:val="000000"/>
                <w:sz w:val="20"/>
                <w:szCs w:val="20"/>
              </w:rPr>
            </w:pPr>
            <w:r w:rsidRPr="00A012FE">
              <w:rPr>
                <w:color w:val="000000"/>
                <w:sz w:val="20"/>
                <w:szCs w:val="20"/>
              </w:rPr>
              <w:t>Provedení neoprávněného výdaje z projektového účtu/pokladny (vrácení finančních prostředků na stanovený účet do 5 pracovních dnů od převodu, vč. 5. dne).</w:t>
            </w:r>
          </w:p>
        </w:tc>
        <w:tc>
          <w:tcPr>
            <w:tcW w:w="558" w:type="pct"/>
            <w:shd w:val="clear" w:color="auto" w:fill="auto"/>
            <w:noWrap/>
            <w:vAlign w:val="center"/>
            <w:hideMark/>
          </w:tcPr>
          <w:p w:rsidR="00B165C2" w:rsidRPr="00A012FE" w:rsidRDefault="00B165C2" w:rsidP="007A106C">
            <w:pPr>
              <w:rPr>
                <w:color w:val="000000"/>
                <w:sz w:val="20"/>
                <w:szCs w:val="20"/>
              </w:rPr>
            </w:pPr>
            <w:r w:rsidRPr="00A012FE">
              <w:rPr>
                <w:color w:val="000000"/>
                <w:sz w:val="20"/>
                <w:szCs w:val="20"/>
              </w:rPr>
              <w:t>98 – 99 %</w:t>
            </w:r>
          </w:p>
        </w:tc>
        <w:tc>
          <w:tcPr>
            <w:tcW w:w="697" w:type="pct"/>
            <w:shd w:val="clear" w:color="auto" w:fill="auto"/>
            <w:vAlign w:val="center"/>
            <w:hideMark/>
          </w:tcPr>
          <w:p w:rsidR="00B165C2" w:rsidRPr="00A012FE" w:rsidRDefault="00B165C2" w:rsidP="007A106C">
            <w:pPr>
              <w:rPr>
                <w:color w:val="000000"/>
                <w:sz w:val="20"/>
                <w:szCs w:val="20"/>
              </w:rPr>
            </w:pPr>
            <w:r w:rsidRPr="00A012FE">
              <w:rPr>
                <w:color w:val="000000"/>
                <w:sz w:val="20"/>
                <w:szCs w:val="20"/>
              </w:rPr>
              <w:t>částka týkající se neoprávněného výdaje</w:t>
            </w:r>
          </w:p>
        </w:tc>
        <w:tc>
          <w:tcPr>
            <w:tcW w:w="1470" w:type="pct"/>
            <w:vMerge w:val="restart"/>
            <w:shd w:val="clear" w:color="auto" w:fill="auto"/>
            <w:vAlign w:val="center"/>
            <w:hideMark/>
          </w:tcPr>
          <w:p w:rsidR="00B165C2" w:rsidRPr="00A012FE" w:rsidRDefault="00B165C2" w:rsidP="007A106C">
            <w:pPr>
              <w:rPr>
                <w:color w:val="000000"/>
                <w:sz w:val="20"/>
                <w:szCs w:val="20"/>
              </w:rPr>
            </w:pPr>
            <w:r w:rsidRPr="00A012FE">
              <w:rPr>
                <w:color w:val="000000"/>
                <w:sz w:val="20"/>
                <w:szCs w:val="20"/>
              </w:rPr>
              <w:t xml:space="preserve">Dle těchto bodů se postupuje pouze v případě mylných plateb </w:t>
            </w:r>
          </w:p>
        </w:tc>
      </w:tr>
      <w:tr w:rsidR="00B165C2" w:rsidRPr="00A012FE" w:rsidTr="007A106C">
        <w:trPr>
          <w:trHeight w:val="1275"/>
        </w:trPr>
        <w:tc>
          <w:tcPr>
            <w:tcW w:w="527" w:type="pct"/>
            <w:vMerge/>
            <w:vAlign w:val="center"/>
            <w:hideMark/>
          </w:tcPr>
          <w:p w:rsidR="00B165C2" w:rsidRPr="00A012FE" w:rsidRDefault="00B165C2" w:rsidP="007A106C">
            <w:pPr>
              <w:rPr>
                <w:color w:val="000000"/>
                <w:sz w:val="20"/>
                <w:szCs w:val="20"/>
              </w:rPr>
            </w:pPr>
          </w:p>
        </w:tc>
        <w:tc>
          <w:tcPr>
            <w:tcW w:w="349" w:type="pct"/>
            <w:shd w:val="clear" w:color="auto" w:fill="auto"/>
            <w:noWrap/>
            <w:vAlign w:val="center"/>
            <w:hideMark/>
          </w:tcPr>
          <w:p w:rsidR="00B165C2" w:rsidRPr="00A012FE" w:rsidRDefault="00B165C2" w:rsidP="007A106C">
            <w:pPr>
              <w:jc w:val="center"/>
              <w:rPr>
                <w:color w:val="000000"/>
                <w:sz w:val="20"/>
                <w:szCs w:val="20"/>
              </w:rPr>
            </w:pPr>
            <w:r w:rsidRPr="00A012FE">
              <w:rPr>
                <w:color w:val="000000"/>
                <w:sz w:val="20"/>
                <w:szCs w:val="20"/>
              </w:rPr>
              <w:t>2</w:t>
            </w:r>
          </w:p>
        </w:tc>
        <w:tc>
          <w:tcPr>
            <w:tcW w:w="1399" w:type="pct"/>
            <w:shd w:val="clear" w:color="auto" w:fill="auto"/>
            <w:vAlign w:val="center"/>
            <w:hideMark/>
          </w:tcPr>
          <w:p w:rsidR="00B165C2" w:rsidRPr="00A012FE" w:rsidRDefault="00B165C2" w:rsidP="007A106C">
            <w:pPr>
              <w:rPr>
                <w:color w:val="000000"/>
                <w:sz w:val="20"/>
                <w:szCs w:val="20"/>
              </w:rPr>
            </w:pPr>
            <w:r w:rsidRPr="00A012FE">
              <w:rPr>
                <w:color w:val="000000"/>
                <w:sz w:val="20"/>
                <w:szCs w:val="20"/>
              </w:rPr>
              <w:t>Provedení neoprávněného výdaje z projektového účtu/pokladny (vrácení finančních prostředků na stanovený účet nad 5 pracovních dnů od převodu do zjištění podezření na nesrovnalost ZS = den ukončení veřejnosprávní kontroly).</w:t>
            </w:r>
          </w:p>
        </w:tc>
        <w:tc>
          <w:tcPr>
            <w:tcW w:w="558" w:type="pct"/>
            <w:shd w:val="clear" w:color="auto" w:fill="auto"/>
            <w:noWrap/>
            <w:vAlign w:val="center"/>
            <w:hideMark/>
          </w:tcPr>
          <w:p w:rsidR="00B165C2" w:rsidRPr="00A012FE" w:rsidRDefault="00B165C2" w:rsidP="007A106C">
            <w:pPr>
              <w:rPr>
                <w:color w:val="000000"/>
                <w:sz w:val="20"/>
                <w:szCs w:val="20"/>
              </w:rPr>
            </w:pPr>
            <w:r w:rsidRPr="00A012FE">
              <w:rPr>
                <w:color w:val="000000"/>
                <w:sz w:val="20"/>
                <w:szCs w:val="20"/>
              </w:rPr>
              <w:t>90 %</w:t>
            </w:r>
          </w:p>
        </w:tc>
        <w:tc>
          <w:tcPr>
            <w:tcW w:w="697" w:type="pct"/>
            <w:shd w:val="clear" w:color="auto" w:fill="auto"/>
            <w:vAlign w:val="center"/>
            <w:hideMark/>
          </w:tcPr>
          <w:p w:rsidR="00B165C2" w:rsidRPr="00A012FE" w:rsidRDefault="00B165C2" w:rsidP="007A106C">
            <w:pPr>
              <w:rPr>
                <w:color w:val="000000"/>
                <w:sz w:val="20"/>
                <w:szCs w:val="20"/>
              </w:rPr>
            </w:pPr>
            <w:r w:rsidRPr="00A012FE">
              <w:rPr>
                <w:color w:val="000000"/>
                <w:sz w:val="20"/>
                <w:szCs w:val="20"/>
              </w:rPr>
              <w:t>částka týkající se neoprávněného výdaje</w:t>
            </w:r>
          </w:p>
        </w:tc>
        <w:tc>
          <w:tcPr>
            <w:tcW w:w="1470" w:type="pct"/>
            <w:vMerge/>
            <w:vAlign w:val="center"/>
            <w:hideMark/>
          </w:tcPr>
          <w:p w:rsidR="00B165C2" w:rsidRPr="00A012FE" w:rsidRDefault="00B165C2" w:rsidP="007A106C">
            <w:pPr>
              <w:rPr>
                <w:color w:val="000000"/>
                <w:sz w:val="20"/>
                <w:szCs w:val="20"/>
              </w:rPr>
            </w:pPr>
          </w:p>
        </w:tc>
      </w:tr>
      <w:tr w:rsidR="00B165C2" w:rsidRPr="00A012FE" w:rsidTr="007A106C">
        <w:trPr>
          <w:trHeight w:val="1020"/>
        </w:trPr>
        <w:tc>
          <w:tcPr>
            <w:tcW w:w="527" w:type="pct"/>
            <w:vMerge/>
            <w:vAlign w:val="center"/>
            <w:hideMark/>
          </w:tcPr>
          <w:p w:rsidR="00B165C2" w:rsidRPr="00A012FE" w:rsidRDefault="00B165C2" w:rsidP="007A106C">
            <w:pPr>
              <w:rPr>
                <w:color w:val="000000"/>
                <w:sz w:val="20"/>
                <w:szCs w:val="20"/>
              </w:rPr>
            </w:pPr>
          </w:p>
        </w:tc>
        <w:tc>
          <w:tcPr>
            <w:tcW w:w="349" w:type="pct"/>
            <w:shd w:val="clear" w:color="auto" w:fill="auto"/>
            <w:noWrap/>
            <w:vAlign w:val="center"/>
            <w:hideMark/>
          </w:tcPr>
          <w:p w:rsidR="00B165C2" w:rsidRPr="00A012FE" w:rsidRDefault="00B165C2" w:rsidP="007A106C">
            <w:pPr>
              <w:jc w:val="center"/>
              <w:rPr>
                <w:color w:val="000000"/>
                <w:sz w:val="20"/>
                <w:szCs w:val="20"/>
              </w:rPr>
            </w:pPr>
            <w:r w:rsidRPr="00A012FE">
              <w:rPr>
                <w:color w:val="000000"/>
                <w:sz w:val="20"/>
                <w:szCs w:val="20"/>
              </w:rPr>
              <w:t>3</w:t>
            </w:r>
          </w:p>
        </w:tc>
        <w:tc>
          <w:tcPr>
            <w:tcW w:w="1399" w:type="pct"/>
            <w:shd w:val="clear" w:color="auto" w:fill="auto"/>
            <w:vAlign w:val="center"/>
            <w:hideMark/>
          </w:tcPr>
          <w:p w:rsidR="00B165C2" w:rsidRPr="00A012FE" w:rsidRDefault="00B165C2" w:rsidP="007A106C">
            <w:pPr>
              <w:rPr>
                <w:color w:val="000000"/>
                <w:sz w:val="20"/>
                <w:szCs w:val="20"/>
              </w:rPr>
            </w:pPr>
            <w:r w:rsidRPr="00A012FE">
              <w:rPr>
                <w:color w:val="000000"/>
                <w:sz w:val="20"/>
                <w:szCs w:val="20"/>
              </w:rPr>
              <w:t>Provedení neoprávněného výdaje z projektového účtu/pokladny (pokud byly prostředky vráceny na stanovený účet v poskytovatelem stanoveném termínu po zjištění podezření na nesrovnalost).</w:t>
            </w:r>
          </w:p>
        </w:tc>
        <w:tc>
          <w:tcPr>
            <w:tcW w:w="558" w:type="pct"/>
            <w:shd w:val="clear" w:color="auto" w:fill="auto"/>
            <w:noWrap/>
            <w:vAlign w:val="center"/>
            <w:hideMark/>
          </w:tcPr>
          <w:p w:rsidR="00B165C2" w:rsidRPr="00A012FE" w:rsidRDefault="00B165C2" w:rsidP="007A106C">
            <w:pPr>
              <w:rPr>
                <w:color w:val="000000"/>
                <w:sz w:val="20"/>
                <w:szCs w:val="20"/>
              </w:rPr>
            </w:pPr>
            <w:r w:rsidRPr="00A012FE">
              <w:rPr>
                <w:color w:val="000000"/>
                <w:sz w:val="20"/>
                <w:szCs w:val="20"/>
              </w:rPr>
              <w:t>80 %</w:t>
            </w:r>
          </w:p>
        </w:tc>
        <w:tc>
          <w:tcPr>
            <w:tcW w:w="697" w:type="pct"/>
            <w:shd w:val="clear" w:color="auto" w:fill="auto"/>
            <w:vAlign w:val="center"/>
            <w:hideMark/>
          </w:tcPr>
          <w:p w:rsidR="00B165C2" w:rsidRPr="00A012FE" w:rsidRDefault="00B165C2" w:rsidP="007A106C">
            <w:pPr>
              <w:rPr>
                <w:color w:val="000000"/>
                <w:sz w:val="20"/>
                <w:szCs w:val="20"/>
              </w:rPr>
            </w:pPr>
            <w:r w:rsidRPr="00A012FE">
              <w:rPr>
                <w:color w:val="000000"/>
                <w:sz w:val="20"/>
                <w:szCs w:val="20"/>
              </w:rPr>
              <w:t>částka týkající se neoprávněného výdaje</w:t>
            </w:r>
          </w:p>
        </w:tc>
        <w:tc>
          <w:tcPr>
            <w:tcW w:w="1470" w:type="pct"/>
            <w:vMerge/>
            <w:vAlign w:val="center"/>
            <w:hideMark/>
          </w:tcPr>
          <w:p w:rsidR="00B165C2" w:rsidRPr="00A012FE" w:rsidRDefault="00B165C2" w:rsidP="007A106C">
            <w:pPr>
              <w:rPr>
                <w:color w:val="000000"/>
                <w:sz w:val="20"/>
                <w:szCs w:val="20"/>
              </w:rPr>
            </w:pPr>
          </w:p>
        </w:tc>
      </w:tr>
      <w:tr w:rsidR="00B165C2" w:rsidRPr="00A012FE" w:rsidTr="007A106C">
        <w:trPr>
          <w:trHeight w:val="765"/>
        </w:trPr>
        <w:tc>
          <w:tcPr>
            <w:tcW w:w="527" w:type="pct"/>
            <w:vMerge/>
            <w:vAlign w:val="center"/>
            <w:hideMark/>
          </w:tcPr>
          <w:p w:rsidR="00B165C2" w:rsidRPr="00A012FE" w:rsidRDefault="00B165C2" w:rsidP="007A106C">
            <w:pPr>
              <w:rPr>
                <w:color w:val="000000"/>
                <w:sz w:val="20"/>
                <w:szCs w:val="20"/>
              </w:rPr>
            </w:pPr>
          </w:p>
        </w:tc>
        <w:tc>
          <w:tcPr>
            <w:tcW w:w="349" w:type="pct"/>
            <w:shd w:val="clear" w:color="auto" w:fill="auto"/>
            <w:noWrap/>
            <w:vAlign w:val="center"/>
            <w:hideMark/>
          </w:tcPr>
          <w:p w:rsidR="00B165C2" w:rsidRPr="00A012FE" w:rsidRDefault="00B165C2" w:rsidP="007A106C">
            <w:pPr>
              <w:jc w:val="center"/>
              <w:rPr>
                <w:color w:val="000000"/>
                <w:sz w:val="20"/>
                <w:szCs w:val="20"/>
              </w:rPr>
            </w:pPr>
            <w:r w:rsidRPr="00A012FE">
              <w:rPr>
                <w:color w:val="000000"/>
                <w:sz w:val="20"/>
                <w:szCs w:val="20"/>
              </w:rPr>
              <w:t>4</w:t>
            </w:r>
          </w:p>
        </w:tc>
        <w:tc>
          <w:tcPr>
            <w:tcW w:w="1399" w:type="pct"/>
            <w:shd w:val="clear" w:color="auto" w:fill="auto"/>
            <w:vAlign w:val="center"/>
            <w:hideMark/>
          </w:tcPr>
          <w:p w:rsidR="00B165C2" w:rsidRPr="00A012FE" w:rsidRDefault="00B165C2" w:rsidP="007A106C">
            <w:pPr>
              <w:rPr>
                <w:color w:val="000000"/>
                <w:sz w:val="20"/>
                <w:szCs w:val="20"/>
              </w:rPr>
            </w:pPr>
            <w:r w:rsidRPr="00A012FE">
              <w:rPr>
                <w:color w:val="000000"/>
                <w:sz w:val="20"/>
                <w:szCs w:val="20"/>
              </w:rPr>
              <w:t>Provedení neoprávněného výdaje z projektového účtu/pokladny (nenavrácení na stanovený účet ve stanoveném termínu).</w:t>
            </w:r>
          </w:p>
        </w:tc>
        <w:tc>
          <w:tcPr>
            <w:tcW w:w="558" w:type="pct"/>
            <w:shd w:val="clear" w:color="auto" w:fill="auto"/>
            <w:noWrap/>
            <w:vAlign w:val="center"/>
            <w:hideMark/>
          </w:tcPr>
          <w:p w:rsidR="00B165C2" w:rsidRPr="00A012FE" w:rsidRDefault="00B165C2" w:rsidP="007A106C">
            <w:pPr>
              <w:rPr>
                <w:color w:val="000000"/>
                <w:sz w:val="20"/>
                <w:szCs w:val="20"/>
              </w:rPr>
            </w:pPr>
            <w:r w:rsidRPr="00A012FE">
              <w:rPr>
                <w:color w:val="000000"/>
                <w:sz w:val="20"/>
                <w:szCs w:val="20"/>
              </w:rPr>
              <w:t>0 %</w:t>
            </w:r>
          </w:p>
        </w:tc>
        <w:tc>
          <w:tcPr>
            <w:tcW w:w="697" w:type="pct"/>
            <w:shd w:val="clear" w:color="auto" w:fill="auto"/>
            <w:vAlign w:val="center"/>
            <w:hideMark/>
          </w:tcPr>
          <w:p w:rsidR="00B165C2" w:rsidRPr="00A012FE" w:rsidRDefault="00B165C2" w:rsidP="007A106C">
            <w:pPr>
              <w:rPr>
                <w:color w:val="000000"/>
                <w:sz w:val="20"/>
                <w:szCs w:val="20"/>
              </w:rPr>
            </w:pPr>
            <w:r w:rsidRPr="00A012FE">
              <w:rPr>
                <w:color w:val="000000"/>
                <w:sz w:val="20"/>
                <w:szCs w:val="20"/>
              </w:rPr>
              <w:t>částka týkající se neoprávněného výdaje</w:t>
            </w:r>
          </w:p>
        </w:tc>
        <w:tc>
          <w:tcPr>
            <w:tcW w:w="1470" w:type="pct"/>
            <w:shd w:val="clear" w:color="auto" w:fill="auto"/>
            <w:vAlign w:val="center"/>
            <w:hideMark/>
          </w:tcPr>
          <w:p w:rsidR="00B165C2" w:rsidRPr="00A012FE" w:rsidRDefault="00B165C2" w:rsidP="007A106C">
            <w:pPr>
              <w:rPr>
                <w:color w:val="000000"/>
                <w:sz w:val="20"/>
                <w:szCs w:val="20"/>
              </w:rPr>
            </w:pPr>
            <w:r w:rsidRPr="00A012FE">
              <w:rPr>
                <w:color w:val="000000"/>
                <w:sz w:val="20"/>
                <w:szCs w:val="20"/>
              </w:rPr>
              <w:t>Postupuje se jako v případě neprokázaného výdaje.</w:t>
            </w:r>
          </w:p>
        </w:tc>
      </w:tr>
      <w:tr w:rsidR="00B165C2" w:rsidRPr="00A012FE" w:rsidTr="007A106C">
        <w:trPr>
          <w:trHeight w:val="1275"/>
        </w:trPr>
        <w:tc>
          <w:tcPr>
            <w:tcW w:w="527" w:type="pct"/>
            <w:vMerge/>
            <w:vAlign w:val="center"/>
            <w:hideMark/>
          </w:tcPr>
          <w:p w:rsidR="00B165C2" w:rsidRPr="00A012FE" w:rsidRDefault="00B165C2" w:rsidP="007A106C">
            <w:pPr>
              <w:rPr>
                <w:color w:val="000000"/>
                <w:sz w:val="20"/>
                <w:szCs w:val="20"/>
              </w:rPr>
            </w:pPr>
          </w:p>
        </w:tc>
        <w:tc>
          <w:tcPr>
            <w:tcW w:w="349" w:type="pct"/>
            <w:shd w:val="clear" w:color="auto" w:fill="auto"/>
            <w:noWrap/>
            <w:vAlign w:val="center"/>
            <w:hideMark/>
          </w:tcPr>
          <w:p w:rsidR="00B165C2" w:rsidRPr="00A012FE" w:rsidRDefault="00B165C2" w:rsidP="007A106C">
            <w:pPr>
              <w:jc w:val="center"/>
              <w:rPr>
                <w:color w:val="000000"/>
                <w:sz w:val="20"/>
                <w:szCs w:val="20"/>
              </w:rPr>
            </w:pPr>
            <w:r w:rsidRPr="00A012FE">
              <w:rPr>
                <w:color w:val="000000"/>
                <w:sz w:val="20"/>
                <w:szCs w:val="20"/>
              </w:rPr>
              <w:t>5</w:t>
            </w:r>
          </w:p>
        </w:tc>
        <w:tc>
          <w:tcPr>
            <w:tcW w:w="1399" w:type="pct"/>
            <w:shd w:val="clear" w:color="auto" w:fill="auto"/>
            <w:vAlign w:val="center"/>
            <w:hideMark/>
          </w:tcPr>
          <w:p w:rsidR="00B165C2" w:rsidRPr="00A012FE" w:rsidRDefault="00B165C2" w:rsidP="007A106C">
            <w:pPr>
              <w:rPr>
                <w:color w:val="000000"/>
                <w:sz w:val="20"/>
                <w:szCs w:val="20"/>
              </w:rPr>
            </w:pPr>
            <w:r w:rsidRPr="00A012FE">
              <w:rPr>
                <w:color w:val="000000"/>
                <w:sz w:val="20"/>
                <w:szCs w:val="20"/>
              </w:rPr>
              <w:t>Výdaje, které nebyly poskytovatelem uznány z důvodu porušení zásad 3E nebo z důvodu nedodržení právních předpisů.</w:t>
            </w:r>
          </w:p>
        </w:tc>
        <w:tc>
          <w:tcPr>
            <w:tcW w:w="558" w:type="pct"/>
            <w:shd w:val="clear" w:color="auto" w:fill="auto"/>
            <w:noWrap/>
            <w:vAlign w:val="center"/>
            <w:hideMark/>
          </w:tcPr>
          <w:p w:rsidR="00B165C2" w:rsidRPr="00A012FE" w:rsidRDefault="00B165C2" w:rsidP="007A106C">
            <w:pPr>
              <w:rPr>
                <w:color w:val="000000"/>
                <w:sz w:val="20"/>
                <w:szCs w:val="20"/>
              </w:rPr>
            </w:pPr>
            <w:r w:rsidRPr="00A012FE">
              <w:rPr>
                <w:color w:val="000000"/>
                <w:sz w:val="20"/>
                <w:szCs w:val="20"/>
              </w:rPr>
              <w:t>0 %</w:t>
            </w:r>
          </w:p>
        </w:tc>
        <w:tc>
          <w:tcPr>
            <w:tcW w:w="697" w:type="pct"/>
            <w:shd w:val="clear" w:color="auto" w:fill="auto"/>
            <w:vAlign w:val="center"/>
            <w:hideMark/>
          </w:tcPr>
          <w:p w:rsidR="00B165C2" w:rsidRPr="00A012FE" w:rsidRDefault="00B165C2" w:rsidP="007A106C">
            <w:pPr>
              <w:rPr>
                <w:color w:val="000000"/>
                <w:sz w:val="20"/>
                <w:szCs w:val="20"/>
              </w:rPr>
            </w:pPr>
            <w:r w:rsidRPr="00A012FE">
              <w:rPr>
                <w:color w:val="000000"/>
                <w:sz w:val="20"/>
                <w:szCs w:val="20"/>
              </w:rPr>
              <w:t>částka týkající se neoprávněného výdaje</w:t>
            </w:r>
          </w:p>
        </w:tc>
        <w:tc>
          <w:tcPr>
            <w:tcW w:w="1470" w:type="pct"/>
            <w:shd w:val="clear" w:color="auto" w:fill="auto"/>
            <w:vAlign w:val="center"/>
            <w:hideMark/>
          </w:tcPr>
          <w:p w:rsidR="00B165C2" w:rsidRPr="00A012FE" w:rsidRDefault="00B165C2" w:rsidP="007A106C">
            <w:pPr>
              <w:rPr>
                <w:color w:val="000000"/>
                <w:sz w:val="20"/>
                <w:szCs w:val="20"/>
              </w:rPr>
            </w:pPr>
            <w:r w:rsidRPr="00A012FE">
              <w:rPr>
                <w:color w:val="000000"/>
                <w:sz w:val="20"/>
                <w:szCs w:val="20"/>
              </w:rPr>
              <w:t>Vyjma případu poch</w:t>
            </w:r>
            <w:r>
              <w:rPr>
                <w:color w:val="000000"/>
                <w:sz w:val="20"/>
                <w:szCs w:val="20"/>
              </w:rPr>
              <w:t>ybení v </w:t>
            </w:r>
            <w:r w:rsidRPr="00A012FE">
              <w:rPr>
                <w:color w:val="000000"/>
                <w:sz w:val="20"/>
                <w:szCs w:val="20"/>
              </w:rPr>
              <w:t xml:space="preserve">postupech pro zadání veřejné zakázky. V těchto případech se postupuje dle bodu </w:t>
            </w:r>
            <w:r>
              <w:rPr>
                <w:color w:val="000000"/>
                <w:sz w:val="20"/>
                <w:szCs w:val="20"/>
              </w:rPr>
              <w:t xml:space="preserve">33 - 36 </w:t>
            </w:r>
            <w:r w:rsidRPr="00A012FE">
              <w:rPr>
                <w:color w:val="000000"/>
                <w:sz w:val="20"/>
                <w:szCs w:val="20"/>
              </w:rPr>
              <w:t>Sazebníku.</w:t>
            </w:r>
          </w:p>
        </w:tc>
      </w:tr>
      <w:tr w:rsidR="00B165C2" w:rsidRPr="00A012FE" w:rsidTr="007A106C">
        <w:trPr>
          <w:trHeight w:val="765"/>
        </w:trPr>
        <w:tc>
          <w:tcPr>
            <w:tcW w:w="527" w:type="pct"/>
            <w:vMerge/>
            <w:vAlign w:val="center"/>
            <w:hideMark/>
          </w:tcPr>
          <w:p w:rsidR="00B165C2" w:rsidRPr="00A012FE" w:rsidRDefault="00B165C2" w:rsidP="007A106C">
            <w:pPr>
              <w:rPr>
                <w:color w:val="000000"/>
                <w:sz w:val="20"/>
                <w:szCs w:val="20"/>
              </w:rPr>
            </w:pPr>
          </w:p>
        </w:tc>
        <w:tc>
          <w:tcPr>
            <w:tcW w:w="349" w:type="pct"/>
            <w:shd w:val="clear" w:color="auto" w:fill="auto"/>
            <w:noWrap/>
            <w:vAlign w:val="center"/>
            <w:hideMark/>
          </w:tcPr>
          <w:p w:rsidR="00B165C2" w:rsidRPr="00A012FE" w:rsidRDefault="00B165C2" w:rsidP="007A106C">
            <w:pPr>
              <w:jc w:val="center"/>
              <w:rPr>
                <w:color w:val="000000"/>
                <w:sz w:val="20"/>
                <w:szCs w:val="20"/>
              </w:rPr>
            </w:pPr>
            <w:r w:rsidRPr="00A012FE">
              <w:rPr>
                <w:color w:val="000000"/>
                <w:sz w:val="20"/>
                <w:szCs w:val="20"/>
              </w:rPr>
              <w:t>6</w:t>
            </w:r>
          </w:p>
        </w:tc>
        <w:tc>
          <w:tcPr>
            <w:tcW w:w="1399" w:type="pct"/>
            <w:shd w:val="clear" w:color="auto" w:fill="auto"/>
            <w:vAlign w:val="center"/>
            <w:hideMark/>
          </w:tcPr>
          <w:p w:rsidR="00B165C2" w:rsidRPr="00A012FE" w:rsidRDefault="00B165C2" w:rsidP="007A106C">
            <w:pPr>
              <w:rPr>
                <w:color w:val="000000"/>
                <w:sz w:val="20"/>
                <w:szCs w:val="20"/>
              </w:rPr>
            </w:pPr>
            <w:r w:rsidRPr="00A012FE">
              <w:rPr>
                <w:color w:val="000000"/>
                <w:sz w:val="20"/>
                <w:szCs w:val="20"/>
              </w:rPr>
              <w:t>Výdaje, které nebyly poskytovatelem uznány vyjma případů, kdy výdaj není uznán z důvodu porušení lhůty / termínu při realizaci výdaje.</w:t>
            </w:r>
          </w:p>
        </w:tc>
        <w:tc>
          <w:tcPr>
            <w:tcW w:w="558" w:type="pct"/>
            <w:shd w:val="clear" w:color="auto" w:fill="auto"/>
            <w:noWrap/>
            <w:vAlign w:val="center"/>
            <w:hideMark/>
          </w:tcPr>
          <w:p w:rsidR="00B165C2" w:rsidRPr="00A012FE" w:rsidRDefault="00B165C2" w:rsidP="007A106C">
            <w:pPr>
              <w:rPr>
                <w:color w:val="000000"/>
                <w:sz w:val="20"/>
                <w:szCs w:val="20"/>
              </w:rPr>
            </w:pPr>
            <w:r w:rsidRPr="00A012FE">
              <w:rPr>
                <w:color w:val="000000"/>
                <w:sz w:val="20"/>
                <w:szCs w:val="20"/>
              </w:rPr>
              <w:t>0 %</w:t>
            </w:r>
          </w:p>
        </w:tc>
        <w:tc>
          <w:tcPr>
            <w:tcW w:w="697" w:type="pct"/>
            <w:shd w:val="clear" w:color="auto" w:fill="auto"/>
            <w:vAlign w:val="center"/>
            <w:hideMark/>
          </w:tcPr>
          <w:p w:rsidR="00B165C2" w:rsidRPr="00A012FE" w:rsidRDefault="00B165C2" w:rsidP="007A106C">
            <w:pPr>
              <w:rPr>
                <w:color w:val="000000"/>
                <w:sz w:val="20"/>
                <w:szCs w:val="20"/>
              </w:rPr>
            </w:pPr>
            <w:r w:rsidRPr="00A012FE">
              <w:rPr>
                <w:color w:val="000000"/>
                <w:sz w:val="20"/>
                <w:szCs w:val="20"/>
              </w:rPr>
              <w:t>částka týkající se nezpůsobilého výdaje</w:t>
            </w:r>
          </w:p>
        </w:tc>
        <w:tc>
          <w:tcPr>
            <w:tcW w:w="1470" w:type="pct"/>
            <w:shd w:val="clear" w:color="auto" w:fill="auto"/>
            <w:noWrap/>
            <w:vAlign w:val="center"/>
            <w:hideMark/>
          </w:tcPr>
          <w:p w:rsidR="00B165C2" w:rsidRPr="00A012FE" w:rsidRDefault="00B165C2" w:rsidP="007A106C">
            <w:pPr>
              <w:rPr>
                <w:color w:val="000000"/>
                <w:sz w:val="20"/>
                <w:szCs w:val="20"/>
              </w:rPr>
            </w:pPr>
            <w:r w:rsidRPr="00A012FE">
              <w:rPr>
                <w:color w:val="000000"/>
                <w:sz w:val="20"/>
                <w:szCs w:val="20"/>
              </w:rPr>
              <w:t> </w:t>
            </w:r>
          </w:p>
        </w:tc>
      </w:tr>
      <w:tr w:rsidR="00B165C2" w:rsidRPr="00A012FE" w:rsidTr="007A106C">
        <w:trPr>
          <w:trHeight w:val="1275"/>
        </w:trPr>
        <w:tc>
          <w:tcPr>
            <w:tcW w:w="527" w:type="pct"/>
            <w:vMerge/>
            <w:vAlign w:val="center"/>
            <w:hideMark/>
          </w:tcPr>
          <w:p w:rsidR="00B165C2" w:rsidRPr="00A012FE" w:rsidRDefault="00B165C2" w:rsidP="007A106C">
            <w:pPr>
              <w:rPr>
                <w:color w:val="000000"/>
                <w:sz w:val="20"/>
                <w:szCs w:val="20"/>
              </w:rPr>
            </w:pPr>
          </w:p>
        </w:tc>
        <w:tc>
          <w:tcPr>
            <w:tcW w:w="349" w:type="pct"/>
            <w:shd w:val="clear" w:color="auto" w:fill="auto"/>
            <w:noWrap/>
            <w:vAlign w:val="center"/>
            <w:hideMark/>
          </w:tcPr>
          <w:p w:rsidR="00B165C2" w:rsidRPr="00A012FE" w:rsidRDefault="00B165C2" w:rsidP="007A106C">
            <w:pPr>
              <w:jc w:val="center"/>
              <w:rPr>
                <w:color w:val="000000"/>
                <w:sz w:val="20"/>
                <w:szCs w:val="20"/>
              </w:rPr>
            </w:pPr>
            <w:r w:rsidRPr="00A012FE">
              <w:rPr>
                <w:color w:val="000000"/>
                <w:sz w:val="20"/>
                <w:szCs w:val="20"/>
              </w:rPr>
              <w:t>7</w:t>
            </w:r>
          </w:p>
        </w:tc>
        <w:tc>
          <w:tcPr>
            <w:tcW w:w="1399" w:type="pct"/>
            <w:shd w:val="clear" w:color="auto" w:fill="auto"/>
            <w:vAlign w:val="center"/>
            <w:hideMark/>
          </w:tcPr>
          <w:p w:rsidR="00B165C2" w:rsidRPr="00A012FE" w:rsidRDefault="00B165C2" w:rsidP="007A106C">
            <w:pPr>
              <w:rPr>
                <w:color w:val="000000"/>
                <w:sz w:val="20"/>
                <w:szCs w:val="20"/>
              </w:rPr>
            </w:pPr>
            <w:r w:rsidRPr="00A012FE">
              <w:rPr>
                <w:color w:val="000000"/>
                <w:sz w:val="20"/>
                <w:szCs w:val="20"/>
              </w:rPr>
              <w:t>Převedení finančních prostředků způsobilých výdajů z projektového účtu na účet příjemce/finančního partnera před skutečnou úhradou (do 10 pracovních dnů od převodu, včetně 10. dne).</w:t>
            </w:r>
          </w:p>
        </w:tc>
        <w:tc>
          <w:tcPr>
            <w:tcW w:w="558" w:type="pct"/>
            <w:shd w:val="clear" w:color="auto" w:fill="auto"/>
            <w:noWrap/>
            <w:vAlign w:val="center"/>
            <w:hideMark/>
          </w:tcPr>
          <w:p w:rsidR="00B165C2" w:rsidRPr="00A012FE" w:rsidRDefault="00B165C2" w:rsidP="007A106C">
            <w:pPr>
              <w:rPr>
                <w:color w:val="000000"/>
                <w:sz w:val="20"/>
                <w:szCs w:val="20"/>
              </w:rPr>
            </w:pPr>
            <w:r w:rsidRPr="00A012FE">
              <w:rPr>
                <w:color w:val="000000"/>
                <w:sz w:val="20"/>
                <w:szCs w:val="20"/>
              </w:rPr>
              <w:t>99 %</w:t>
            </w:r>
          </w:p>
        </w:tc>
        <w:tc>
          <w:tcPr>
            <w:tcW w:w="697" w:type="pct"/>
            <w:shd w:val="clear" w:color="auto" w:fill="auto"/>
            <w:vAlign w:val="center"/>
            <w:hideMark/>
          </w:tcPr>
          <w:p w:rsidR="00B165C2" w:rsidRPr="00A012FE" w:rsidRDefault="00B165C2" w:rsidP="007A106C">
            <w:pPr>
              <w:rPr>
                <w:color w:val="000000"/>
                <w:sz w:val="20"/>
                <w:szCs w:val="20"/>
              </w:rPr>
            </w:pPr>
            <w:r w:rsidRPr="00A012FE">
              <w:rPr>
                <w:color w:val="000000"/>
                <w:sz w:val="20"/>
                <w:szCs w:val="20"/>
              </w:rPr>
              <w:t>částka dotčená převodem</w:t>
            </w:r>
          </w:p>
        </w:tc>
        <w:tc>
          <w:tcPr>
            <w:tcW w:w="1470" w:type="pct"/>
            <w:shd w:val="clear" w:color="auto" w:fill="auto"/>
            <w:vAlign w:val="center"/>
            <w:hideMark/>
          </w:tcPr>
          <w:p w:rsidR="00B165C2" w:rsidRPr="00A012FE" w:rsidRDefault="00B165C2" w:rsidP="007A106C">
            <w:pPr>
              <w:rPr>
                <w:color w:val="000000"/>
                <w:sz w:val="20"/>
                <w:szCs w:val="20"/>
              </w:rPr>
            </w:pPr>
            <w:r w:rsidRPr="00A012FE">
              <w:rPr>
                <w:color w:val="000000"/>
                <w:sz w:val="20"/>
                <w:szCs w:val="20"/>
              </w:rPr>
              <w:t>Lze použít pouze za předpokladu, že nedošlo k dalšímu pochyb</w:t>
            </w:r>
            <w:r>
              <w:rPr>
                <w:color w:val="000000"/>
                <w:sz w:val="20"/>
                <w:szCs w:val="20"/>
              </w:rPr>
              <w:t>e</w:t>
            </w:r>
            <w:r w:rsidRPr="00A012FE">
              <w:rPr>
                <w:color w:val="000000"/>
                <w:sz w:val="20"/>
                <w:szCs w:val="20"/>
              </w:rPr>
              <w:t xml:space="preserve">ní uvedenému v Sazebníku. </w:t>
            </w:r>
          </w:p>
        </w:tc>
      </w:tr>
      <w:tr w:rsidR="00B165C2" w:rsidRPr="00A012FE" w:rsidTr="007A106C">
        <w:trPr>
          <w:trHeight w:val="1020"/>
        </w:trPr>
        <w:tc>
          <w:tcPr>
            <w:tcW w:w="527" w:type="pct"/>
            <w:vMerge/>
            <w:vAlign w:val="center"/>
            <w:hideMark/>
          </w:tcPr>
          <w:p w:rsidR="00B165C2" w:rsidRPr="00A012FE" w:rsidRDefault="00B165C2" w:rsidP="007A106C">
            <w:pPr>
              <w:rPr>
                <w:color w:val="000000"/>
                <w:sz w:val="20"/>
                <w:szCs w:val="20"/>
              </w:rPr>
            </w:pPr>
          </w:p>
        </w:tc>
        <w:tc>
          <w:tcPr>
            <w:tcW w:w="349" w:type="pct"/>
            <w:shd w:val="clear" w:color="auto" w:fill="auto"/>
            <w:noWrap/>
            <w:vAlign w:val="center"/>
            <w:hideMark/>
          </w:tcPr>
          <w:p w:rsidR="00B165C2" w:rsidRPr="00A012FE" w:rsidRDefault="00B165C2" w:rsidP="007A106C">
            <w:pPr>
              <w:jc w:val="center"/>
              <w:rPr>
                <w:color w:val="000000"/>
                <w:sz w:val="20"/>
                <w:szCs w:val="20"/>
              </w:rPr>
            </w:pPr>
            <w:r w:rsidRPr="00A012FE">
              <w:rPr>
                <w:color w:val="000000"/>
                <w:sz w:val="20"/>
                <w:szCs w:val="20"/>
              </w:rPr>
              <w:t>8</w:t>
            </w:r>
          </w:p>
        </w:tc>
        <w:tc>
          <w:tcPr>
            <w:tcW w:w="1399" w:type="pct"/>
            <w:shd w:val="clear" w:color="auto" w:fill="auto"/>
            <w:vAlign w:val="center"/>
            <w:hideMark/>
          </w:tcPr>
          <w:p w:rsidR="00B165C2" w:rsidRPr="00A012FE" w:rsidRDefault="00B165C2" w:rsidP="007A106C">
            <w:pPr>
              <w:rPr>
                <w:color w:val="000000"/>
                <w:sz w:val="20"/>
                <w:szCs w:val="20"/>
              </w:rPr>
            </w:pPr>
            <w:r w:rsidRPr="00A012FE">
              <w:rPr>
                <w:color w:val="000000"/>
                <w:sz w:val="20"/>
                <w:szCs w:val="20"/>
              </w:rPr>
              <w:t>Převedení finančních prostředků způsobilých výdajů z projektového účtu na účet příjemce/finančního partnera před skutečnou úhradou (nad 10 pracovních dnů od převodu).</w:t>
            </w:r>
          </w:p>
        </w:tc>
        <w:tc>
          <w:tcPr>
            <w:tcW w:w="558" w:type="pct"/>
            <w:shd w:val="clear" w:color="auto" w:fill="auto"/>
            <w:noWrap/>
            <w:vAlign w:val="center"/>
            <w:hideMark/>
          </w:tcPr>
          <w:p w:rsidR="00B165C2" w:rsidRPr="00A012FE" w:rsidRDefault="00B165C2" w:rsidP="007A106C">
            <w:pPr>
              <w:rPr>
                <w:color w:val="000000"/>
                <w:sz w:val="20"/>
                <w:szCs w:val="20"/>
              </w:rPr>
            </w:pPr>
            <w:r w:rsidRPr="00A012FE">
              <w:rPr>
                <w:color w:val="000000"/>
                <w:sz w:val="20"/>
                <w:szCs w:val="20"/>
              </w:rPr>
              <w:t>95 %</w:t>
            </w:r>
          </w:p>
        </w:tc>
        <w:tc>
          <w:tcPr>
            <w:tcW w:w="697" w:type="pct"/>
            <w:shd w:val="clear" w:color="auto" w:fill="auto"/>
            <w:vAlign w:val="center"/>
            <w:hideMark/>
          </w:tcPr>
          <w:p w:rsidR="00B165C2" w:rsidRPr="00A012FE" w:rsidRDefault="00B165C2" w:rsidP="007A106C">
            <w:pPr>
              <w:rPr>
                <w:color w:val="000000"/>
                <w:sz w:val="20"/>
                <w:szCs w:val="20"/>
              </w:rPr>
            </w:pPr>
            <w:r w:rsidRPr="00A012FE">
              <w:rPr>
                <w:color w:val="000000"/>
                <w:sz w:val="20"/>
                <w:szCs w:val="20"/>
              </w:rPr>
              <w:t>částka dotčená převodem</w:t>
            </w:r>
          </w:p>
        </w:tc>
        <w:tc>
          <w:tcPr>
            <w:tcW w:w="1470" w:type="pct"/>
            <w:shd w:val="clear" w:color="auto" w:fill="auto"/>
            <w:vAlign w:val="center"/>
            <w:hideMark/>
          </w:tcPr>
          <w:p w:rsidR="00B165C2" w:rsidRPr="00A012FE" w:rsidRDefault="00B165C2" w:rsidP="007A106C">
            <w:pPr>
              <w:rPr>
                <w:color w:val="000000"/>
                <w:sz w:val="20"/>
                <w:szCs w:val="20"/>
              </w:rPr>
            </w:pPr>
            <w:r w:rsidRPr="00A012FE">
              <w:rPr>
                <w:color w:val="000000"/>
                <w:sz w:val="20"/>
                <w:szCs w:val="20"/>
              </w:rPr>
              <w:t>Lze použít pouze za předpokladu, že nedošlo k dalšímu pochyb</w:t>
            </w:r>
            <w:r>
              <w:rPr>
                <w:color w:val="000000"/>
                <w:sz w:val="20"/>
                <w:szCs w:val="20"/>
              </w:rPr>
              <w:t>e</w:t>
            </w:r>
            <w:r w:rsidRPr="00A012FE">
              <w:rPr>
                <w:color w:val="000000"/>
                <w:sz w:val="20"/>
                <w:szCs w:val="20"/>
              </w:rPr>
              <w:t>ní uvedenému v Sazebníku.</w:t>
            </w:r>
          </w:p>
        </w:tc>
      </w:tr>
      <w:tr w:rsidR="00B165C2" w:rsidRPr="00A012FE" w:rsidTr="007A106C">
        <w:trPr>
          <w:trHeight w:val="1020"/>
        </w:trPr>
        <w:tc>
          <w:tcPr>
            <w:tcW w:w="527" w:type="pct"/>
            <w:vMerge/>
            <w:vAlign w:val="center"/>
            <w:hideMark/>
          </w:tcPr>
          <w:p w:rsidR="00B165C2" w:rsidRPr="00A012FE" w:rsidRDefault="00B165C2" w:rsidP="007A106C">
            <w:pPr>
              <w:rPr>
                <w:color w:val="000000"/>
                <w:sz w:val="20"/>
                <w:szCs w:val="20"/>
              </w:rPr>
            </w:pPr>
          </w:p>
        </w:tc>
        <w:tc>
          <w:tcPr>
            <w:tcW w:w="349" w:type="pct"/>
            <w:shd w:val="clear" w:color="auto" w:fill="auto"/>
            <w:noWrap/>
            <w:vAlign w:val="center"/>
            <w:hideMark/>
          </w:tcPr>
          <w:p w:rsidR="00B165C2" w:rsidRPr="00A012FE" w:rsidRDefault="00B165C2" w:rsidP="007A106C">
            <w:pPr>
              <w:jc w:val="center"/>
              <w:rPr>
                <w:color w:val="000000"/>
                <w:sz w:val="20"/>
                <w:szCs w:val="20"/>
              </w:rPr>
            </w:pPr>
            <w:r w:rsidRPr="00A012FE">
              <w:rPr>
                <w:color w:val="000000"/>
                <w:sz w:val="20"/>
                <w:szCs w:val="20"/>
              </w:rPr>
              <w:t>9</w:t>
            </w:r>
          </w:p>
        </w:tc>
        <w:tc>
          <w:tcPr>
            <w:tcW w:w="1399" w:type="pct"/>
            <w:shd w:val="clear" w:color="auto" w:fill="auto"/>
            <w:vAlign w:val="center"/>
            <w:hideMark/>
          </w:tcPr>
          <w:p w:rsidR="00B165C2" w:rsidRPr="00A012FE" w:rsidRDefault="00B165C2" w:rsidP="007A106C">
            <w:pPr>
              <w:rPr>
                <w:color w:val="000000"/>
                <w:sz w:val="20"/>
                <w:szCs w:val="20"/>
              </w:rPr>
            </w:pPr>
            <w:r w:rsidRPr="00A012FE">
              <w:rPr>
                <w:color w:val="000000"/>
                <w:sz w:val="20"/>
                <w:szCs w:val="20"/>
              </w:rPr>
              <w:t>Použití investičních prostředků na úhradu neinvestičních výdajů za předpokladu, že dané neinvestiční výdaje jsou součástí schváleného rozpočtu a naopak.</w:t>
            </w:r>
            <w:r>
              <w:rPr>
                <w:rStyle w:val="Znakapoznpodarou"/>
                <w:color w:val="000000"/>
                <w:sz w:val="20"/>
                <w:szCs w:val="20"/>
              </w:rPr>
              <w:footnoteReference w:id="3"/>
            </w:r>
          </w:p>
        </w:tc>
        <w:tc>
          <w:tcPr>
            <w:tcW w:w="558" w:type="pct"/>
            <w:shd w:val="clear" w:color="auto" w:fill="auto"/>
            <w:noWrap/>
            <w:vAlign w:val="center"/>
            <w:hideMark/>
          </w:tcPr>
          <w:p w:rsidR="00B165C2" w:rsidRPr="00A012FE" w:rsidRDefault="00B165C2" w:rsidP="007A106C">
            <w:pPr>
              <w:rPr>
                <w:color w:val="000000"/>
                <w:sz w:val="20"/>
                <w:szCs w:val="20"/>
              </w:rPr>
            </w:pPr>
            <w:r w:rsidRPr="00A012FE">
              <w:rPr>
                <w:color w:val="000000"/>
                <w:sz w:val="20"/>
                <w:szCs w:val="20"/>
              </w:rPr>
              <w:t>100 %</w:t>
            </w:r>
          </w:p>
        </w:tc>
        <w:tc>
          <w:tcPr>
            <w:tcW w:w="697" w:type="pct"/>
            <w:shd w:val="clear" w:color="auto" w:fill="auto"/>
            <w:vAlign w:val="center"/>
            <w:hideMark/>
          </w:tcPr>
          <w:p w:rsidR="00B165C2" w:rsidRPr="00A012FE" w:rsidRDefault="00B165C2" w:rsidP="007A106C">
            <w:pPr>
              <w:rPr>
                <w:color w:val="000000"/>
                <w:sz w:val="20"/>
                <w:szCs w:val="20"/>
              </w:rPr>
            </w:pPr>
            <w:r w:rsidRPr="00A012FE">
              <w:rPr>
                <w:color w:val="000000"/>
                <w:sz w:val="20"/>
                <w:szCs w:val="20"/>
              </w:rPr>
              <w:t>výše výdaje</w:t>
            </w:r>
          </w:p>
        </w:tc>
        <w:tc>
          <w:tcPr>
            <w:tcW w:w="1470" w:type="pct"/>
            <w:shd w:val="clear" w:color="auto" w:fill="auto"/>
            <w:noWrap/>
            <w:vAlign w:val="center"/>
            <w:hideMark/>
          </w:tcPr>
          <w:p w:rsidR="00B165C2" w:rsidRPr="00A012FE" w:rsidRDefault="00B165C2" w:rsidP="007A106C">
            <w:pPr>
              <w:rPr>
                <w:color w:val="000000"/>
                <w:sz w:val="20"/>
                <w:szCs w:val="20"/>
              </w:rPr>
            </w:pPr>
            <w:r w:rsidRPr="00A012FE">
              <w:rPr>
                <w:color w:val="000000"/>
                <w:sz w:val="20"/>
                <w:szCs w:val="20"/>
              </w:rPr>
              <w:t> </w:t>
            </w:r>
          </w:p>
        </w:tc>
      </w:tr>
      <w:tr w:rsidR="00B165C2" w:rsidRPr="00A012FE" w:rsidTr="007A106C">
        <w:trPr>
          <w:trHeight w:val="525"/>
        </w:trPr>
        <w:tc>
          <w:tcPr>
            <w:tcW w:w="527" w:type="pct"/>
            <w:vMerge/>
            <w:vAlign w:val="center"/>
            <w:hideMark/>
          </w:tcPr>
          <w:p w:rsidR="00B165C2" w:rsidRPr="00A012FE" w:rsidRDefault="00B165C2" w:rsidP="007A106C">
            <w:pPr>
              <w:rPr>
                <w:color w:val="000000"/>
                <w:sz w:val="20"/>
                <w:szCs w:val="20"/>
              </w:rPr>
            </w:pPr>
          </w:p>
        </w:tc>
        <w:tc>
          <w:tcPr>
            <w:tcW w:w="349" w:type="pct"/>
            <w:shd w:val="clear" w:color="auto" w:fill="auto"/>
            <w:noWrap/>
            <w:vAlign w:val="center"/>
            <w:hideMark/>
          </w:tcPr>
          <w:p w:rsidR="00B165C2" w:rsidRPr="00A012FE" w:rsidRDefault="00B165C2" w:rsidP="007A106C">
            <w:pPr>
              <w:jc w:val="center"/>
              <w:rPr>
                <w:color w:val="000000"/>
                <w:sz w:val="20"/>
                <w:szCs w:val="20"/>
              </w:rPr>
            </w:pPr>
            <w:r w:rsidRPr="00A012FE">
              <w:rPr>
                <w:color w:val="000000"/>
                <w:sz w:val="20"/>
                <w:szCs w:val="20"/>
              </w:rPr>
              <w:t>10</w:t>
            </w:r>
          </w:p>
        </w:tc>
        <w:tc>
          <w:tcPr>
            <w:tcW w:w="1399" w:type="pct"/>
            <w:shd w:val="clear" w:color="auto" w:fill="auto"/>
            <w:vAlign w:val="center"/>
            <w:hideMark/>
          </w:tcPr>
          <w:p w:rsidR="00B165C2" w:rsidRPr="00A012FE" w:rsidRDefault="00B165C2" w:rsidP="007A106C">
            <w:pPr>
              <w:rPr>
                <w:color w:val="000000"/>
                <w:sz w:val="20"/>
                <w:szCs w:val="20"/>
              </w:rPr>
            </w:pPr>
            <w:r w:rsidRPr="00A012FE">
              <w:rPr>
                <w:color w:val="000000"/>
                <w:sz w:val="20"/>
                <w:szCs w:val="20"/>
              </w:rPr>
              <w:t>Z dotace proplacený výdaj, ale nebylo uskutečněno plnění.</w:t>
            </w:r>
          </w:p>
        </w:tc>
        <w:tc>
          <w:tcPr>
            <w:tcW w:w="558" w:type="pct"/>
            <w:shd w:val="clear" w:color="auto" w:fill="auto"/>
            <w:noWrap/>
            <w:vAlign w:val="center"/>
            <w:hideMark/>
          </w:tcPr>
          <w:p w:rsidR="00B165C2" w:rsidRPr="00A012FE" w:rsidRDefault="00B165C2" w:rsidP="007A106C">
            <w:pPr>
              <w:rPr>
                <w:color w:val="000000"/>
                <w:sz w:val="20"/>
                <w:szCs w:val="20"/>
              </w:rPr>
            </w:pPr>
            <w:r w:rsidRPr="00A012FE">
              <w:rPr>
                <w:color w:val="000000"/>
                <w:sz w:val="20"/>
                <w:szCs w:val="20"/>
              </w:rPr>
              <w:t>0 %</w:t>
            </w:r>
          </w:p>
        </w:tc>
        <w:tc>
          <w:tcPr>
            <w:tcW w:w="697" w:type="pct"/>
            <w:shd w:val="clear" w:color="auto" w:fill="auto"/>
            <w:vAlign w:val="center"/>
            <w:hideMark/>
          </w:tcPr>
          <w:p w:rsidR="00B165C2" w:rsidRPr="00A012FE" w:rsidRDefault="00B165C2" w:rsidP="007A106C">
            <w:pPr>
              <w:rPr>
                <w:color w:val="000000"/>
                <w:sz w:val="20"/>
                <w:szCs w:val="20"/>
              </w:rPr>
            </w:pPr>
            <w:r w:rsidRPr="00A012FE">
              <w:rPr>
                <w:color w:val="000000"/>
                <w:sz w:val="20"/>
                <w:szCs w:val="20"/>
              </w:rPr>
              <w:t>výše uskutečněného výdaje</w:t>
            </w:r>
          </w:p>
        </w:tc>
        <w:tc>
          <w:tcPr>
            <w:tcW w:w="1470" w:type="pct"/>
            <w:shd w:val="clear" w:color="auto" w:fill="auto"/>
            <w:noWrap/>
            <w:vAlign w:val="center"/>
            <w:hideMark/>
          </w:tcPr>
          <w:p w:rsidR="00B165C2" w:rsidRPr="00A012FE" w:rsidRDefault="00B165C2" w:rsidP="007A106C">
            <w:pPr>
              <w:rPr>
                <w:color w:val="000000"/>
                <w:sz w:val="20"/>
                <w:szCs w:val="20"/>
              </w:rPr>
            </w:pPr>
            <w:r w:rsidRPr="00A012FE">
              <w:rPr>
                <w:color w:val="000000"/>
                <w:sz w:val="20"/>
                <w:szCs w:val="20"/>
              </w:rPr>
              <w:t> </w:t>
            </w:r>
          </w:p>
        </w:tc>
      </w:tr>
      <w:tr w:rsidR="00B165C2" w:rsidRPr="00A012FE" w:rsidTr="007A106C">
        <w:trPr>
          <w:trHeight w:val="720"/>
        </w:trPr>
        <w:tc>
          <w:tcPr>
            <w:tcW w:w="527" w:type="pct"/>
            <w:vMerge/>
            <w:vAlign w:val="center"/>
            <w:hideMark/>
          </w:tcPr>
          <w:p w:rsidR="00B165C2" w:rsidRPr="00A012FE" w:rsidRDefault="00B165C2" w:rsidP="007A106C">
            <w:pPr>
              <w:rPr>
                <w:color w:val="000000"/>
                <w:sz w:val="20"/>
                <w:szCs w:val="20"/>
              </w:rPr>
            </w:pPr>
          </w:p>
        </w:tc>
        <w:tc>
          <w:tcPr>
            <w:tcW w:w="349" w:type="pct"/>
            <w:vMerge w:val="restart"/>
            <w:shd w:val="clear" w:color="auto" w:fill="auto"/>
            <w:noWrap/>
            <w:vAlign w:val="center"/>
            <w:hideMark/>
          </w:tcPr>
          <w:p w:rsidR="00B165C2" w:rsidRPr="00A012FE" w:rsidRDefault="00B165C2" w:rsidP="007A106C">
            <w:pPr>
              <w:jc w:val="center"/>
              <w:rPr>
                <w:color w:val="000000"/>
                <w:sz w:val="20"/>
                <w:szCs w:val="20"/>
              </w:rPr>
            </w:pPr>
            <w:r w:rsidRPr="00A012FE">
              <w:rPr>
                <w:color w:val="000000"/>
                <w:sz w:val="20"/>
                <w:szCs w:val="20"/>
              </w:rPr>
              <w:t>11</w:t>
            </w:r>
          </w:p>
        </w:tc>
        <w:tc>
          <w:tcPr>
            <w:tcW w:w="1399" w:type="pct"/>
            <w:vMerge w:val="restart"/>
            <w:shd w:val="clear" w:color="auto" w:fill="auto"/>
            <w:vAlign w:val="center"/>
            <w:hideMark/>
          </w:tcPr>
          <w:p w:rsidR="00B165C2" w:rsidRPr="00A012FE" w:rsidRDefault="00B165C2" w:rsidP="007A106C">
            <w:pPr>
              <w:rPr>
                <w:color w:val="000000"/>
                <w:sz w:val="20"/>
                <w:szCs w:val="20"/>
              </w:rPr>
            </w:pPr>
            <w:r w:rsidRPr="00A012FE">
              <w:rPr>
                <w:color w:val="000000"/>
                <w:sz w:val="20"/>
                <w:szCs w:val="20"/>
              </w:rPr>
              <w:t>Nevedení oddělené evidence ve vztahu k projektu.</w:t>
            </w:r>
          </w:p>
        </w:tc>
        <w:tc>
          <w:tcPr>
            <w:tcW w:w="558" w:type="pct"/>
            <w:vMerge w:val="restart"/>
            <w:shd w:val="clear" w:color="auto" w:fill="auto"/>
            <w:noWrap/>
            <w:vAlign w:val="center"/>
            <w:hideMark/>
          </w:tcPr>
          <w:p w:rsidR="00B165C2" w:rsidRPr="00A012FE" w:rsidRDefault="00B165C2" w:rsidP="007A106C">
            <w:pPr>
              <w:rPr>
                <w:color w:val="000000"/>
                <w:sz w:val="20"/>
                <w:szCs w:val="20"/>
              </w:rPr>
            </w:pPr>
            <w:r w:rsidRPr="00A012FE">
              <w:rPr>
                <w:color w:val="000000"/>
                <w:sz w:val="20"/>
                <w:szCs w:val="20"/>
              </w:rPr>
              <w:t>0 %</w:t>
            </w:r>
          </w:p>
        </w:tc>
        <w:tc>
          <w:tcPr>
            <w:tcW w:w="697" w:type="pct"/>
            <w:vMerge w:val="restart"/>
            <w:shd w:val="clear" w:color="auto" w:fill="auto"/>
            <w:vAlign w:val="center"/>
            <w:hideMark/>
          </w:tcPr>
          <w:p w:rsidR="00B165C2" w:rsidRDefault="00B165C2" w:rsidP="007A106C">
            <w:pPr>
              <w:rPr>
                <w:color w:val="000000"/>
                <w:sz w:val="20"/>
                <w:szCs w:val="20"/>
              </w:rPr>
            </w:pPr>
            <w:r>
              <w:rPr>
                <w:color w:val="000000"/>
                <w:sz w:val="20"/>
                <w:szCs w:val="20"/>
              </w:rPr>
              <w:t>a) dotace</w:t>
            </w:r>
          </w:p>
          <w:p w:rsidR="00B165C2" w:rsidRPr="00A012FE" w:rsidRDefault="00B165C2" w:rsidP="007A106C">
            <w:pPr>
              <w:rPr>
                <w:color w:val="000000"/>
                <w:sz w:val="20"/>
                <w:szCs w:val="20"/>
              </w:rPr>
            </w:pPr>
            <w:r w:rsidRPr="00A012FE">
              <w:rPr>
                <w:color w:val="000000"/>
                <w:sz w:val="20"/>
                <w:szCs w:val="20"/>
              </w:rPr>
              <w:t>b) výše výdaje realizovaného mimo oddělenou evidenci</w:t>
            </w:r>
          </w:p>
        </w:tc>
        <w:tc>
          <w:tcPr>
            <w:tcW w:w="1470" w:type="pct"/>
            <w:vMerge w:val="restart"/>
            <w:shd w:val="clear" w:color="auto" w:fill="auto"/>
            <w:vAlign w:val="center"/>
            <w:hideMark/>
          </w:tcPr>
          <w:p w:rsidR="00B165C2" w:rsidRDefault="00B165C2" w:rsidP="007A106C">
            <w:pPr>
              <w:rPr>
                <w:color w:val="000000"/>
                <w:sz w:val="20"/>
                <w:szCs w:val="20"/>
              </w:rPr>
            </w:pPr>
            <w:r w:rsidRPr="00A012FE">
              <w:rPr>
                <w:color w:val="000000"/>
                <w:sz w:val="20"/>
                <w:szCs w:val="20"/>
              </w:rPr>
              <w:t xml:space="preserve">a) Pokud není </w:t>
            </w:r>
            <w:r>
              <w:rPr>
                <w:color w:val="000000"/>
                <w:sz w:val="20"/>
                <w:szCs w:val="20"/>
              </w:rPr>
              <w:t>oddělená evidence vedena vůbec.</w:t>
            </w:r>
          </w:p>
          <w:p w:rsidR="00B165C2" w:rsidRPr="00A012FE" w:rsidRDefault="00B165C2" w:rsidP="007A106C">
            <w:pPr>
              <w:rPr>
                <w:color w:val="000000"/>
                <w:sz w:val="20"/>
                <w:szCs w:val="20"/>
              </w:rPr>
            </w:pPr>
            <w:r w:rsidRPr="00A012FE">
              <w:rPr>
                <w:color w:val="000000"/>
                <w:sz w:val="20"/>
                <w:szCs w:val="20"/>
              </w:rPr>
              <w:t>b) Je</w:t>
            </w:r>
            <w:r>
              <w:rPr>
                <w:color w:val="000000"/>
                <w:sz w:val="20"/>
                <w:szCs w:val="20"/>
              </w:rPr>
              <w:t>-</w:t>
            </w:r>
            <w:r w:rsidRPr="00A012FE">
              <w:rPr>
                <w:color w:val="000000"/>
                <w:sz w:val="20"/>
                <w:szCs w:val="20"/>
              </w:rPr>
              <w:t>li oddělená evidence vedena, pouze některý výdaj/výdaje takto nejsou zaúčtovány</w:t>
            </w:r>
            <w:r>
              <w:rPr>
                <w:color w:val="000000"/>
                <w:sz w:val="20"/>
                <w:szCs w:val="20"/>
              </w:rPr>
              <w:t>.</w:t>
            </w:r>
          </w:p>
        </w:tc>
      </w:tr>
      <w:tr w:rsidR="00B165C2" w:rsidRPr="00A012FE" w:rsidTr="007A106C">
        <w:trPr>
          <w:trHeight w:val="855"/>
        </w:trPr>
        <w:tc>
          <w:tcPr>
            <w:tcW w:w="527" w:type="pct"/>
            <w:vMerge/>
            <w:vAlign w:val="center"/>
            <w:hideMark/>
          </w:tcPr>
          <w:p w:rsidR="00B165C2" w:rsidRPr="00A012FE" w:rsidRDefault="00B165C2" w:rsidP="007A106C">
            <w:pPr>
              <w:rPr>
                <w:color w:val="000000"/>
                <w:sz w:val="20"/>
                <w:szCs w:val="20"/>
              </w:rPr>
            </w:pPr>
          </w:p>
        </w:tc>
        <w:tc>
          <w:tcPr>
            <w:tcW w:w="349" w:type="pct"/>
            <w:vMerge/>
            <w:vAlign w:val="center"/>
            <w:hideMark/>
          </w:tcPr>
          <w:p w:rsidR="00B165C2" w:rsidRPr="00A012FE" w:rsidRDefault="00B165C2" w:rsidP="007A106C">
            <w:pPr>
              <w:rPr>
                <w:color w:val="000000"/>
                <w:sz w:val="20"/>
                <w:szCs w:val="20"/>
              </w:rPr>
            </w:pPr>
          </w:p>
        </w:tc>
        <w:tc>
          <w:tcPr>
            <w:tcW w:w="1399" w:type="pct"/>
            <w:vMerge/>
            <w:vAlign w:val="center"/>
            <w:hideMark/>
          </w:tcPr>
          <w:p w:rsidR="00B165C2" w:rsidRPr="00A012FE" w:rsidRDefault="00B165C2" w:rsidP="007A106C">
            <w:pPr>
              <w:rPr>
                <w:color w:val="000000"/>
                <w:sz w:val="20"/>
                <w:szCs w:val="20"/>
              </w:rPr>
            </w:pPr>
          </w:p>
        </w:tc>
        <w:tc>
          <w:tcPr>
            <w:tcW w:w="558" w:type="pct"/>
            <w:vMerge/>
            <w:vAlign w:val="center"/>
            <w:hideMark/>
          </w:tcPr>
          <w:p w:rsidR="00B165C2" w:rsidRPr="00A012FE" w:rsidRDefault="00B165C2" w:rsidP="007A106C">
            <w:pPr>
              <w:rPr>
                <w:color w:val="000000"/>
                <w:sz w:val="20"/>
                <w:szCs w:val="20"/>
              </w:rPr>
            </w:pPr>
          </w:p>
        </w:tc>
        <w:tc>
          <w:tcPr>
            <w:tcW w:w="697" w:type="pct"/>
            <w:vMerge/>
            <w:vAlign w:val="center"/>
            <w:hideMark/>
          </w:tcPr>
          <w:p w:rsidR="00B165C2" w:rsidRPr="00A012FE" w:rsidRDefault="00B165C2" w:rsidP="007A106C">
            <w:pPr>
              <w:rPr>
                <w:color w:val="000000"/>
                <w:sz w:val="20"/>
                <w:szCs w:val="20"/>
              </w:rPr>
            </w:pPr>
          </w:p>
        </w:tc>
        <w:tc>
          <w:tcPr>
            <w:tcW w:w="1470" w:type="pct"/>
            <w:vMerge/>
            <w:vAlign w:val="center"/>
            <w:hideMark/>
          </w:tcPr>
          <w:p w:rsidR="00B165C2" w:rsidRPr="00A012FE" w:rsidRDefault="00B165C2" w:rsidP="007A106C">
            <w:pPr>
              <w:rPr>
                <w:color w:val="000000"/>
                <w:sz w:val="20"/>
                <w:szCs w:val="20"/>
              </w:rPr>
            </w:pPr>
          </w:p>
        </w:tc>
      </w:tr>
      <w:tr w:rsidR="00B165C2" w:rsidRPr="00A012FE" w:rsidTr="007A106C">
        <w:trPr>
          <w:trHeight w:val="1200"/>
        </w:trPr>
        <w:tc>
          <w:tcPr>
            <w:tcW w:w="527" w:type="pct"/>
            <w:vMerge/>
            <w:vAlign w:val="center"/>
            <w:hideMark/>
          </w:tcPr>
          <w:p w:rsidR="00B165C2" w:rsidRPr="00A012FE" w:rsidRDefault="00B165C2" w:rsidP="007A106C">
            <w:pPr>
              <w:rPr>
                <w:color w:val="000000"/>
                <w:sz w:val="20"/>
                <w:szCs w:val="20"/>
              </w:rPr>
            </w:pPr>
          </w:p>
        </w:tc>
        <w:tc>
          <w:tcPr>
            <w:tcW w:w="349" w:type="pct"/>
            <w:shd w:val="clear" w:color="auto" w:fill="auto"/>
            <w:noWrap/>
            <w:vAlign w:val="center"/>
            <w:hideMark/>
          </w:tcPr>
          <w:p w:rsidR="00B165C2" w:rsidRPr="00A012FE" w:rsidRDefault="00B165C2" w:rsidP="007A106C">
            <w:pPr>
              <w:jc w:val="center"/>
              <w:rPr>
                <w:color w:val="000000"/>
                <w:sz w:val="20"/>
                <w:szCs w:val="20"/>
              </w:rPr>
            </w:pPr>
            <w:r w:rsidRPr="00A012FE">
              <w:rPr>
                <w:color w:val="000000"/>
                <w:sz w:val="20"/>
                <w:szCs w:val="20"/>
              </w:rPr>
              <w:t>12</w:t>
            </w:r>
          </w:p>
        </w:tc>
        <w:tc>
          <w:tcPr>
            <w:tcW w:w="1399" w:type="pct"/>
            <w:shd w:val="clear" w:color="auto" w:fill="auto"/>
            <w:vAlign w:val="center"/>
            <w:hideMark/>
          </w:tcPr>
          <w:p w:rsidR="00B165C2" w:rsidRPr="00A012FE" w:rsidRDefault="00B165C2" w:rsidP="007A106C">
            <w:pPr>
              <w:rPr>
                <w:color w:val="000000"/>
                <w:sz w:val="20"/>
                <w:szCs w:val="20"/>
              </w:rPr>
            </w:pPr>
            <w:r w:rsidRPr="00A012FE">
              <w:rPr>
                <w:color w:val="000000"/>
                <w:sz w:val="20"/>
                <w:szCs w:val="20"/>
              </w:rPr>
              <w:t>Nedodržení požadavku na zákaz dvojího financování.</w:t>
            </w:r>
          </w:p>
        </w:tc>
        <w:tc>
          <w:tcPr>
            <w:tcW w:w="558" w:type="pct"/>
            <w:shd w:val="clear" w:color="auto" w:fill="auto"/>
            <w:noWrap/>
            <w:vAlign w:val="center"/>
            <w:hideMark/>
          </w:tcPr>
          <w:p w:rsidR="00B165C2" w:rsidRPr="00A012FE" w:rsidRDefault="00B165C2" w:rsidP="007A106C">
            <w:pPr>
              <w:rPr>
                <w:color w:val="000000"/>
                <w:sz w:val="20"/>
                <w:szCs w:val="20"/>
              </w:rPr>
            </w:pPr>
            <w:r w:rsidRPr="00A012FE">
              <w:rPr>
                <w:color w:val="000000"/>
                <w:sz w:val="20"/>
                <w:szCs w:val="20"/>
              </w:rPr>
              <w:t>0 %</w:t>
            </w:r>
          </w:p>
        </w:tc>
        <w:tc>
          <w:tcPr>
            <w:tcW w:w="697" w:type="pct"/>
            <w:shd w:val="clear" w:color="auto" w:fill="auto"/>
            <w:vAlign w:val="center"/>
            <w:hideMark/>
          </w:tcPr>
          <w:p w:rsidR="00B165C2" w:rsidRPr="00A012FE" w:rsidRDefault="00B165C2" w:rsidP="007A106C">
            <w:pPr>
              <w:rPr>
                <w:color w:val="000000"/>
                <w:sz w:val="20"/>
                <w:szCs w:val="20"/>
              </w:rPr>
            </w:pPr>
            <w:r w:rsidRPr="00A012FE">
              <w:rPr>
                <w:color w:val="000000"/>
                <w:sz w:val="20"/>
                <w:szCs w:val="20"/>
              </w:rPr>
              <w:t>výše výdaje financovaného/uplatněného ze dvou/více veřejných zdrojů</w:t>
            </w:r>
          </w:p>
        </w:tc>
        <w:tc>
          <w:tcPr>
            <w:tcW w:w="1470" w:type="pct"/>
            <w:shd w:val="clear" w:color="auto" w:fill="auto"/>
            <w:noWrap/>
            <w:vAlign w:val="center"/>
            <w:hideMark/>
          </w:tcPr>
          <w:p w:rsidR="00B165C2" w:rsidRPr="00A012FE" w:rsidRDefault="00B165C2" w:rsidP="007A106C">
            <w:pPr>
              <w:rPr>
                <w:color w:val="000000"/>
                <w:sz w:val="20"/>
                <w:szCs w:val="20"/>
              </w:rPr>
            </w:pPr>
            <w:r w:rsidRPr="00A012FE">
              <w:rPr>
                <w:color w:val="000000"/>
                <w:sz w:val="20"/>
                <w:szCs w:val="20"/>
              </w:rPr>
              <w:t> </w:t>
            </w:r>
          </w:p>
        </w:tc>
      </w:tr>
      <w:tr w:rsidR="00B165C2" w:rsidRPr="00A012FE" w:rsidTr="007A106C">
        <w:trPr>
          <w:trHeight w:val="765"/>
        </w:trPr>
        <w:tc>
          <w:tcPr>
            <w:tcW w:w="527" w:type="pct"/>
            <w:vMerge/>
            <w:vAlign w:val="center"/>
            <w:hideMark/>
          </w:tcPr>
          <w:p w:rsidR="00B165C2" w:rsidRPr="00A012FE" w:rsidRDefault="00B165C2" w:rsidP="007A106C">
            <w:pPr>
              <w:rPr>
                <w:color w:val="000000"/>
                <w:sz w:val="20"/>
                <w:szCs w:val="20"/>
              </w:rPr>
            </w:pPr>
          </w:p>
        </w:tc>
        <w:tc>
          <w:tcPr>
            <w:tcW w:w="349" w:type="pct"/>
            <w:shd w:val="clear" w:color="auto" w:fill="auto"/>
            <w:noWrap/>
            <w:vAlign w:val="center"/>
            <w:hideMark/>
          </w:tcPr>
          <w:p w:rsidR="00B165C2" w:rsidRPr="00A012FE" w:rsidRDefault="00B165C2" w:rsidP="007A106C">
            <w:pPr>
              <w:jc w:val="center"/>
              <w:rPr>
                <w:color w:val="000000"/>
                <w:sz w:val="20"/>
                <w:szCs w:val="20"/>
              </w:rPr>
            </w:pPr>
            <w:r w:rsidRPr="00A012FE">
              <w:rPr>
                <w:color w:val="000000"/>
                <w:sz w:val="20"/>
                <w:szCs w:val="20"/>
              </w:rPr>
              <w:t>13</w:t>
            </w:r>
          </w:p>
        </w:tc>
        <w:tc>
          <w:tcPr>
            <w:tcW w:w="1399" w:type="pct"/>
            <w:shd w:val="clear" w:color="auto" w:fill="auto"/>
            <w:vAlign w:val="center"/>
            <w:hideMark/>
          </w:tcPr>
          <w:p w:rsidR="00B165C2" w:rsidRPr="00A012FE" w:rsidRDefault="00B165C2" w:rsidP="007A106C">
            <w:pPr>
              <w:rPr>
                <w:color w:val="000000"/>
                <w:sz w:val="20"/>
                <w:szCs w:val="20"/>
              </w:rPr>
            </w:pPr>
            <w:r w:rsidRPr="00A012FE">
              <w:rPr>
                <w:color w:val="000000"/>
                <w:sz w:val="20"/>
                <w:szCs w:val="20"/>
              </w:rPr>
              <w:t>Nenahlášení příjmů projektu (mimo kladné úroky z projektového bankovního účtu).</w:t>
            </w:r>
          </w:p>
        </w:tc>
        <w:tc>
          <w:tcPr>
            <w:tcW w:w="558" w:type="pct"/>
            <w:shd w:val="clear" w:color="auto" w:fill="auto"/>
            <w:noWrap/>
            <w:vAlign w:val="center"/>
            <w:hideMark/>
          </w:tcPr>
          <w:p w:rsidR="00B165C2" w:rsidRPr="00A012FE" w:rsidRDefault="00B165C2" w:rsidP="007A106C">
            <w:pPr>
              <w:rPr>
                <w:color w:val="000000"/>
                <w:sz w:val="20"/>
                <w:szCs w:val="20"/>
              </w:rPr>
            </w:pPr>
            <w:r w:rsidRPr="00A012FE">
              <w:rPr>
                <w:color w:val="000000"/>
                <w:sz w:val="20"/>
                <w:szCs w:val="20"/>
              </w:rPr>
              <w:t>0 %</w:t>
            </w:r>
          </w:p>
        </w:tc>
        <w:tc>
          <w:tcPr>
            <w:tcW w:w="697" w:type="pct"/>
            <w:shd w:val="clear" w:color="auto" w:fill="auto"/>
            <w:vAlign w:val="center"/>
            <w:hideMark/>
          </w:tcPr>
          <w:p w:rsidR="00B165C2" w:rsidRPr="00A012FE" w:rsidRDefault="00B165C2" w:rsidP="007A106C">
            <w:pPr>
              <w:rPr>
                <w:color w:val="000000"/>
                <w:sz w:val="20"/>
                <w:szCs w:val="20"/>
              </w:rPr>
            </w:pPr>
            <w:r w:rsidRPr="00A012FE">
              <w:rPr>
                <w:color w:val="000000"/>
                <w:sz w:val="20"/>
                <w:szCs w:val="20"/>
              </w:rPr>
              <w:t>výše neodečteného nebo nenahlášeného příjmu</w:t>
            </w:r>
          </w:p>
        </w:tc>
        <w:tc>
          <w:tcPr>
            <w:tcW w:w="1470" w:type="pct"/>
            <w:shd w:val="clear" w:color="auto" w:fill="auto"/>
            <w:noWrap/>
            <w:vAlign w:val="center"/>
            <w:hideMark/>
          </w:tcPr>
          <w:p w:rsidR="00B165C2" w:rsidRPr="00A012FE" w:rsidRDefault="00B165C2" w:rsidP="007A106C">
            <w:pPr>
              <w:rPr>
                <w:color w:val="000000"/>
                <w:sz w:val="20"/>
                <w:szCs w:val="20"/>
              </w:rPr>
            </w:pPr>
            <w:r w:rsidRPr="00A012FE">
              <w:rPr>
                <w:color w:val="000000"/>
                <w:sz w:val="20"/>
                <w:szCs w:val="20"/>
              </w:rPr>
              <w:t> </w:t>
            </w:r>
          </w:p>
        </w:tc>
      </w:tr>
      <w:tr w:rsidR="00B165C2" w:rsidRPr="00A012FE" w:rsidTr="007A106C">
        <w:trPr>
          <w:trHeight w:val="5865"/>
        </w:trPr>
        <w:tc>
          <w:tcPr>
            <w:tcW w:w="527" w:type="pct"/>
            <w:vMerge/>
            <w:vAlign w:val="center"/>
            <w:hideMark/>
          </w:tcPr>
          <w:p w:rsidR="00B165C2" w:rsidRPr="00A012FE" w:rsidRDefault="00B165C2" w:rsidP="007A106C">
            <w:pPr>
              <w:rPr>
                <w:color w:val="000000"/>
                <w:sz w:val="20"/>
                <w:szCs w:val="20"/>
              </w:rPr>
            </w:pPr>
          </w:p>
        </w:tc>
        <w:tc>
          <w:tcPr>
            <w:tcW w:w="349" w:type="pct"/>
            <w:shd w:val="clear" w:color="auto" w:fill="auto"/>
            <w:noWrap/>
            <w:vAlign w:val="center"/>
            <w:hideMark/>
          </w:tcPr>
          <w:p w:rsidR="00B165C2" w:rsidRPr="00A012FE" w:rsidRDefault="00B165C2" w:rsidP="007A106C">
            <w:pPr>
              <w:jc w:val="center"/>
              <w:rPr>
                <w:color w:val="000000"/>
                <w:sz w:val="20"/>
                <w:szCs w:val="20"/>
              </w:rPr>
            </w:pPr>
            <w:r w:rsidRPr="00A012FE">
              <w:rPr>
                <w:color w:val="000000"/>
                <w:sz w:val="20"/>
                <w:szCs w:val="20"/>
              </w:rPr>
              <w:t>14</w:t>
            </w:r>
          </w:p>
        </w:tc>
        <w:tc>
          <w:tcPr>
            <w:tcW w:w="1399" w:type="pct"/>
            <w:shd w:val="clear" w:color="auto" w:fill="auto"/>
            <w:vAlign w:val="center"/>
            <w:hideMark/>
          </w:tcPr>
          <w:p w:rsidR="00B165C2" w:rsidRPr="00A012FE" w:rsidRDefault="00B165C2" w:rsidP="007A106C">
            <w:pPr>
              <w:rPr>
                <w:color w:val="000000"/>
                <w:sz w:val="20"/>
                <w:szCs w:val="20"/>
              </w:rPr>
            </w:pPr>
            <w:r w:rsidRPr="00A012FE">
              <w:rPr>
                <w:color w:val="000000"/>
                <w:sz w:val="20"/>
                <w:szCs w:val="20"/>
              </w:rPr>
              <w:t>Překročení nastavených limitů jednotlivých kapitol rozpočtu při závěrečném vyúčtování projektu nebo při provedení nepodstatné změny projektu.</w:t>
            </w:r>
          </w:p>
        </w:tc>
        <w:tc>
          <w:tcPr>
            <w:tcW w:w="558" w:type="pct"/>
            <w:shd w:val="clear" w:color="auto" w:fill="auto"/>
            <w:noWrap/>
            <w:vAlign w:val="center"/>
            <w:hideMark/>
          </w:tcPr>
          <w:p w:rsidR="00B165C2" w:rsidRPr="00A012FE" w:rsidRDefault="00B165C2" w:rsidP="007A106C">
            <w:pPr>
              <w:rPr>
                <w:color w:val="000000"/>
                <w:sz w:val="20"/>
                <w:szCs w:val="20"/>
              </w:rPr>
            </w:pPr>
            <w:r w:rsidRPr="00A012FE">
              <w:rPr>
                <w:color w:val="000000"/>
                <w:sz w:val="20"/>
                <w:szCs w:val="20"/>
              </w:rPr>
              <w:t>100 nebo 95 %</w:t>
            </w:r>
          </w:p>
        </w:tc>
        <w:tc>
          <w:tcPr>
            <w:tcW w:w="697" w:type="pct"/>
            <w:shd w:val="clear" w:color="auto" w:fill="auto"/>
            <w:vAlign w:val="center"/>
            <w:hideMark/>
          </w:tcPr>
          <w:p w:rsidR="00B165C2" w:rsidRPr="00A012FE" w:rsidRDefault="00B165C2" w:rsidP="007A106C">
            <w:pPr>
              <w:rPr>
                <w:color w:val="000000"/>
                <w:sz w:val="20"/>
                <w:szCs w:val="20"/>
              </w:rPr>
            </w:pPr>
            <w:r w:rsidRPr="00A012FE">
              <w:rPr>
                <w:color w:val="000000"/>
                <w:sz w:val="20"/>
                <w:szCs w:val="20"/>
              </w:rPr>
              <w:t>částka překračující stanovený limit</w:t>
            </w:r>
          </w:p>
        </w:tc>
        <w:tc>
          <w:tcPr>
            <w:tcW w:w="1470" w:type="pct"/>
            <w:shd w:val="clear" w:color="000000" w:fill="FFFFFF"/>
            <w:vAlign w:val="center"/>
            <w:hideMark/>
          </w:tcPr>
          <w:p w:rsidR="00B165C2" w:rsidRPr="00A012FE" w:rsidRDefault="00B165C2" w:rsidP="007A106C">
            <w:pPr>
              <w:rPr>
                <w:color w:val="000000"/>
                <w:sz w:val="20"/>
                <w:szCs w:val="20"/>
              </w:rPr>
            </w:pPr>
            <w:r w:rsidRPr="00A012FE">
              <w:rPr>
                <w:color w:val="000000"/>
                <w:sz w:val="20"/>
                <w:szCs w:val="20"/>
              </w:rPr>
              <w:t>100 % lze prominout pouze v případě překročení limitů kapitol při závěrečném vyúčtování projektu vyjma případu překročení limitu 60</w:t>
            </w:r>
            <w:r>
              <w:rPr>
                <w:color w:val="000000"/>
                <w:sz w:val="20"/>
                <w:szCs w:val="20"/>
              </w:rPr>
              <w:t xml:space="preserve"> </w:t>
            </w:r>
            <w:r w:rsidRPr="00A012FE">
              <w:rPr>
                <w:color w:val="000000"/>
                <w:sz w:val="20"/>
                <w:szCs w:val="20"/>
              </w:rPr>
              <w:t>% u kapitoly „</w:t>
            </w:r>
            <w:r>
              <w:rPr>
                <w:color w:val="000000"/>
                <w:sz w:val="20"/>
                <w:szCs w:val="20"/>
              </w:rPr>
              <w:t>N</w:t>
            </w:r>
            <w:r w:rsidRPr="00A012FE">
              <w:rPr>
                <w:color w:val="000000"/>
                <w:sz w:val="20"/>
                <w:szCs w:val="20"/>
              </w:rPr>
              <w:t>ákup služeb“ u projektů aplikujících NN. Činí</w:t>
            </w:r>
            <w:r>
              <w:rPr>
                <w:color w:val="000000"/>
                <w:sz w:val="20"/>
                <w:szCs w:val="20"/>
              </w:rPr>
              <w:t>-</w:t>
            </w:r>
            <w:r w:rsidRPr="00A012FE">
              <w:rPr>
                <w:color w:val="000000"/>
                <w:sz w:val="20"/>
                <w:szCs w:val="20"/>
              </w:rPr>
              <w:t>li podíl kapitoly „</w:t>
            </w:r>
            <w:r>
              <w:rPr>
                <w:color w:val="000000"/>
                <w:sz w:val="20"/>
                <w:szCs w:val="20"/>
              </w:rPr>
              <w:t>N</w:t>
            </w:r>
            <w:r w:rsidRPr="00A012FE">
              <w:rPr>
                <w:color w:val="000000"/>
                <w:sz w:val="20"/>
                <w:szCs w:val="20"/>
              </w:rPr>
              <w:t>ákup služeb“ u projektu aplikujícího NN více než 60</w:t>
            </w:r>
            <w:r>
              <w:rPr>
                <w:color w:val="000000"/>
                <w:sz w:val="20"/>
                <w:szCs w:val="20"/>
              </w:rPr>
              <w:t xml:space="preserve"> </w:t>
            </w:r>
            <w:r w:rsidRPr="00A012FE">
              <w:rPr>
                <w:color w:val="000000"/>
                <w:sz w:val="20"/>
                <w:szCs w:val="20"/>
              </w:rPr>
              <w:t>%, lze prominout pouze tu část odvodu, jejímž započtením do způsobilých výdajů projektu nedojde k překročení podílů 59</w:t>
            </w:r>
            <w:r>
              <w:rPr>
                <w:color w:val="000000"/>
                <w:sz w:val="20"/>
                <w:szCs w:val="20"/>
              </w:rPr>
              <w:t xml:space="preserve"> % kapitoly „N</w:t>
            </w:r>
            <w:r w:rsidRPr="00A012FE">
              <w:rPr>
                <w:color w:val="000000"/>
                <w:sz w:val="20"/>
                <w:szCs w:val="20"/>
              </w:rPr>
              <w:t>ákup služeb“ na celkových způsobilých výdajích projektu.  Byl</w:t>
            </w:r>
            <w:r>
              <w:rPr>
                <w:color w:val="000000"/>
                <w:sz w:val="20"/>
                <w:szCs w:val="20"/>
              </w:rPr>
              <w:t>-</w:t>
            </w:r>
            <w:r w:rsidRPr="00A012FE">
              <w:rPr>
                <w:color w:val="000000"/>
                <w:sz w:val="20"/>
                <w:szCs w:val="20"/>
              </w:rPr>
              <w:t xml:space="preserve">li překročen limit v průběhu realizace projektu při provedení nepodstatné změny rozpočtu, pak je možné prominout 95 %.  </w:t>
            </w:r>
          </w:p>
        </w:tc>
      </w:tr>
      <w:tr w:rsidR="00B165C2" w:rsidRPr="00A012FE" w:rsidTr="007A106C">
        <w:trPr>
          <w:trHeight w:val="765"/>
        </w:trPr>
        <w:tc>
          <w:tcPr>
            <w:tcW w:w="527" w:type="pct"/>
            <w:vMerge/>
            <w:vAlign w:val="center"/>
            <w:hideMark/>
          </w:tcPr>
          <w:p w:rsidR="00B165C2" w:rsidRPr="00A012FE" w:rsidRDefault="00B165C2" w:rsidP="007A106C">
            <w:pPr>
              <w:rPr>
                <w:color w:val="000000"/>
                <w:sz w:val="20"/>
                <w:szCs w:val="20"/>
              </w:rPr>
            </w:pPr>
          </w:p>
        </w:tc>
        <w:tc>
          <w:tcPr>
            <w:tcW w:w="349" w:type="pct"/>
            <w:shd w:val="clear" w:color="auto" w:fill="auto"/>
            <w:noWrap/>
            <w:vAlign w:val="center"/>
            <w:hideMark/>
          </w:tcPr>
          <w:p w:rsidR="00B165C2" w:rsidRPr="00A012FE" w:rsidRDefault="00B165C2" w:rsidP="007A106C">
            <w:pPr>
              <w:jc w:val="center"/>
              <w:rPr>
                <w:color w:val="000000"/>
                <w:sz w:val="20"/>
                <w:szCs w:val="20"/>
              </w:rPr>
            </w:pPr>
            <w:r w:rsidRPr="00A012FE">
              <w:rPr>
                <w:color w:val="000000"/>
                <w:sz w:val="20"/>
                <w:szCs w:val="20"/>
              </w:rPr>
              <w:t>15</w:t>
            </w:r>
          </w:p>
        </w:tc>
        <w:tc>
          <w:tcPr>
            <w:tcW w:w="1399" w:type="pct"/>
            <w:shd w:val="clear" w:color="auto" w:fill="auto"/>
            <w:vAlign w:val="center"/>
            <w:hideMark/>
          </w:tcPr>
          <w:p w:rsidR="00B165C2" w:rsidRPr="00A012FE" w:rsidRDefault="00B165C2" w:rsidP="007A106C">
            <w:pPr>
              <w:rPr>
                <w:color w:val="000000"/>
                <w:sz w:val="20"/>
                <w:szCs w:val="20"/>
              </w:rPr>
            </w:pPr>
            <w:r w:rsidRPr="00A012FE">
              <w:rPr>
                <w:color w:val="000000"/>
                <w:sz w:val="20"/>
                <w:szCs w:val="20"/>
              </w:rPr>
              <w:t>Při závěrečném vyúčtování zjištěno překročení stanoveného limitu při čerpání nepřímých nákladů nebo limitu pro křížové financování.</w:t>
            </w:r>
          </w:p>
        </w:tc>
        <w:tc>
          <w:tcPr>
            <w:tcW w:w="558" w:type="pct"/>
            <w:shd w:val="clear" w:color="auto" w:fill="auto"/>
            <w:noWrap/>
            <w:vAlign w:val="center"/>
            <w:hideMark/>
          </w:tcPr>
          <w:p w:rsidR="00B165C2" w:rsidRPr="00A012FE" w:rsidRDefault="00B165C2" w:rsidP="007A106C">
            <w:pPr>
              <w:rPr>
                <w:color w:val="000000"/>
                <w:sz w:val="20"/>
                <w:szCs w:val="20"/>
              </w:rPr>
            </w:pPr>
            <w:r w:rsidRPr="00A012FE">
              <w:rPr>
                <w:color w:val="000000"/>
                <w:sz w:val="20"/>
                <w:szCs w:val="20"/>
              </w:rPr>
              <w:t>0 %</w:t>
            </w:r>
          </w:p>
        </w:tc>
        <w:tc>
          <w:tcPr>
            <w:tcW w:w="697" w:type="pct"/>
            <w:shd w:val="clear" w:color="auto" w:fill="auto"/>
            <w:vAlign w:val="center"/>
            <w:hideMark/>
          </w:tcPr>
          <w:p w:rsidR="00B165C2" w:rsidRPr="00A012FE" w:rsidRDefault="00B165C2" w:rsidP="007A106C">
            <w:pPr>
              <w:rPr>
                <w:color w:val="000000"/>
                <w:sz w:val="20"/>
                <w:szCs w:val="20"/>
              </w:rPr>
            </w:pPr>
            <w:r w:rsidRPr="00A012FE">
              <w:rPr>
                <w:color w:val="000000"/>
                <w:sz w:val="20"/>
                <w:szCs w:val="20"/>
              </w:rPr>
              <w:t>částka překračující stanovený limit</w:t>
            </w:r>
          </w:p>
        </w:tc>
        <w:tc>
          <w:tcPr>
            <w:tcW w:w="1470" w:type="pct"/>
            <w:shd w:val="clear" w:color="000000" w:fill="FFFFFF"/>
            <w:noWrap/>
            <w:vAlign w:val="center"/>
            <w:hideMark/>
          </w:tcPr>
          <w:p w:rsidR="00B165C2" w:rsidRPr="00A012FE" w:rsidRDefault="00B165C2" w:rsidP="007A106C">
            <w:pPr>
              <w:rPr>
                <w:color w:val="000000"/>
                <w:sz w:val="20"/>
                <w:szCs w:val="20"/>
              </w:rPr>
            </w:pPr>
            <w:r w:rsidRPr="00A012FE">
              <w:rPr>
                <w:color w:val="000000"/>
                <w:sz w:val="20"/>
                <w:szCs w:val="20"/>
              </w:rPr>
              <w:t> </w:t>
            </w:r>
          </w:p>
        </w:tc>
      </w:tr>
      <w:tr w:rsidR="00B165C2" w:rsidRPr="00A012FE" w:rsidTr="007A106C">
        <w:trPr>
          <w:trHeight w:val="750"/>
        </w:trPr>
        <w:tc>
          <w:tcPr>
            <w:tcW w:w="527" w:type="pct"/>
            <w:vMerge/>
            <w:vAlign w:val="center"/>
            <w:hideMark/>
          </w:tcPr>
          <w:p w:rsidR="00B165C2" w:rsidRPr="00A012FE" w:rsidRDefault="00B165C2" w:rsidP="007A106C">
            <w:pPr>
              <w:rPr>
                <w:color w:val="000000"/>
                <w:sz w:val="20"/>
                <w:szCs w:val="20"/>
              </w:rPr>
            </w:pPr>
          </w:p>
        </w:tc>
        <w:tc>
          <w:tcPr>
            <w:tcW w:w="349" w:type="pct"/>
            <w:shd w:val="clear" w:color="auto" w:fill="auto"/>
            <w:noWrap/>
            <w:vAlign w:val="center"/>
            <w:hideMark/>
          </w:tcPr>
          <w:p w:rsidR="00B165C2" w:rsidRPr="00A012FE" w:rsidRDefault="00B165C2" w:rsidP="007A106C">
            <w:pPr>
              <w:jc w:val="center"/>
              <w:rPr>
                <w:color w:val="000000"/>
                <w:sz w:val="20"/>
                <w:szCs w:val="20"/>
              </w:rPr>
            </w:pPr>
            <w:r w:rsidRPr="00A012FE">
              <w:rPr>
                <w:color w:val="000000"/>
                <w:sz w:val="20"/>
                <w:szCs w:val="20"/>
              </w:rPr>
              <w:t>16</w:t>
            </w:r>
          </w:p>
        </w:tc>
        <w:tc>
          <w:tcPr>
            <w:tcW w:w="1399" w:type="pct"/>
            <w:shd w:val="clear" w:color="auto" w:fill="auto"/>
            <w:vAlign w:val="center"/>
            <w:hideMark/>
          </w:tcPr>
          <w:p w:rsidR="00B165C2" w:rsidRPr="00A012FE" w:rsidRDefault="00B165C2" w:rsidP="007A106C">
            <w:pPr>
              <w:rPr>
                <w:color w:val="000000"/>
                <w:sz w:val="20"/>
                <w:szCs w:val="20"/>
              </w:rPr>
            </w:pPr>
            <w:r w:rsidRPr="00A012FE">
              <w:rPr>
                <w:color w:val="000000"/>
                <w:sz w:val="20"/>
                <w:szCs w:val="20"/>
              </w:rPr>
              <w:t>Nezřízení zvláštního bankovního účtu finančního partnera – pokud byla zjednána náprava.</w:t>
            </w:r>
          </w:p>
        </w:tc>
        <w:tc>
          <w:tcPr>
            <w:tcW w:w="558" w:type="pct"/>
            <w:shd w:val="clear" w:color="auto" w:fill="auto"/>
            <w:noWrap/>
            <w:vAlign w:val="center"/>
            <w:hideMark/>
          </w:tcPr>
          <w:p w:rsidR="00B165C2" w:rsidRPr="00A012FE" w:rsidRDefault="00B165C2" w:rsidP="007A106C">
            <w:pPr>
              <w:rPr>
                <w:color w:val="000000"/>
                <w:sz w:val="20"/>
                <w:szCs w:val="20"/>
              </w:rPr>
            </w:pPr>
            <w:r w:rsidRPr="00A012FE">
              <w:rPr>
                <w:color w:val="000000"/>
                <w:sz w:val="20"/>
                <w:szCs w:val="20"/>
              </w:rPr>
              <w:t>95 – 99%</w:t>
            </w:r>
          </w:p>
        </w:tc>
        <w:tc>
          <w:tcPr>
            <w:tcW w:w="697" w:type="pct"/>
            <w:shd w:val="clear" w:color="auto" w:fill="auto"/>
            <w:noWrap/>
            <w:vAlign w:val="center"/>
            <w:hideMark/>
          </w:tcPr>
          <w:p w:rsidR="00B165C2" w:rsidRPr="00A012FE" w:rsidRDefault="00B165C2" w:rsidP="007A106C">
            <w:pPr>
              <w:rPr>
                <w:color w:val="000000"/>
                <w:sz w:val="20"/>
                <w:szCs w:val="20"/>
              </w:rPr>
            </w:pPr>
            <w:r w:rsidRPr="00A012FE">
              <w:rPr>
                <w:color w:val="000000"/>
                <w:sz w:val="20"/>
                <w:szCs w:val="20"/>
              </w:rPr>
              <w:t>dotace</w:t>
            </w:r>
          </w:p>
        </w:tc>
        <w:tc>
          <w:tcPr>
            <w:tcW w:w="1470" w:type="pct"/>
            <w:shd w:val="clear" w:color="auto" w:fill="auto"/>
            <w:noWrap/>
            <w:vAlign w:val="center"/>
            <w:hideMark/>
          </w:tcPr>
          <w:p w:rsidR="00B165C2" w:rsidRPr="00A012FE" w:rsidRDefault="00B165C2" w:rsidP="007A106C">
            <w:pPr>
              <w:rPr>
                <w:color w:val="000000"/>
                <w:sz w:val="20"/>
                <w:szCs w:val="20"/>
              </w:rPr>
            </w:pPr>
            <w:r w:rsidRPr="00A012FE">
              <w:rPr>
                <w:color w:val="000000"/>
                <w:sz w:val="20"/>
                <w:szCs w:val="20"/>
              </w:rPr>
              <w:t> </w:t>
            </w:r>
          </w:p>
        </w:tc>
      </w:tr>
      <w:tr w:rsidR="00B165C2" w:rsidRPr="00A012FE" w:rsidTr="007A106C">
        <w:trPr>
          <w:trHeight w:val="510"/>
        </w:trPr>
        <w:tc>
          <w:tcPr>
            <w:tcW w:w="527" w:type="pct"/>
            <w:vMerge/>
            <w:vAlign w:val="center"/>
            <w:hideMark/>
          </w:tcPr>
          <w:p w:rsidR="00B165C2" w:rsidRPr="00A012FE" w:rsidRDefault="00B165C2" w:rsidP="007A106C">
            <w:pPr>
              <w:rPr>
                <w:color w:val="000000"/>
                <w:sz w:val="20"/>
                <w:szCs w:val="20"/>
              </w:rPr>
            </w:pPr>
          </w:p>
        </w:tc>
        <w:tc>
          <w:tcPr>
            <w:tcW w:w="349" w:type="pct"/>
            <w:shd w:val="clear" w:color="auto" w:fill="auto"/>
            <w:noWrap/>
            <w:vAlign w:val="center"/>
            <w:hideMark/>
          </w:tcPr>
          <w:p w:rsidR="00B165C2" w:rsidRPr="00A012FE" w:rsidRDefault="00B165C2" w:rsidP="007A106C">
            <w:pPr>
              <w:jc w:val="center"/>
              <w:rPr>
                <w:color w:val="000000"/>
                <w:sz w:val="20"/>
                <w:szCs w:val="20"/>
              </w:rPr>
            </w:pPr>
            <w:r w:rsidRPr="00A012FE">
              <w:rPr>
                <w:color w:val="000000"/>
                <w:sz w:val="20"/>
                <w:szCs w:val="20"/>
              </w:rPr>
              <w:t>17</w:t>
            </w:r>
          </w:p>
        </w:tc>
        <w:tc>
          <w:tcPr>
            <w:tcW w:w="1399" w:type="pct"/>
            <w:shd w:val="clear" w:color="auto" w:fill="auto"/>
            <w:vAlign w:val="center"/>
            <w:hideMark/>
          </w:tcPr>
          <w:p w:rsidR="00B165C2" w:rsidRPr="00A012FE" w:rsidRDefault="00B165C2" w:rsidP="007A106C">
            <w:pPr>
              <w:rPr>
                <w:color w:val="000000"/>
                <w:sz w:val="20"/>
                <w:szCs w:val="20"/>
              </w:rPr>
            </w:pPr>
            <w:r w:rsidRPr="00A012FE">
              <w:rPr>
                <w:color w:val="000000"/>
                <w:sz w:val="20"/>
                <w:szCs w:val="20"/>
              </w:rPr>
              <w:t>Nezřízení zvláštního bankovního účtu příjemce – pokud byla zjednána náprava.</w:t>
            </w:r>
          </w:p>
        </w:tc>
        <w:tc>
          <w:tcPr>
            <w:tcW w:w="558" w:type="pct"/>
            <w:shd w:val="clear" w:color="auto" w:fill="auto"/>
            <w:noWrap/>
            <w:vAlign w:val="center"/>
            <w:hideMark/>
          </w:tcPr>
          <w:p w:rsidR="00B165C2" w:rsidRPr="00A012FE" w:rsidRDefault="00B165C2" w:rsidP="007A106C">
            <w:pPr>
              <w:rPr>
                <w:color w:val="000000"/>
                <w:sz w:val="20"/>
                <w:szCs w:val="20"/>
              </w:rPr>
            </w:pPr>
            <w:r w:rsidRPr="00A012FE">
              <w:rPr>
                <w:color w:val="000000"/>
                <w:sz w:val="20"/>
                <w:szCs w:val="20"/>
              </w:rPr>
              <w:t>95 – 99 %</w:t>
            </w:r>
          </w:p>
        </w:tc>
        <w:tc>
          <w:tcPr>
            <w:tcW w:w="697" w:type="pct"/>
            <w:shd w:val="clear" w:color="auto" w:fill="auto"/>
            <w:vAlign w:val="center"/>
            <w:hideMark/>
          </w:tcPr>
          <w:p w:rsidR="00B165C2" w:rsidRPr="00A012FE" w:rsidRDefault="00B165C2" w:rsidP="007A106C">
            <w:pPr>
              <w:rPr>
                <w:color w:val="000000"/>
                <w:sz w:val="20"/>
                <w:szCs w:val="20"/>
              </w:rPr>
            </w:pPr>
            <w:r w:rsidRPr="00A012FE">
              <w:rPr>
                <w:color w:val="000000"/>
                <w:sz w:val="20"/>
                <w:szCs w:val="20"/>
              </w:rPr>
              <w:t>dotace</w:t>
            </w:r>
          </w:p>
        </w:tc>
        <w:tc>
          <w:tcPr>
            <w:tcW w:w="1470" w:type="pct"/>
            <w:shd w:val="clear" w:color="auto" w:fill="auto"/>
            <w:noWrap/>
            <w:vAlign w:val="center"/>
            <w:hideMark/>
          </w:tcPr>
          <w:p w:rsidR="00B165C2" w:rsidRPr="00A012FE" w:rsidRDefault="00B165C2" w:rsidP="007A106C">
            <w:pPr>
              <w:rPr>
                <w:color w:val="000000"/>
                <w:sz w:val="20"/>
                <w:szCs w:val="20"/>
              </w:rPr>
            </w:pPr>
            <w:r w:rsidRPr="00A012FE">
              <w:rPr>
                <w:color w:val="000000"/>
                <w:sz w:val="20"/>
                <w:szCs w:val="20"/>
              </w:rPr>
              <w:t> </w:t>
            </w:r>
          </w:p>
        </w:tc>
      </w:tr>
      <w:tr w:rsidR="00B165C2" w:rsidRPr="00A012FE" w:rsidTr="007A106C">
        <w:trPr>
          <w:trHeight w:val="255"/>
        </w:trPr>
        <w:tc>
          <w:tcPr>
            <w:tcW w:w="527" w:type="pct"/>
            <w:vMerge/>
            <w:vAlign w:val="center"/>
            <w:hideMark/>
          </w:tcPr>
          <w:p w:rsidR="00B165C2" w:rsidRPr="00A012FE" w:rsidRDefault="00B165C2" w:rsidP="007A106C">
            <w:pPr>
              <w:rPr>
                <w:color w:val="000000"/>
                <w:sz w:val="20"/>
                <w:szCs w:val="20"/>
              </w:rPr>
            </w:pPr>
          </w:p>
        </w:tc>
        <w:tc>
          <w:tcPr>
            <w:tcW w:w="349" w:type="pct"/>
            <w:shd w:val="clear" w:color="auto" w:fill="auto"/>
            <w:noWrap/>
            <w:vAlign w:val="center"/>
            <w:hideMark/>
          </w:tcPr>
          <w:p w:rsidR="00B165C2" w:rsidRPr="00A012FE" w:rsidRDefault="00B165C2" w:rsidP="007A106C">
            <w:pPr>
              <w:jc w:val="center"/>
              <w:rPr>
                <w:color w:val="000000"/>
                <w:sz w:val="20"/>
                <w:szCs w:val="20"/>
              </w:rPr>
            </w:pPr>
            <w:r w:rsidRPr="00A012FE">
              <w:rPr>
                <w:color w:val="000000"/>
                <w:sz w:val="20"/>
                <w:szCs w:val="20"/>
              </w:rPr>
              <w:t>18</w:t>
            </w:r>
          </w:p>
        </w:tc>
        <w:tc>
          <w:tcPr>
            <w:tcW w:w="1399" w:type="pct"/>
            <w:shd w:val="clear" w:color="auto" w:fill="auto"/>
            <w:vAlign w:val="center"/>
            <w:hideMark/>
          </w:tcPr>
          <w:p w:rsidR="00B165C2" w:rsidRPr="00A012FE" w:rsidRDefault="00B165C2" w:rsidP="007A106C">
            <w:pPr>
              <w:rPr>
                <w:color w:val="000000"/>
                <w:sz w:val="20"/>
                <w:szCs w:val="20"/>
              </w:rPr>
            </w:pPr>
            <w:r w:rsidRPr="00A012FE">
              <w:rPr>
                <w:color w:val="000000"/>
                <w:sz w:val="20"/>
                <w:szCs w:val="20"/>
              </w:rPr>
              <w:t>Nevrácení přeplatku z finančního vypořádání.</w:t>
            </w:r>
          </w:p>
        </w:tc>
        <w:tc>
          <w:tcPr>
            <w:tcW w:w="558" w:type="pct"/>
            <w:shd w:val="clear" w:color="auto" w:fill="auto"/>
            <w:noWrap/>
            <w:vAlign w:val="center"/>
            <w:hideMark/>
          </w:tcPr>
          <w:p w:rsidR="00B165C2" w:rsidRPr="00A012FE" w:rsidRDefault="00B165C2" w:rsidP="007A106C">
            <w:pPr>
              <w:rPr>
                <w:color w:val="000000"/>
                <w:sz w:val="20"/>
                <w:szCs w:val="20"/>
              </w:rPr>
            </w:pPr>
            <w:r w:rsidRPr="00A012FE">
              <w:rPr>
                <w:color w:val="000000"/>
                <w:sz w:val="20"/>
                <w:szCs w:val="20"/>
              </w:rPr>
              <w:t>0 %</w:t>
            </w:r>
          </w:p>
        </w:tc>
        <w:tc>
          <w:tcPr>
            <w:tcW w:w="697" w:type="pct"/>
            <w:shd w:val="clear" w:color="auto" w:fill="auto"/>
            <w:vAlign w:val="center"/>
            <w:hideMark/>
          </w:tcPr>
          <w:p w:rsidR="00B165C2" w:rsidRPr="00A012FE" w:rsidRDefault="00B165C2" w:rsidP="007A106C">
            <w:pPr>
              <w:rPr>
                <w:color w:val="000000"/>
                <w:sz w:val="20"/>
                <w:szCs w:val="20"/>
              </w:rPr>
            </w:pPr>
            <w:r w:rsidRPr="00A012FE">
              <w:rPr>
                <w:color w:val="000000"/>
                <w:sz w:val="20"/>
                <w:szCs w:val="20"/>
              </w:rPr>
              <w:t>částka přeplatku</w:t>
            </w:r>
          </w:p>
        </w:tc>
        <w:tc>
          <w:tcPr>
            <w:tcW w:w="1470" w:type="pct"/>
            <w:shd w:val="clear" w:color="auto" w:fill="auto"/>
            <w:noWrap/>
            <w:vAlign w:val="center"/>
            <w:hideMark/>
          </w:tcPr>
          <w:p w:rsidR="00B165C2" w:rsidRPr="00A012FE" w:rsidRDefault="00B165C2" w:rsidP="007A106C">
            <w:pPr>
              <w:rPr>
                <w:color w:val="000000"/>
                <w:sz w:val="20"/>
                <w:szCs w:val="20"/>
              </w:rPr>
            </w:pPr>
            <w:r w:rsidRPr="00A012FE">
              <w:rPr>
                <w:color w:val="000000"/>
                <w:sz w:val="20"/>
                <w:szCs w:val="20"/>
              </w:rPr>
              <w:t> </w:t>
            </w:r>
          </w:p>
        </w:tc>
      </w:tr>
      <w:tr w:rsidR="00B165C2" w:rsidRPr="00A012FE" w:rsidTr="007A106C">
        <w:trPr>
          <w:trHeight w:val="1020"/>
        </w:trPr>
        <w:tc>
          <w:tcPr>
            <w:tcW w:w="527" w:type="pct"/>
            <w:vMerge/>
            <w:vAlign w:val="center"/>
            <w:hideMark/>
          </w:tcPr>
          <w:p w:rsidR="00B165C2" w:rsidRPr="00A012FE" w:rsidRDefault="00B165C2" w:rsidP="007A106C">
            <w:pPr>
              <w:rPr>
                <w:color w:val="000000"/>
                <w:sz w:val="20"/>
                <w:szCs w:val="20"/>
              </w:rPr>
            </w:pPr>
          </w:p>
        </w:tc>
        <w:tc>
          <w:tcPr>
            <w:tcW w:w="349" w:type="pct"/>
            <w:vMerge w:val="restart"/>
            <w:shd w:val="clear" w:color="auto" w:fill="auto"/>
            <w:noWrap/>
            <w:vAlign w:val="center"/>
            <w:hideMark/>
          </w:tcPr>
          <w:p w:rsidR="00B165C2" w:rsidRPr="00A012FE" w:rsidRDefault="00B165C2" w:rsidP="007A106C">
            <w:pPr>
              <w:jc w:val="center"/>
              <w:rPr>
                <w:color w:val="000000"/>
                <w:sz w:val="20"/>
                <w:szCs w:val="20"/>
              </w:rPr>
            </w:pPr>
            <w:r w:rsidRPr="00A012FE">
              <w:rPr>
                <w:color w:val="000000"/>
                <w:sz w:val="20"/>
                <w:szCs w:val="20"/>
              </w:rPr>
              <w:t>19</w:t>
            </w:r>
          </w:p>
        </w:tc>
        <w:tc>
          <w:tcPr>
            <w:tcW w:w="1399" w:type="pct"/>
            <w:vMerge w:val="restart"/>
            <w:shd w:val="clear" w:color="auto" w:fill="auto"/>
            <w:vAlign w:val="center"/>
            <w:hideMark/>
          </w:tcPr>
          <w:p w:rsidR="00B165C2" w:rsidRPr="00A012FE" w:rsidRDefault="00B165C2" w:rsidP="007A106C">
            <w:pPr>
              <w:rPr>
                <w:color w:val="000000"/>
                <w:sz w:val="20"/>
                <w:szCs w:val="20"/>
              </w:rPr>
            </w:pPr>
            <w:r w:rsidRPr="00A012FE">
              <w:rPr>
                <w:color w:val="000000"/>
                <w:sz w:val="20"/>
                <w:szCs w:val="20"/>
              </w:rPr>
              <w:t>Nezajištění povinné udržitelnosti projektu.</w:t>
            </w:r>
          </w:p>
        </w:tc>
        <w:tc>
          <w:tcPr>
            <w:tcW w:w="558" w:type="pct"/>
            <w:vMerge w:val="restart"/>
            <w:shd w:val="clear" w:color="auto" w:fill="auto"/>
            <w:noWrap/>
            <w:vAlign w:val="center"/>
            <w:hideMark/>
          </w:tcPr>
          <w:p w:rsidR="00B165C2" w:rsidRPr="00A012FE" w:rsidRDefault="00B165C2" w:rsidP="007A106C">
            <w:pPr>
              <w:rPr>
                <w:color w:val="000000"/>
                <w:sz w:val="20"/>
                <w:szCs w:val="20"/>
              </w:rPr>
            </w:pPr>
            <w:r w:rsidRPr="00A012FE">
              <w:rPr>
                <w:color w:val="000000"/>
                <w:sz w:val="20"/>
                <w:szCs w:val="20"/>
              </w:rPr>
              <w:t>0 – 99 %</w:t>
            </w:r>
          </w:p>
        </w:tc>
        <w:tc>
          <w:tcPr>
            <w:tcW w:w="697" w:type="pct"/>
            <w:vMerge w:val="restart"/>
            <w:shd w:val="clear" w:color="auto" w:fill="auto"/>
            <w:vAlign w:val="center"/>
            <w:hideMark/>
          </w:tcPr>
          <w:p w:rsidR="00B165C2" w:rsidRPr="00A012FE" w:rsidRDefault="00B165C2" w:rsidP="007A106C">
            <w:pPr>
              <w:rPr>
                <w:color w:val="000000"/>
                <w:sz w:val="20"/>
                <w:szCs w:val="20"/>
              </w:rPr>
            </w:pPr>
            <w:r w:rsidRPr="00A012FE">
              <w:rPr>
                <w:color w:val="000000"/>
                <w:sz w:val="20"/>
                <w:szCs w:val="20"/>
              </w:rPr>
              <w:t>dotace</w:t>
            </w:r>
          </w:p>
        </w:tc>
        <w:tc>
          <w:tcPr>
            <w:tcW w:w="1470" w:type="pct"/>
            <w:shd w:val="clear" w:color="auto" w:fill="auto"/>
            <w:vAlign w:val="center"/>
            <w:hideMark/>
          </w:tcPr>
          <w:p w:rsidR="00B165C2" w:rsidRPr="00A012FE" w:rsidRDefault="00B165C2" w:rsidP="007A106C">
            <w:pPr>
              <w:rPr>
                <w:color w:val="000000"/>
                <w:sz w:val="20"/>
                <w:szCs w:val="20"/>
              </w:rPr>
            </w:pPr>
            <w:r w:rsidRPr="00A012FE">
              <w:rPr>
                <w:color w:val="000000"/>
                <w:sz w:val="20"/>
                <w:szCs w:val="20"/>
              </w:rPr>
              <w:t>Bod bude použit v případě porušení povinnosti udržitelnosti stanovené poskytovatelem.</w:t>
            </w:r>
          </w:p>
        </w:tc>
      </w:tr>
      <w:tr w:rsidR="00B165C2" w:rsidRPr="00A012FE" w:rsidTr="007A106C">
        <w:trPr>
          <w:trHeight w:val="1530"/>
        </w:trPr>
        <w:tc>
          <w:tcPr>
            <w:tcW w:w="527" w:type="pct"/>
            <w:vMerge/>
            <w:vAlign w:val="center"/>
            <w:hideMark/>
          </w:tcPr>
          <w:p w:rsidR="00B165C2" w:rsidRPr="00A012FE" w:rsidRDefault="00B165C2" w:rsidP="007A106C">
            <w:pPr>
              <w:rPr>
                <w:color w:val="000000"/>
                <w:sz w:val="20"/>
                <w:szCs w:val="20"/>
              </w:rPr>
            </w:pPr>
          </w:p>
        </w:tc>
        <w:tc>
          <w:tcPr>
            <w:tcW w:w="349" w:type="pct"/>
            <w:vMerge/>
            <w:vAlign w:val="center"/>
            <w:hideMark/>
          </w:tcPr>
          <w:p w:rsidR="00B165C2" w:rsidRPr="00A012FE" w:rsidRDefault="00B165C2" w:rsidP="007A106C">
            <w:pPr>
              <w:rPr>
                <w:color w:val="000000"/>
                <w:sz w:val="20"/>
                <w:szCs w:val="20"/>
              </w:rPr>
            </w:pPr>
          </w:p>
        </w:tc>
        <w:tc>
          <w:tcPr>
            <w:tcW w:w="1399" w:type="pct"/>
            <w:vMerge/>
            <w:vAlign w:val="center"/>
            <w:hideMark/>
          </w:tcPr>
          <w:p w:rsidR="00B165C2" w:rsidRPr="00A012FE" w:rsidRDefault="00B165C2" w:rsidP="007A106C">
            <w:pPr>
              <w:rPr>
                <w:color w:val="000000"/>
                <w:sz w:val="20"/>
                <w:szCs w:val="20"/>
              </w:rPr>
            </w:pPr>
          </w:p>
        </w:tc>
        <w:tc>
          <w:tcPr>
            <w:tcW w:w="558" w:type="pct"/>
            <w:vMerge/>
            <w:vAlign w:val="center"/>
            <w:hideMark/>
          </w:tcPr>
          <w:p w:rsidR="00B165C2" w:rsidRPr="00A012FE" w:rsidRDefault="00B165C2" w:rsidP="007A106C">
            <w:pPr>
              <w:rPr>
                <w:color w:val="000000"/>
                <w:sz w:val="20"/>
                <w:szCs w:val="20"/>
              </w:rPr>
            </w:pPr>
          </w:p>
        </w:tc>
        <w:tc>
          <w:tcPr>
            <w:tcW w:w="697" w:type="pct"/>
            <w:vMerge/>
            <w:vAlign w:val="center"/>
            <w:hideMark/>
          </w:tcPr>
          <w:p w:rsidR="00B165C2" w:rsidRPr="00A012FE" w:rsidRDefault="00B165C2" w:rsidP="007A106C">
            <w:pPr>
              <w:rPr>
                <w:color w:val="000000"/>
                <w:sz w:val="20"/>
                <w:szCs w:val="20"/>
              </w:rPr>
            </w:pPr>
          </w:p>
        </w:tc>
        <w:tc>
          <w:tcPr>
            <w:tcW w:w="1470" w:type="pct"/>
            <w:shd w:val="clear" w:color="auto" w:fill="auto"/>
            <w:vAlign w:val="center"/>
            <w:hideMark/>
          </w:tcPr>
          <w:p w:rsidR="00B165C2" w:rsidRPr="00A012FE" w:rsidRDefault="00B165C2" w:rsidP="007A106C">
            <w:pPr>
              <w:rPr>
                <w:color w:val="000000"/>
                <w:sz w:val="20"/>
                <w:szCs w:val="20"/>
              </w:rPr>
            </w:pPr>
            <w:r w:rsidRPr="00A012FE">
              <w:rPr>
                <w:color w:val="000000"/>
                <w:sz w:val="20"/>
                <w:szCs w:val="20"/>
              </w:rPr>
              <w:t xml:space="preserve">Prominutí je však nepřípustné, pokud se jedná o nedodržení povinnosti zachování stálosti operací dle čl. 57 nařízení rady (ES) č. 1083/2006. </w:t>
            </w:r>
          </w:p>
        </w:tc>
      </w:tr>
      <w:tr w:rsidR="00B165C2" w:rsidRPr="00A012FE" w:rsidTr="007A106C">
        <w:trPr>
          <w:trHeight w:val="1275"/>
        </w:trPr>
        <w:tc>
          <w:tcPr>
            <w:tcW w:w="527" w:type="pct"/>
            <w:vMerge/>
            <w:vAlign w:val="center"/>
            <w:hideMark/>
          </w:tcPr>
          <w:p w:rsidR="00B165C2" w:rsidRPr="00A012FE" w:rsidRDefault="00B165C2" w:rsidP="007A106C">
            <w:pPr>
              <w:rPr>
                <w:color w:val="000000"/>
                <w:sz w:val="20"/>
                <w:szCs w:val="20"/>
              </w:rPr>
            </w:pPr>
          </w:p>
        </w:tc>
        <w:tc>
          <w:tcPr>
            <w:tcW w:w="349" w:type="pct"/>
            <w:vMerge/>
            <w:vAlign w:val="center"/>
            <w:hideMark/>
          </w:tcPr>
          <w:p w:rsidR="00B165C2" w:rsidRPr="00A012FE" w:rsidRDefault="00B165C2" w:rsidP="007A106C">
            <w:pPr>
              <w:rPr>
                <w:color w:val="000000"/>
                <w:sz w:val="20"/>
                <w:szCs w:val="20"/>
              </w:rPr>
            </w:pPr>
          </w:p>
        </w:tc>
        <w:tc>
          <w:tcPr>
            <w:tcW w:w="1399" w:type="pct"/>
            <w:vMerge/>
            <w:vAlign w:val="center"/>
            <w:hideMark/>
          </w:tcPr>
          <w:p w:rsidR="00B165C2" w:rsidRPr="00A012FE" w:rsidRDefault="00B165C2" w:rsidP="007A106C">
            <w:pPr>
              <w:rPr>
                <w:color w:val="000000"/>
                <w:sz w:val="20"/>
                <w:szCs w:val="20"/>
              </w:rPr>
            </w:pPr>
          </w:p>
        </w:tc>
        <w:tc>
          <w:tcPr>
            <w:tcW w:w="558" w:type="pct"/>
            <w:vMerge/>
            <w:vAlign w:val="center"/>
            <w:hideMark/>
          </w:tcPr>
          <w:p w:rsidR="00B165C2" w:rsidRPr="00A012FE" w:rsidRDefault="00B165C2" w:rsidP="007A106C">
            <w:pPr>
              <w:rPr>
                <w:color w:val="000000"/>
                <w:sz w:val="20"/>
                <w:szCs w:val="20"/>
              </w:rPr>
            </w:pPr>
          </w:p>
        </w:tc>
        <w:tc>
          <w:tcPr>
            <w:tcW w:w="697" w:type="pct"/>
            <w:vMerge/>
            <w:vAlign w:val="center"/>
            <w:hideMark/>
          </w:tcPr>
          <w:p w:rsidR="00B165C2" w:rsidRPr="00A012FE" w:rsidRDefault="00B165C2" w:rsidP="007A106C">
            <w:pPr>
              <w:rPr>
                <w:color w:val="000000"/>
                <w:sz w:val="20"/>
                <w:szCs w:val="20"/>
              </w:rPr>
            </w:pPr>
          </w:p>
        </w:tc>
        <w:tc>
          <w:tcPr>
            <w:tcW w:w="1470" w:type="pct"/>
            <w:shd w:val="clear" w:color="auto" w:fill="auto"/>
            <w:vAlign w:val="center"/>
            <w:hideMark/>
          </w:tcPr>
          <w:p w:rsidR="00B165C2" w:rsidRDefault="00B165C2" w:rsidP="007A106C">
            <w:pPr>
              <w:rPr>
                <w:color w:val="000000"/>
                <w:sz w:val="20"/>
                <w:szCs w:val="20"/>
              </w:rPr>
            </w:pPr>
            <w:r w:rsidRPr="00A012FE">
              <w:rPr>
                <w:color w:val="000000"/>
                <w:sz w:val="20"/>
                <w:szCs w:val="20"/>
              </w:rPr>
              <w:t xml:space="preserve">Procento prominutí bude odpovídat procentu ze stanovené doby, po kterou byla udržitelnost naplněna. </w:t>
            </w:r>
          </w:p>
          <w:p w:rsidR="00B165C2" w:rsidRPr="00A012FE" w:rsidRDefault="00B165C2" w:rsidP="007A106C">
            <w:pPr>
              <w:rPr>
                <w:color w:val="000000"/>
                <w:sz w:val="20"/>
                <w:szCs w:val="20"/>
              </w:rPr>
            </w:pPr>
            <w:r w:rsidRPr="00A012FE">
              <w:rPr>
                <w:color w:val="000000"/>
                <w:sz w:val="20"/>
                <w:szCs w:val="20"/>
              </w:rPr>
              <w:t xml:space="preserve">Příklad: </w:t>
            </w:r>
          </w:p>
        </w:tc>
      </w:tr>
      <w:tr w:rsidR="00B165C2" w:rsidRPr="00A012FE" w:rsidTr="007A106C">
        <w:trPr>
          <w:trHeight w:val="1275"/>
        </w:trPr>
        <w:tc>
          <w:tcPr>
            <w:tcW w:w="527" w:type="pct"/>
            <w:vMerge/>
            <w:vAlign w:val="center"/>
            <w:hideMark/>
          </w:tcPr>
          <w:p w:rsidR="00B165C2" w:rsidRPr="00A012FE" w:rsidRDefault="00B165C2" w:rsidP="007A106C">
            <w:pPr>
              <w:rPr>
                <w:color w:val="000000"/>
                <w:sz w:val="20"/>
                <w:szCs w:val="20"/>
              </w:rPr>
            </w:pPr>
          </w:p>
        </w:tc>
        <w:tc>
          <w:tcPr>
            <w:tcW w:w="349" w:type="pct"/>
            <w:vMerge/>
            <w:vAlign w:val="center"/>
            <w:hideMark/>
          </w:tcPr>
          <w:p w:rsidR="00B165C2" w:rsidRPr="00A012FE" w:rsidRDefault="00B165C2" w:rsidP="007A106C">
            <w:pPr>
              <w:rPr>
                <w:color w:val="000000"/>
                <w:sz w:val="20"/>
                <w:szCs w:val="20"/>
              </w:rPr>
            </w:pPr>
          </w:p>
        </w:tc>
        <w:tc>
          <w:tcPr>
            <w:tcW w:w="1399" w:type="pct"/>
            <w:vMerge/>
            <w:vAlign w:val="center"/>
            <w:hideMark/>
          </w:tcPr>
          <w:p w:rsidR="00B165C2" w:rsidRPr="00A012FE" w:rsidRDefault="00B165C2" w:rsidP="007A106C">
            <w:pPr>
              <w:rPr>
                <w:color w:val="000000"/>
                <w:sz w:val="20"/>
                <w:szCs w:val="20"/>
              </w:rPr>
            </w:pPr>
          </w:p>
        </w:tc>
        <w:tc>
          <w:tcPr>
            <w:tcW w:w="558" w:type="pct"/>
            <w:vMerge/>
            <w:vAlign w:val="center"/>
            <w:hideMark/>
          </w:tcPr>
          <w:p w:rsidR="00B165C2" w:rsidRPr="00A012FE" w:rsidRDefault="00B165C2" w:rsidP="007A106C">
            <w:pPr>
              <w:rPr>
                <w:color w:val="000000"/>
                <w:sz w:val="20"/>
                <w:szCs w:val="20"/>
              </w:rPr>
            </w:pPr>
          </w:p>
        </w:tc>
        <w:tc>
          <w:tcPr>
            <w:tcW w:w="697" w:type="pct"/>
            <w:vMerge/>
            <w:vAlign w:val="center"/>
            <w:hideMark/>
          </w:tcPr>
          <w:p w:rsidR="00B165C2" w:rsidRPr="00A012FE" w:rsidRDefault="00B165C2" w:rsidP="007A106C">
            <w:pPr>
              <w:rPr>
                <w:color w:val="000000"/>
                <w:sz w:val="20"/>
                <w:szCs w:val="20"/>
              </w:rPr>
            </w:pPr>
          </w:p>
        </w:tc>
        <w:tc>
          <w:tcPr>
            <w:tcW w:w="1470" w:type="pct"/>
            <w:shd w:val="clear" w:color="auto" w:fill="auto"/>
            <w:vAlign w:val="center"/>
            <w:hideMark/>
          </w:tcPr>
          <w:p w:rsidR="00B165C2" w:rsidRPr="00A012FE" w:rsidRDefault="00B165C2" w:rsidP="007A106C">
            <w:pPr>
              <w:rPr>
                <w:color w:val="000000"/>
                <w:sz w:val="20"/>
                <w:szCs w:val="20"/>
              </w:rPr>
            </w:pPr>
            <w:r w:rsidRPr="00A012FE">
              <w:rPr>
                <w:color w:val="000000"/>
                <w:sz w:val="20"/>
                <w:szCs w:val="20"/>
              </w:rPr>
              <w:t>Udržitelnost stanovena v délce 4 roky. Udržitelnost byla příjemcem zajištěna pouze po dobu 1 roku. Prominutí tedy činí 25 %.</w:t>
            </w:r>
          </w:p>
        </w:tc>
      </w:tr>
      <w:tr w:rsidR="00B165C2" w:rsidRPr="00A012FE" w:rsidTr="007A106C">
        <w:trPr>
          <w:trHeight w:val="1020"/>
        </w:trPr>
        <w:tc>
          <w:tcPr>
            <w:tcW w:w="527" w:type="pct"/>
            <w:vMerge/>
            <w:vAlign w:val="center"/>
            <w:hideMark/>
          </w:tcPr>
          <w:p w:rsidR="00B165C2" w:rsidRPr="00A012FE" w:rsidRDefault="00B165C2" w:rsidP="007A106C">
            <w:pPr>
              <w:rPr>
                <w:color w:val="000000"/>
                <w:sz w:val="20"/>
                <w:szCs w:val="20"/>
              </w:rPr>
            </w:pPr>
          </w:p>
        </w:tc>
        <w:tc>
          <w:tcPr>
            <w:tcW w:w="349" w:type="pct"/>
            <w:vMerge/>
            <w:vAlign w:val="center"/>
            <w:hideMark/>
          </w:tcPr>
          <w:p w:rsidR="00B165C2" w:rsidRPr="00A012FE" w:rsidRDefault="00B165C2" w:rsidP="007A106C">
            <w:pPr>
              <w:rPr>
                <w:color w:val="000000"/>
                <w:sz w:val="20"/>
                <w:szCs w:val="20"/>
              </w:rPr>
            </w:pPr>
          </w:p>
        </w:tc>
        <w:tc>
          <w:tcPr>
            <w:tcW w:w="1399" w:type="pct"/>
            <w:vMerge/>
            <w:vAlign w:val="center"/>
            <w:hideMark/>
          </w:tcPr>
          <w:p w:rsidR="00B165C2" w:rsidRPr="00A012FE" w:rsidRDefault="00B165C2" w:rsidP="007A106C">
            <w:pPr>
              <w:rPr>
                <w:color w:val="000000"/>
                <w:sz w:val="20"/>
                <w:szCs w:val="20"/>
              </w:rPr>
            </w:pPr>
          </w:p>
        </w:tc>
        <w:tc>
          <w:tcPr>
            <w:tcW w:w="558" w:type="pct"/>
            <w:vMerge/>
            <w:vAlign w:val="center"/>
            <w:hideMark/>
          </w:tcPr>
          <w:p w:rsidR="00B165C2" w:rsidRPr="00A012FE" w:rsidRDefault="00B165C2" w:rsidP="007A106C">
            <w:pPr>
              <w:rPr>
                <w:color w:val="000000"/>
                <w:sz w:val="20"/>
                <w:szCs w:val="20"/>
              </w:rPr>
            </w:pPr>
          </w:p>
        </w:tc>
        <w:tc>
          <w:tcPr>
            <w:tcW w:w="697" w:type="pct"/>
            <w:vMerge/>
            <w:vAlign w:val="center"/>
            <w:hideMark/>
          </w:tcPr>
          <w:p w:rsidR="00B165C2" w:rsidRPr="00A012FE" w:rsidRDefault="00B165C2" w:rsidP="007A106C">
            <w:pPr>
              <w:rPr>
                <w:color w:val="000000"/>
                <w:sz w:val="20"/>
                <w:szCs w:val="20"/>
              </w:rPr>
            </w:pPr>
          </w:p>
        </w:tc>
        <w:tc>
          <w:tcPr>
            <w:tcW w:w="1470" w:type="pct"/>
            <w:shd w:val="clear" w:color="auto" w:fill="auto"/>
            <w:vAlign w:val="center"/>
            <w:hideMark/>
          </w:tcPr>
          <w:p w:rsidR="00B165C2" w:rsidRPr="00A012FE" w:rsidRDefault="00B165C2" w:rsidP="007A106C">
            <w:pPr>
              <w:rPr>
                <w:color w:val="000000"/>
                <w:sz w:val="20"/>
                <w:szCs w:val="20"/>
              </w:rPr>
            </w:pPr>
            <w:r>
              <w:rPr>
                <w:color w:val="000000"/>
                <w:sz w:val="20"/>
                <w:szCs w:val="20"/>
              </w:rPr>
              <w:t>Z věcného hlediska, je-</w:t>
            </w:r>
            <w:r w:rsidRPr="00A012FE">
              <w:rPr>
                <w:color w:val="000000"/>
                <w:sz w:val="20"/>
                <w:szCs w:val="20"/>
              </w:rPr>
              <w:t xml:space="preserve">li udržitelnost plněna jen částečně, užije se obdobný postup. </w:t>
            </w:r>
          </w:p>
        </w:tc>
      </w:tr>
      <w:tr w:rsidR="00B165C2" w:rsidRPr="00A012FE" w:rsidTr="007A106C">
        <w:trPr>
          <w:trHeight w:val="255"/>
        </w:trPr>
        <w:tc>
          <w:tcPr>
            <w:tcW w:w="527" w:type="pct"/>
            <w:vMerge/>
            <w:vAlign w:val="center"/>
            <w:hideMark/>
          </w:tcPr>
          <w:p w:rsidR="00B165C2" w:rsidRPr="00A012FE" w:rsidRDefault="00B165C2" w:rsidP="007A106C">
            <w:pPr>
              <w:rPr>
                <w:color w:val="000000"/>
                <w:sz w:val="20"/>
                <w:szCs w:val="20"/>
              </w:rPr>
            </w:pPr>
          </w:p>
        </w:tc>
        <w:tc>
          <w:tcPr>
            <w:tcW w:w="349" w:type="pct"/>
            <w:vMerge/>
            <w:vAlign w:val="center"/>
            <w:hideMark/>
          </w:tcPr>
          <w:p w:rsidR="00B165C2" w:rsidRPr="00A012FE" w:rsidRDefault="00B165C2" w:rsidP="007A106C">
            <w:pPr>
              <w:rPr>
                <w:color w:val="000000"/>
                <w:sz w:val="20"/>
                <w:szCs w:val="20"/>
              </w:rPr>
            </w:pPr>
          </w:p>
        </w:tc>
        <w:tc>
          <w:tcPr>
            <w:tcW w:w="1399" w:type="pct"/>
            <w:vMerge/>
            <w:vAlign w:val="center"/>
            <w:hideMark/>
          </w:tcPr>
          <w:p w:rsidR="00B165C2" w:rsidRPr="00A012FE" w:rsidRDefault="00B165C2" w:rsidP="007A106C">
            <w:pPr>
              <w:rPr>
                <w:color w:val="000000"/>
                <w:sz w:val="20"/>
                <w:szCs w:val="20"/>
              </w:rPr>
            </w:pPr>
          </w:p>
        </w:tc>
        <w:tc>
          <w:tcPr>
            <w:tcW w:w="558" w:type="pct"/>
            <w:vMerge/>
            <w:vAlign w:val="center"/>
            <w:hideMark/>
          </w:tcPr>
          <w:p w:rsidR="00B165C2" w:rsidRPr="00A012FE" w:rsidRDefault="00B165C2" w:rsidP="007A106C">
            <w:pPr>
              <w:rPr>
                <w:color w:val="000000"/>
                <w:sz w:val="20"/>
                <w:szCs w:val="20"/>
              </w:rPr>
            </w:pPr>
          </w:p>
        </w:tc>
        <w:tc>
          <w:tcPr>
            <w:tcW w:w="697" w:type="pct"/>
            <w:vMerge/>
            <w:vAlign w:val="center"/>
            <w:hideMark/>
          </w:tcPr>
          <w:p w:rsidR="00B165C2" w:rsidRPr="00A012FE" w:rsidRDefault="00B165C2" w:rsidP="007A106C">
            <w:pPr>
              <w:rPr>
                <w:color w:val="000000"/>
                <w:sz w:val="20"/>
                <w:szCs w:val="20"/>
              </w:rPr>
            </w:pPr>
          </w:p>
        </w:tc>
        <w:tc>
          <w:tcPr>
            <w:tcW w:w="1470" w:type="pct"/>
            <w:shd w:val="clear" w:color="auto" w:fill="auto"/>
            <w:vAlign w:val="center"/>
            <w:hideMark/>
          </w:tcPr>
          <w:p w:rsidR="00B165C2" w:rsidRPr="00A012FE" w:rsidRDefault="00B165C2" w:rsidP="007A106C">
            <w:pPr>
              <w:rPr>
                <w:color w:val="000000"/>
                <w:sz w:val="20"/>
                <w:szCs w:val="20"/>
              </w:rPr>
            </w:pPr>
            <w:r w:rsidRPr="00A012FE">
              <w:rPr>
                <w:color w:val="000000"/>
                <w:sz w:val="20"/>
                <w:szCs w:val="20"/>
              </w:rPr>
              <w:t>Příklad:</w:t>
            </w:r>
          </w:p>
        </w:tc>
      </w:tr>
      <w:tr w:rsidR="00B165C2" w:rsidRPr="00A012FE" w:rsidTr="007A106C">
        <w:trPr>
          <w:trHeight w:val="1275"/>
        </w:trPr>
        <w:tc>
          <w:tcPr>
            <w:tcW w:w="527" w:type="pct"/>
            <w:vMerge/>
            <w:vAlign w:val="center"/>
            <w:hideMark/>
          </w:tcPr>
          <w:p w:rsidR="00B165C2" w:rsidRPr="00A012FE" w:rsidRDefault="00B165C2" w:rsidP="007A106C">
            <w:pPr>
              <w:rPr>
                <w:color w:val="000000"/>
                <w:sz w:val="20"/>
                <w:szCs w:val="20"/>
              </w:rPr>
            </w:pPr>
          </w:p>
        </w:tc>
        <w:tc>
          <w:tcPr>
            <w:tcW w:w="349" w:type="pct"/>
            <w:vMerge/>
            <w:vAlign w:val="center"/>
            <w:hideMark/>
          </w:tcPr>
          <w:p w:rsidR="00B165C2" w:rsidRPr="00A012FE" w:rsidRDefault="00B165C2" w:rsidP="007A106C">
            <w:pPr>
              <w:rPr>
                <w:color w:val="000000"/>
                <w:sz w:val="20"/>
                <w:szCs w:val="20"/>
              </w:rPr>
            </w:pPr>
          </w:p>
        </w:tc>
        <w:tc>
          <w:tcPr>
            <w:tcW w:w="1399" w:type="pct"/>
            <w:vMerge/>
            <w:vAlign w:val="center"/>
            <w:hideMark/>
          </w:tcPr>
          <w:p w:rsidR="00B165C2" w:rsidRPr="00A012FE" w:rsidRDefault="00B165C2" w:rsidP="007A106C">
            <w:pPr>
              <w:rPr>
                <w:color w:val="000000"/>
                <w:sz w:val="20"/>
                <w:szCs w:val="20"/>
              </w:rPr>
            </w:pPr>
          </w:p>
        </w:tc>
        <w:tc>
          <w:tcPr>
            <w:tcW w:w="558" w:type="pct"/>
            <w:vMerge/>
            <w:vAlign w:val="center"/>
            <w:hideMark/>
          </w:tcPr>
          <w:p w:rsidR="00B165C2" w:rsidRPr="00A012FE" w:rsidRDefault="00B165C2" w:rsidP="007A106C">
            <w:pPr>
              <w:rPr>
                <w:color w:val="000000"/>
                <w:sz w:val="20"/>
                <w:szCs w:val="20"/>
              </w:rPr>
            </w:pPr>
          </w:p>
        </w:tc>
        <w:tc>
          <w:tcPr>
            <w:tcW w:w="697" w:type="pct"/>
            <w:vMerge/>
            <w:vAlign w:val="center"/>
            <w:hideMark/>
          </w:tcPr>
          <w:p w:rsidR="00B165C2" w:rsidRPr="00A012FE" w:rsidRDefault="00B165C2" w:rsidP="007A106C">
            <w:pPr>
              <w:rPr>
                <w:color w:val="000000"/>
                <w:sz w:val="20"/>
                <w:szCs w:val="20"/>
              </w:rPr>
            </w:pPr>
          </w:p>
        </w:tc>
        <w:tc>
          <w:tcPr>
            <w:tcW w:w="1470" w:type="pct"/>
            <w:shd w:val="clear" w:color="auto" w:fill="auto"/>
            <w:vAlign w:val="center"/>
            <w:hideMark/>
          </w:tcPr>
          <w:p w:rsidR="00B165C2" w:rsidRPr="00A012FE" w:rsidRDefault="00B165C2" w:rsidP="007A106C">
            <w:pPr>
              <w:rPr>
                <w:color w:val="000000"/>
                <w:sz w:val="20"/>
                <w:szCs w:val="20"/>
              </w:rPr>
            </w:pPr>
            <w:r w:rsidRPr="00A012FE">
              <w:rPr>
                <w:color w:val="000000"/>
                <w:sz w:val="20"/>
                <w:szCs w:val="20"/>
              </w:rPr>
              <w:t>Udržitelnost stanovena v délce 5 let. Příjemce se zavázal k realizaci 4 kurzů ročně, ale plní pouze 2 ročně. Prominutí činí 50 %.</w:t>
            </w:r>
          </w:p>
        </w:tc>
      </w:tr>
      <w:tr w:rsidR="00B165C2" w:rsidRPr="00A012FE" w:rsidTr="007A106C">
        <w:trPr>
          <w:trHeight w:val="2295"/>
        </w:trPr>
        <w:tc>
          <w:tcPr>
            <w:tcW w:w="527" w:type="pct"/>
            <w:shd w:val="clear" w:color="auto" w:fill="auto"/>
            <w:noWrap/>
            <w:textDirection w:val="btLr"/>
            <w:vAlign w:val="center"/>
            <w:hideMark/>
          </w:tcPr>
          <w:p w:rsidR="00B165C2" w:rsidRPr="00A012FE" w:rsidRDefault="00B165C2" w:rsidP="007A106C">
            <w:pPr>
              <w:jc w:val="center"/>
              <w:rPr>
                <w:color w:val="000000"/>
                <w:sz w:val="20"/>
                <w:szCs w:val="20"/>
              </w:rPr>
            </w:pPr>
            <w:r w:rsidRPr="00A012FE">
              <w:rPr>
                <w:color w:val="000000"/>
                <w:sz w:val="20"/>
                <w:szCs w:val="20"/>
              </w:rPr>
              <w:t>Publicita</w:t>
            </w:r>
          </w:p>
        </w:tc>
        <w:tc>
          <w:tcPr>
            <w:tcW w:w="349" w:type="pct"/>
            <w:shd w:val="clear" w:color="auto" w:fill="auto"/>
            <w:noWrap/>
            <w:vAlign w:val="center"/>
            <w:hideMark/>
          </w:tcPr>
          <w:p w:rsidR="00B165C2" w:rsidRPr="00A012FE" w:rsidRDefault="00B165C2" w:rsidP="007A106C">
            <w:pPr>
              <w:jc w:val="center"/>
              <w:rPr>
                <w:color w:val="000000"/>
                <w:sz w:val="20"/>
                <w:szCs w:val="20"/>
              </w:rPr>
            </w:pPr>
            <w:r w:rsidRPr="00A012FE">
              <w:rPr>
                <w:color w:val="000000"/>
                <w:sz w:val="20"/>
                <w:szCs w:val="20"/>
              </w:rPr>
              <w:t>20</w:t>
            </w:r>
          </w:p>
        </w:tc>
        <w:tc>
          <w:tcPr>
            <w:tcW w:w="1399" w:type="pct"/>
            <w:shd w:val="clear" w:color="auto" w:fill="auto"/>
            <w:vAlign w:val="center"/>
            <w:hideMark/>
          </w:tcPr>
          <w:p w:rsidR="00B165C2" w:rsidRPr="00A012FE" w:rsidRDefault="00B165C2" w:rsidP="007A106C">
            <w:pPr>
              <w:rPr>
                <w:color w:val="000000"/>
                <w:sz w:val="20"/>
                <w:szCs w:val="20"/>
              </w:rPr>
            </w:pPr>
            <w:r w:rsidRPr="00A012FE">
              <w:rPr>
                <w:color w:val="000000"/>
                <w:sz w:val="20"/>
                <w:szCs w:val="20"/>
              </w:rPr>
              <w:t>Porušení povinnosti zajistit informační a propagační opatření, nemá</w:t>
            </w:r>
            <w:r>
              <w:rPr>
                <w:color w:val="000000"/>
                <w:sz w:val="20"/>
                <w:szCs w:val="20"/>
              </w:rPr>
              <w:t>-</w:t>
            </w:r>
            <w:r w:rsidRPr="00A012FE">
              <w:rPr>
                <w:color w:val="000000"/>
                <w:sz w:val="20"/>
                <w:szCs w:val="20"/>
              </w:rPr>
              <w:t>li nedodržení povinnosti vliv na naplnění účelu dotace.</w:t>
            </w:r>
          </w:p>
        </w:tc>
        <w:tc>
          <w:tcPr>
            <w:tcW w:w="558" w:type="pct"/>
            <w:shd w:val="clear" w:color="auto" w:fill="auto"/>
            <w:noWrap/>
            <w:vAlign w:val="center"/>
            <w:hideMark/>
          </w:tcPr>
          <w:p w:rsidR="00B165C2" w:rsidRPr="00A012FE" w:rsidRDefault="00B165C2" w:rsidP="007A106C">
            <w:pPr>
              <w:rPr>
                <w:color w:val="000000"/>
                <w:sz w:val="20"/>
                <w:szCs w:val="20"/>
              </w:rPr>
            </w:pPr>
            <w:r w:rsidRPr="00A012FE">
              <w:rPr>
                <w:color w:val="000000"/>
                <w:sz w:val="20"/>
                <w:szCs w:val="20"/>
              </w:rPr>
              <w:t>95 – 99 %</w:t>
            </w:r>
          </w:p>
        </w:tc>
        <w:tc>
          <w:tcPr>
            <w:tcW w:w="697" w:type="pct"/>
            <w:shd w:val="clear" w:color="auto" w:fill="auto"/>
            <w:vAlign w:val="center"/>
            <w:hideMark/>
          </w:tcPr>
          <w:p w:rsidR="00B165C2" w:rsidRPr="00A012FE" w:rsidRDefault="00B165C2" w:rsidP="007A106C">
            <w:pPr>
              <w:rPr>
                <w:color w:val="000000"/>
                <w:sz w:val="20"/>
                <w:szCs w:val="20"/>
              </w:rPr>
            </w:pPr>
            <w:r w:rsidRPr="00A012FE">
              <w:rPr>
                <w:color w:val="000000"/>
                <w:sz w:val="20"/>
                <w:szCs w:val="20"/>
              </w:rPr>
              <w:t xml:space="preserve">dotace </w:t>
            </w:r>
          </w:p>
        </w:tc>
        <w:tc>
          <w:tcPr>
            <w:tcW w:w="1470" w:type="pct"/>
            <w:shd w:val="clear" w:color="auto" w:fill="auto"/>
            <w:vAlign w:val="center"/>
            <w:hideMark/>
          </w:tcPr>
          <w:p w:rsidR="00B165C2" w:rsidRPr="00A012FE" w:rsidRDefault="00B165C2" w:rsidP="007A106C">
            <w:pPr>
              <w:rPr>
                <w:color w:val="000000"/>
                <w:sz w:val="20"/>
                <w:szCs w:val="20"/>
              </w:rPr>
            </w:pPr>
            <w:r w:rsidRPr="00A012FE">
              <w:rPr>
                <w:color w:val="000000"/>
                <w:sz w:val="20"/>
                <w:szCs w:val="20"/>
              </w:rPr>
              <w:t xml:space="preserve">Pro stanovení konkrétní výše prominutí je nutno posuzovat závažnost daného pochybení např. nezajištění povinného prvku publicity je závažnější než situace, kdy je prvek publicity zajištěn, ale je uveden chybně. </w:t>
            </w:r>
          </w:p>
        </w:tc>
      </w:tr>
      <w:tr w:rsidR="00B165C2" w:rsidRPr="00A012FE" w:rsidTr="007A106C">
        <w:trPr>
          <w:trHeight w:val="510"/>
        </w:trPr>
        <w:tc>
          <w:tcPr>
            <w:tcW w:w="527" w:type="pct"/>
            <w:vMerge w:val="restart"/>
            <w:shd w:val="clear" w:color="auto" w:fill="auto"/>
            <w:textDirection w:val="btLr"/>
            <w:vAlign w:val="center"/>
            <w:hideMark/>
          </w:tcPr>
          <w:p w:rsidR="00B165C2" w:rsidRPr="00A012FE" w:rsidRDefault="00B165C2" w:rsidP="007A106C">
            <w:pPr>
              <w:jc w:val="center"/>
              <w:rPr>
                <w:color w:val="000000"/>
                <w:sz w:val="20"/>
                <w:szCs w:val="20"/>
              </w:rPr>
            </w:pPr>
            <w:r w:rsidRPr="00A012FE">
              <w:rPr>
                <w:color w:val="000000"/>
                <w:sz w:val="20"/>
                <w:szCs w:val="20"/>
              </w:rPr>
              <w:t>Nakládání s majetkem v době realizace a udržitelnosti projektu</w:t>
            </w:r>
          </w:p>
        </w:tc>
        <w:tc>
          <w:tcPr>
            <w:tcW w:w="349" w:type="pct"/>
            <w:shd w:val="clear" w:color="auto" w:fill="auto"/>
            <w:noWrap/>
            <w:vAlign w:val="center"/>
            <w:hideMark/>
          </w:tcPr>
          <w:p w:rsidR="00B165C2" w:rsidRPr="00A012FE" w:rsidRDefault="00B165C2" w:rsidP="007A106C">
            <w:pPr>
              <w:jc w:val="center"/>
              <w:rPr>
                <w:color w:val="000000"/>
                <w:sz w:val="20"/>
                <w:szCs w:val="20"/>
              </w:rPr>
            </w:pPr>
            <w:r w:rsidRPr="00A012FE">
              <w:rPr>
                <w:color w:val="000000"/>
                <w:sz w:val="20"/>
                <w:szCs w:val="20"/>
              </w:rPr>
              <w:t>21</w:t>
            </w:r>
          </w:p>
        </w:tc>
        <w:tc>
          <w:tcPr>
            <w:tcW w:w="1399" w:type="pct"/>
            <w:shd w:val="clear" w:color="auto" w:fill="auto"/>
            <w:vAlign w:val="center"/>
            <w:hideMark/>
          </w:tcPr>
          <w:p w:rsidR="00B165C2" w:rsidRPr="00A012FE" w:rsidRDefault="00B165C2" w:rsidP="007A106C">
            <w:pPr>
              <w:rPr>
                <w:color w:val="000000"/>
                <w:sz w:val="20"/>
                <w:szCs w:val="20"/>
              </w:rPr>
            </w:pPr>
            <w:r w:rsidRPr="00A012FE">
              <w:rPr>
                <w:color w:val="000000"/>
                <w:sz w:val="20"/>
                <w:szCs w:val="20"/>
              </w:rPr>
              <w:t>Pronajmutí či převod majetku pořízeného z dotace.</w:t>
            </w:r>
          </w:p>
        </w:tc>
        <w:tc>
          <w:tcPr>
            <w:tcW w:w="558" w:type="pct"/>
            <w:shd w:val="clear" w:color="auto" w:fill="auto"/>
            <w:noWrap/>
            <w:vAlign w:val="center"/>
            <w:hideMark/>
          </w:tcPr>
          <w:p w:rsidR="00B165C2" w:rsidRPr="00A012FE" w:rsidRDefault="00B165C2" w:rsidP="007A106C">
            <w:pPr>
              <w:rPr>
                <w:color w:val="000000"/>
                <w:sz w:val="20"/>
                <w:szCs w:val="20"/>
              </w:rPr>
            </w:pPr>
            <w:r w:rsidRPr="00A012FE">
              <w:rPr>
                <w:color w:val="000000"/>
                <w:sz w:val="20"/>
                <w:szCs w:val="20"/>
              </w:rPr>
              <w:t>0 %</w:t>
            </w:r>
          </w:p>
        </w:tc>
        <w:tc>
          <w:tcPr>
            <w:tcW w:w="697" w:type="pct"/>
            <w:shd w:val="clear" w:color="auto" w:fill="auto"/>
            <w:vAlign w:val="center"/>
            <w:hideMark/>
          </w:tcPr>
          <w:p w:rsidR="00B165C2" w:rsidRPr="00A012FE" w:rsidRDefault="00B165C2" w:rsidP="007A106C">
            <w:pPr>
              <w:rPr>
                <w:color w:val="000000"/>
                <w:sz w:val="20"/>
                <w:szCs w:val="20"/>
              </w:rPr>
            </w:pPr>
            <w:r w:rsidRPr="00A012FE">
              <w:rPr>
                <w:color w:val="000000"/>
                <w:sz w:val="20"/>
                <w:szCs w:val="20"/>
              </w:rPr>
              <w:t>výdaje vážící se k majetku</w:t>
            </w:r>
          </w:p>
        </w:tc>
        <w:tc>
          <w:tcPr>
            <w:tcW w:w="1470" w:type="pct"/>
            <w:shd w:val="clear" w:color="auto" w:fill="auto"/>
            <w:noWrap/>
            <w:vAlign w:val="center"/>
            <w:hideMark/>
          </w:tcPr>
          <w:p w:rsidR="00B165C2" w:rsidRPr="00A012FE" w:rsidRDefault="00B165C2" w:rsidP="007A106C">
            <w:pPr>
              <w:rPr>
                <w:color w:val="000000"/>
                <w:sz w:val="20"/>
                <w:szCs w:val="20"/>
              </w:rPr>
            </w:pPr>
            <w:r w:rsidRPr="00A012FE">
              <w:rPr>
                <w:color w:val="000000"/>
                <w:sz w:val="20"/>
                <w:szCs w:val="20"/>
              </w:rPr>
              <w:t> </w:t>
            </w:r>
          </w:p>
        </w:tc>
      </w:tr>
      <w:tr w:rsidR="00B165C2" w:rsidRPr="00A012FE" w:rsidTr="007A106C">
        <w:trPr>
          <w:trHeight w:val="765"/>
        </w:trPr>
        <w:tc>
          <w:tcPr>
            <w:tcW w:w="527" w:type="pct"/>
            <w:vMerge/>
            <w:vAlign w:val="center"/>
            <w:hideMark/>
          </w:tcPr>
          <w:p w:rsidR="00B165C2" w:rsidRPr="00A012FE" w:rsidRDefault="00B165C2" w:rsidP="007A106C">
            <w:pPr>
              <w:rPr>
                <w:color w:val="000000"/>
                <w:sz w:val="20"/>
                <w:szCs w:val="20"/>
              </w:rPr>
            </w:pPr>
          </w:p>
        </w:tc>
        <w:tc>
          <w:tcPr>
            <w:tcW w:w="349" w:type="pct"/>
            <w:shd w:val="clear" w:color="auto" w:fill="auto"/>
            <w:noWrap/>
            <w:vAlign w:val="center"/>
            <w:hideMark/>
          </w:tcPr>
          <w:p w:rsidR="00B165C2" w:rsidRPr="00A012FE" w:rsidRDefault="00B165C2" w:rsidP="007A106C">
            <w:pPr>
              <w:jc w:val="center"/>
              <w:rPr>
                <w:color w:val="000000"/>
                <w:sz w:val="20"/>
                <w:szCs w:val="20"/>
              </w:rPr>
            </w:pPr>
            <w:r w:rsidRPr="00A012FE">
              <w:rPr>
                <w:color w:val="000000"/>
                <w:sz w:val="20"/>
                <w:szCs w:val="20"/>
              </w:rPr>
              <w:t>22</w:t>
            </w:r>
          </w:p>
        </w:tc>
        <w:tc>
          <w:tcPr>
            <w:tcW w:w="1399" w:type="pct"/>
            <w:shd w:val="clear" w:color="auto" w:fill="auto"/>
            <w:vAlign w:val="center"/>
            <w:hideMark/>
          </w:tcPr>
          <w:p w:rsidR="00B165C2" w:rsidRPr="00A012FE" w:rsidRDefault="00B165C2" w:rsidP="007A106C">
            <w:pPr>
              <w:rPr>
                <w:color w:val="000000"/>
                <w:sz w:val="20"/>
                <w:szCs w:val="20"/>
              </w:rPr>
            </w:pPr>
            <w:r w:rsidRPr="00A012FE">
              <w:rPr>
                <w:color w:val="000000"/>
                <w:sz w:val="20"/>
                <w:szCs w:val="20"/>
              </w:rPr>
              <w:t xml:space="preserve">Předčasné vyřazení dlouhodobého majetku pořízeného z projektu z evidence včetně příp. doby udržitelnosti projektu. </w:t>
            </w:r>
          </w:p>
        </w:tc>
        <w:tc>
          <w:tcPr>
            <w:tcW w:w="558" w:type="pct"/>
            <w:shd w:val="clear" w:color="auto" w:fill="auto"/>
            <w:noWrap/>
            <w:vAlign w:val="center"/>
            <w:hideMark/>
          </w:tcPr>
          <w:p w:rsidR="00B165C2" w:rsidRPr="00A012FE" w:rsidRDefault="00B165C2" w:rsidP="007A106C">
            <w:pPr>
              <w:rPr>
                <w:color w:val="000000"/>
                <w:sz w:val="20"/>
                <w:szCs w:val="20"/>
              </w:rPr>
            </w:pPr>
            <w:r w:rsidRPr="00A012FE">
              <w:rPr>
                <w:color w:val="000000"/>
                <w:sz w:val="20"/>
                <w:szCs w:val="20"/>
              </w:rPr>
              <w:t>0 %</w:t>
            </w:r>
          </w:p>
        </w:tc>
        <w:tc>
          <w:tcPr>
            <w:tcW w:w="697" w:type="pct"/>
            <w:shd w:val="clear" w:color="auto" w:fill="auto"/>
            <w:vAlign w:val="center"/>
            <w:hideMark/>
          </w:tcPr>
          <w:p w:rsidR="00B165C2" w:rsidRPr="00A012FE" w:rsidRDefault="00B165C2" w:rsidP="007A106C">
            <w:pPr>
              <w:rPr>
                <w:color w:val="000000"/>
                <w:sz w:val="20"/>
                <w:szCs w:val="20"/>
              </w:rPr>
            </w:pPr>
            <w:r w:rsidRPr="00A012FE">
              <w:rPr>
                <w:color w:val="000000"/>
                <w:sz w:val="20"/>
                <w:szCs w:val="20"/>
              </w:rPr>
              <w:t>výdaj vztahující se k majetku</w:t>
            </w:r>
          </w:p>
        </w:tc>
        <w:tc>
          <w:tcPr>
            <w:tcW w:w="1470" w:type="pct"/>
            <w:shd w:val="clear" w:color="auto" w:fill="auto"/>
            <w:noWrap/>
            <w:vAlign w:val="center"/>
            <w:hideMark/>
          </w:tcPr>
          <w:p w:rsidR="00B165C2" w:rsidRPr="00A012FE" w:rsidRDefault="00B165C2" w:rsidP="007A106C">
            <w:pPr>
              <w:rPr>
                <w:color w:val="000000"/>
                <w:sz w:val="20"/>
                <w:szCs w:val="20"/>
              </w:rPr>
            </w:pPr>
          </w:p>
        </w:tc>
      </w:tr>
      <w:tr w:rsidR="00B165C2" w:rsidRPr="00A012FE" w:rsidTr="007A106C">
        <w:trPr>
          <w:trHeight w:val="1110"/>
        </w:trPr>
        <w:tc>
          <w:tcPr>
            <w:tcW w:w="527" w:type="pct"/>
            <w:vMerge/>
            <w:vAlign w:val="center"/>
            <w:hideMark/>
          </w:tcPr>
          <w:p w:rsidR="00B165C2" w:rsidRPr="00A012FE" w:rsidRDefault="00B165C2" w:rsidP="007A106C">
            <w:pPr>
              <w:rPr>
                <w:color w:val="000000"/>
                <w:sz w:val="20"/>
                <w:szCs w:val="20"/>
              </w:rPr>
            </w:pPr>
          </w:p>
        </w:tc>
        <w:tc>
          <w:tcPr>
            <w:tcW w:w="349" w:type="pct"/>
            <w:shd w:val="clear" w:color="auto" w:fill="auto"/>
            <w:noWrap/>
            <w:vAlign w:val="center"/>
            <w:hideMark/>
          </w:tcPr>
          <w:p w:rsidR="00B165C2" w:rsidRPr="00A012FE" w:rsidRDefault="00B165C2" w:rsidP="007A106C">
            <w:pPr>
              <w:jc w:val="center"/>
              <w:rPr>
                <w:color w:val="000000"/>
                <w:sz w:val="20"/>
                <w:szCs w:val="20"/>
              </w:rPr>
            </w:pPr>
            <w:r w:rsidRPr="00A012FE">
              <w:rPr>
                <w:color w:val="000000"/>
                <w:sz w:val="20"/>
                <w:szCs w:val="20"/>
              </w:rPr>
              <w:t>23</w:t>
            </w:r>
          </w:p>
        </w:tc>
        <w:tc>
          <w:tcPr>
            <w:tcW w:w="1399" w:type="pct"/>
            <w:shd w:val="clear" w:color="auto" w:fill="auto"/>
            <w:vAlign w:val="center"/>
            <w:hideMark/>
          </w:tcPr>
          <w:p w:rsidR="00B165C2" w:rsidRPr="00A012FE" w:rsidRDefault="00B165C2" w:rsidP="007A106C">
            <w:pPr>
              <w:rPr>
                <w:color w:val="000000"/>
                <w:sz w:val="20"/>
                <w:szCs w:val="20"/>
              </w:rPr>
            </w:pPr>
            <w:r w:rsidRPr="00A012FE">
              <w:rPr>
                <w:color w:val="000000"/>
                <w:sz w:val="20"/>
                <w:szCs w:val="20"/>
              </w:rPr>
              <w:t>Nezařazení majetku podpořeného z dotace do účetní nebo majetkové evidence.</w:t>
            </w:r>
          </w:p>
        </w:tc>
        <w:tc>
          <w:tcPr>
            <w:tcW w:w="558" w:type="pct"/>
            <w:shd w:val="clear" w:color="auto" w:fill="auto"/>
            <w:noWrap/>
            <w:vAlign w:val="center"/>
            <w:hideMark/>
          </w:tcPr>
          <w:p w:rsidR="00B165C2" w:rsidRPr="00A012FE" w:rsidRDefault="00B165C2" w:rsidP="007A106C">
            <w:pPr>
              <w:rPr>
                <w:color w:val="000000"/>
                <w:sz w:val="20"/>
                <w:szCs w:val="20"/>
              </w:rPr>
            </w:pPr>
            <w:r w:rsidRPr="00A012FE">
              <w:rPr>
                <w:color w:val="000000"/>
                <w:sz w:val="20"/>
                <w:szCs w:val="20"/>
              </w:rPr>
              <w:t>0 %</w:t>
            </w:r>
          </w:p>
        </w:tc>
        <w:tc>
          <w:tcPr>
            <w:tcW w:w="697" w:type="pct"/>
            <w:shd w:val="clear" w:color="auto" w:fill="auto"/>
            <w:vAlign w:val="center"/>
            <w:hideMark/>
          </w:tcPr>
          <w:p w:rsidR="00B165C2" w:rsidRPr="00A012FE" w:rsidRDefault="00B165C2" w:rsidP="007A106C">
            <w:pPr>
              <w:rPr>
                <w:color w:val="000000"/>
                <w:sz w:val="20"/>
                <w:szCs w:val="20"/>
              </w:rPr>
            </w:pPr>
            <w:r w:rsidRPr="00A012FE">
              <w:rPr>
                <w:color w:val="000000"/>
                <w:sz w:val="20"/>
                <w:szCs w:val="20"/>
              </w:rPr>
              <w:t>výdaj vztahující se k majetku</w:t>
            </w:r>
          </w:p>
        </w:tc>
        <w:tc>
          <w:tcPr>
            <w:tcW w:w="1470" w:type="pct"/>
            <w:shd w:val="clear" w:color="auto" w:fill="auto"/>
            <w:vAlign w:val="center"/>
            <w:hideMark/>
          </w:tcPr>
          <w:p w:rsidR="00B165C2" w:rsidRPr="00A012FE" w:rsidRDefault="00B165C2" w:rsidP="007A106C">
            <w:pPr>
              <w:rPr>
                <w:color w:val="000000"/>
                <w:sz w:val="20"/>
                <w:szCs w:val="20"/>
              </w:rPr>
            </w:pPr>
            <w:r w:rsidRPr="00A012FE">
              <w:rPr>
                <w:color w:val="000000"/>
                <w:sz w:val="20"/>
                <w:szCs w:val="20"/>
              </w:rPr>
              <w:t>V případě, kdy nelze zjednat nápravu nebo dohledat výdaj či obdobně.</w:t>
            </w:r>
          </w:p>
        </w:tc>
      </w:tr>
      <w:tr w:rsidR="00B165C2" w:rsidRPr="00A012FE" w:rsidTr="007A106C">
        <w:trPr>
          <w:trHeight w:val="765"/>
        </w:trPr>
        <w:tc>
          <w:tcPr>
            <w:tcW w:w="527" w:type="pct"/>
            <w:vMerge/>
            <w:vAlign w:val="center"/>
            <w:hideMark/>
          </w:tcPr>
          <w:p w:rsidR="00B165C2" w:rsidRPr="00A012FE" w:rsidRDefault="00B165C2" w:rsidP="007A106C">
            <w:pPr>
              <w:rPr>
                <w:color w:val="000000"/>
                <w:sz w:val="20"/>
                <w:szCs w:val="20"/>
              </w:rPr>
            </w:pPr>
          </w:p>
        </w:tc>
        <w:tc>
          <w:tcPr>
            <w:tcW w:w="349" w:type="pct"/>
            <w:shd w:val="clear" w:color="auto" w:fill="auto"/>
            <w:noWrap/>
            <w:vAlign w:val="center"/>
            <w:hideMark/>
          </w:tcPr>
          <w:p w:rsidR="00B165C2" w:rsidRPr="00A012FE" w:rsidRDefault="00B165C2" w:rsidP="007A106C">
            <w:pPr>
              <w:jc w:val="center"/>
              <w:rPr>
                <w:color w:val="000000"/>
                <w:sz w:val="20"/>
                <w:szCs w:val="20"/>
              </w:rPr>
            </w:pPr>
            <w:r w:rsidRPr="00A012FE">
              <w:rPr>
                <w:color w:val="000000"/>
                <w:sz w:val="20"/>
                <w:szCs w:val="20"/>
              </w:rPr>
              <w:t>24a</w:t>
            </w:r>
          </w:p>
        </w:tc>
        <w:tc>
          <w:tcPr>
            <w:tcW w:w="1399" w:type="pct"/>
            <w:shd w:val="clear" w:color="auto" w:fill="auto"/>
            <w:vAlign w:val="center"/>
            <w:hideMark/>
          </w:tcPr>
          <w:p w:rsidR="00B165C2" w:rsidRPr="00A012FE" w:rsidRDefault="00B165C2" w:rsidP="007A106C">
            <w:pPr>
              <w:rPr>
                <w:color w:val="000000"/>
                <w:sz w:val="20"/>
                <w:szCs w:val="20"/>
              </w:rPr>
            </w:pPr>
            <w:r w:rsidRPr="00A012FE">
              <w:rPr>
                <w:color w:val="000000"/>
                <w:sz w:val="20"/>
                <w:szCs w:val="20"/>
              </w:rPr>
              <w:t>Ztráta majetku podpořeného z dotace v rozporu se smlouvou o poskytnutí dotace – pokud nebyl obnoven.</w:t>
            </w:r>
          </w:p>
        </w:tc>
        <w:tc>
          <w:tcPr>
            <w:tcW w:w="558" w:type="pct"/>
            <w:shd w:val="clear" w:color="auto" w:fill="auto"/>
            <w:noWrap/>
            <w:vAlign w:val="center"/>
            <w:hideMark/>
          </w:tcPr>
          <w:p w:rsidR="00B165C2" w:rsidRPr="00A012FE" w:rsidRDefault="00B165C2" w:rsidP="007A106C">
            <w:pPr>
              <w:rPr>
                <w:color w:val="000000"/>
                <w:sz w:val="20"/>
                <w:szCs w:val="20"/>
              </w:rPr>
            </w:pPr>
            <w:r w:rsidRPr="00A012FE">
              <w:rPr>
                <w:color w:val="000000"/>
                <w:sz w:val="20"/>
                <w:szCs w:val="20"/>
              </w:rPr>
              <w:t>0 %</w:t>
            </w:r>
          </w:p>
        </w:tc>
        <w:tc>
          <w:tcPr>
            <w:tcW w:w="697" w:type="pct"/>
            <w:shd w:val="clear" w:color="auto" w:fill="auto"/>
            <w:vAlign w:val="center"/>
            <w:hideMark/>
          </w:tcPr>
          <w:p w:rsidR="00B165C2" w:rsidRPr="00A012FE" w:rsidRDefault="00B165C2" w:rsidP="007A106C">
            <w:pPr>
              <w:rPr>
                <w:color w:val="000000"/>
                <w:sz w:val="20"/>
                <w:szCs w:val="20"/>
              </w:rPr>
            </w:pPr>
            <w:r w:rsidRPr="00A012FE">
              <w:rPr>
                <w:color w:val="000000"/>
                <w:sz w:val="20"/>
                <w:szCs w:val="20"/>
              </w:rPr>
              <w:t>výdaj vztahující se k majetku</w:t>
            </w:r>
          </w:p>
        </w:tc>
        <w:tc>
          <w:tcPr>
            <w:tcW w:w="1470" w:type="pct"/>
            <w:shd w:val="clear" w:color="auto" w:fill="auto"/>
            <w:noWrap/>
            <w:vAlign w:val="center"/>
            <w:hideMark/>
          </w:tcPr>
          <w:p w:rsidR="00B165C2" w:rsidRPr="00A012FE" w:rsidRDefault="00B165C2" w:rsidP="007A106C">
            <w:pPr>
              <w:rPr>
                <w:color w:val="000000"/>
                <w:sz w:val="20"/>
                <w:szCs w:val="20"/>
              </w:rPr>
            </w:pPr>
            <w:r w:rsidRPr="00A012FE">
              <w:rPr>
                <w:color w:val="000000"/>
                <w:sz w:val="20"/>
                <w:szCs w:val="20"/>
              </w:rPr>
              <w:t> </w:t>
            </w:r>
          </w:p>
        </w:tc>
      </w:tr>
      <w:tr w:rsidR="00B165C2" w:rsidRPr="00A012FE" w:rsidTr="007A106C">
        <w:trPr>
          <w:trHeight w:val="765"/>
        </w:trPr>
        <w:tc>
          <w:tcPr>
            <w:tcW w:w="527" w:type="pct"/>
            <w:vMerge/>
            <w:vAlign w:val="center"/>
            <w:hideMark/>
          </w:tcPr>
          <w:p w:rsidR="00B165C2" w:rsidRPr="00A012FE" w:rsidRDefault="00B165C2" w:rsidP="007A106C">
            <w:pPr>
              <w:rPr>
                <w:color w:val="000000"/>
                <w:sz w:val="20"/>
                <w:szCs w:val="20"/>
              </w:rPr>
            </w:pPr>
          </w:p>
        </w:tc>
        <w:tc>
          <w:tcPr>
            <w:tcW w:w="349" w:type="pct"/>
            <w:shd w:val="clear" w:color="auto" w:fill="auto"/>
            <w:noWrap/>
            <w:vAlign w:val="center"/>
            <w:hideMark/>
          </w:tcPr>
          <w:p w:rsidR="00B165C2" w:rsidRPr="00A012FE" w:rsidRDefault="00B165C2" w:rsidP="007A106C">
            <w:pPr>
              <w:jc w:val="center"/>
              <w:rPr>
                <w:color w:val="000000"/>
                <w:sz w:val="20"/>
                <w:szCs w:val="20"/>
              </w:rPr>
            </w:pPr>
            <w:r w:rsidRPr="00A012FE">
              <w:rPr>
                <w:color w:val="000000"/>
                <w:sz w:val="20"/>
                <w:szCs w:val="20"/>
              </w:rPr>
              <w:t>24b</w:t>
            </w:r>
          </w:p>
        </w:tc>
        <w:tc>
          <w:tcPr>
            <w:tcW w:w="1399" w:type="pct"/>
            <w:shd w:val="clear" w:color="auto" w:fill="auto"/>
            <w:vAlign w:val="center"/>
            <w:hideMark/>
          </w:tcPr>
          <w:p w:rsidR="00B165C2" w:rsidRPr="00A012FE" w:rsidRDefault="00B165C2" w:rsidP="007A106C">
            <w:pPr>
              <w:rPr>
                <w:color w:val="000000"/>
                <w:sz w:val="20"/>
                <w:szCs w:val="20"/>
              </w:rPr>
            </w:pPr>
            <w:r w:rsidRPr="00A012FE">
              <w:rPr>
                <w:color w:val="000000"/>
                <w:sz w:val="20"/>
                <w:szCs w:val="20"/>
              </w:rPr>
              <w:t>Ztráta majetku podpořeného z dotace v rozporu se smlouvou o poskytnutí dotace – pokud byl obnoven.</w:t>
            </w:r>
          </w:p>
        </w:tc>
        <w:tc>
          <w:tcPr>
            <w:tcW w:w="558" w:type="pct"/>
            <w:shd w:val="clear" w:color="auto" w:fill="auto"/>
            <w:noWrap/>
            <w:vAlign w:val="center"/>
            <w:hideMark/>
          </w:tcPr>
          <w:p w:rsidR="00B165C2" w:rsidRPr="00A012FE" w:rsidRDefault="00B165C2" w:rsidP="007A106C">
            <w:pPr>
              <w:rPr>
                <w:color w:val="000000"/>
                <w:sz w:val="20"/>
                <w:szCs w:val="20"/>
              </w:rPr>
            </w:pPr>
            <w:r w:rsidRPr="00A012FE">
              <w:rPr>
                <w:color w:val="000000"/>
                <w:sz w:val="20"/>
                <w:szCs w:val="20"/>
              </w:rPr>
              <w:t>100 %</w:t>
            </w:r>
          </w:p>
        </w:tc>
        <w:tc>
          <w:tcPr>
            <w:tcW w:w="697" w:type="pct"/>
            <w:shd w:val="clear" w:color="auto" w:fill="auto"/>
            <w:vAlign w:val="center"/>
            <w:hideMark/>
          </w:tcPr>
          <w:p w:rsidR="00B165C2" w:rsidRPr="00A012FE" w:rsidRDefault="00B165C2" w:rsidP="007A106C">
            <w:pPr>
              <w:rPr>
                <w:color w:val="000000"/>
                <w:sz w:val="20"/>
                <w:szCs w:val="20"/>
              </w:rPr>
            </w:pPr>
            <w:r>
              <w:rPr>
                <w:color w:val="000000"/>
                <w:sz w:val="20"/>
                <w:szCs w:val="20"/>
              </w:rPr>
              <w:t>výdaj vztahující</w:t>
            </w:r>
            <w:r w:rsidRPr="00A012FE">
              <w:rPr>
                <w:color w:val="000000"/>
                <w:sz w:val="20"/>
                <w:szCs w:val="20"/>
              </w:rPr>
              <w:t xml:space="preserve"> se k majetku</w:t>
            </w:r>
          </w:p>
        </w:tc>
        <w:tc>
          <w:tcPr>
            <w:tcW w:w="1470" w:type="pct"/>
            <w:shd w:val="clear" w:color="auto" w:fill="auto"/>
            <w:noWrap/>
            <w:vAlign w:val="center"/>
            <w:hideMark/>
          </w:tcPr>
          <w:p w:rsidR="00B165C2" w:rsidRPr="00A012FE" w:rsidRDefault="00B165C2" w:rsidP="007A106C">
            <w:pPr>
              <w:rPr>
                <w:color w:val="000000"/>
                <w:sz w:val="20"/>
                <w:szCs w:val="20"/>
              </w:rPr>
            </w:pPr>
            <w:r w:rsidRPr="00A012FE">
              <w:rPr>
                <w:color w:val="000000"/>
                <w:sz w:val="20"/>
                <w:szCs w:val="20"/>
              </w:rPr>
              <w:t> </w:t>
            </w:r>
          </w:p>
        </w:tc>
      </w:tr>
      <w:tr w:rsidR="00B165C2" w:rsidRPr="00A012FE" w:rsidTr="007A106C">
        <w:trPr>
          <w:trHeight w:val="765"/>
        </w:trPr>
        <w:tc>
          <w:tcPr>
            <w:tcW w:w="527" w:type="pct"/>
            <w:vMerge/>
            <w:vAlign w:val="center"/>
            <w:hideMark/>
          </w:tcPr>
          <w:p w:rsidR="00B165C2" w:rsidRPr="00A012FE" w:rsidRDefault="00B165C2" w:rsidP="007A106C">
            <w:pPr>
              <w:rPr>
                <w:color w:val="000000"/>
                <w:sz w:val="20"/>
                <w:szCs w:val="20"/>
              </w:rPr>
            </w:pPr>
          </w:p>
        </w:tc>
        <w:tc>
          <w:tcPr>
            <w:tcW w:w="349" w:type="pct"/>
            <w:shd w:val="clear" w:color="auto" w:fill="auto"/>
            <w:noWrap/>
            <w:vAlign w:val="center"/>
            <w:hideMark/>
          </w:tcPr>
          <w:p w:rsidR="00B165C2" w:rsidRPr="00A012FE" w:rsidRDefault="00B165C2" w:rsidP="007A106C">
            <w:pPr>
              <w:jc w:val="center"/>
              <w:rPr>
                <w:color w:val="000000"/>
                <w:sz w:val="20"/>
                <w:szCs w:val="20"/>
              </w:rPr>
            </w:pPr>
            <w:r w:rsidRPr="00A012FE">
              <w:rPr>
                <w:color w:val="000000"/>
                <w:sz w:val="20"/>
                <w:szCs w:val="20"/>
              </w:rPr>
              <w:t>25</w:t>
            </w:r>
          </w:p>
        </w:tc>
        <w:tc>
          <w:tcPr>
            <w:tcW w:w="1399" w:type="pct"/>
            <w:shd w:val="clear" w:color="auto" w:fill="auto"/>
            <w:vAlign w:val="center"/>
            <w:hideMark/>
          </w:tcPr>
          <w:p w:rsidR="00B165C2" w:rsidRPr="00A012FE" w:rsidRDefault="00B165C2" w:rsidP="007A106C">
            <w:pPr>
              <w:rPr>
                <w:color w:val="000000"/>
                <w:sz w:val="20"/>
                <w:szCs w:val="20"/>
              </w:rPr>
            </w:pPr>
            <w:r w:rsidRPr="00A012FE">
              <w:rPr>
                <w:color w:val="000000"/>
                <w:sz w:val="20"/>
                <w:szCs w:val="20"/>
              </w:rPr>
              <w:t>Použití majetku pořízeného z dotace na jiné účely, které nesouvisí přímo s realizovaným projektem.</w:t>
            </w:r>
          </w:p>
        </w:tc>
        <w:tc>
          <w:tcPr>
            <w:tcW w:w="558" w:type="pct"/>
            <w:shd w:val="clear" w:color="auto" w:fill="auto"/>
            <w:noWrap/>
            <w:vAlign w:val="center"/>
            <w:hideMark/>
          </w:tcPr>
          <w:p w:rsidR="00B165C2" w:rsidRPr="00A012FE" w:rsidRDefault="00B165C2" w:rsidP="007A106C">
            <w:pPr>
              <w:rPr>
                <w:color w:val="000000"/>
                <w:sz w:val="20"/>
                <w:szCs w:val="20"/>
              </w:rPr>
            </w:pPr>
            <w:r w:rsidRPr="00A012FE">
              <w:rPr>
                <w:color w:val="000000"/>
                <w:sz w:val="20"/>
                <w:szCs w:val="20"/>
              </w:rPr>
              <w:t>0 %</w:t>
            </w:r>
          </w:p>
        </w:tc>
        <w:tc>
          <w:tcPr>
            <w:tcW w:w="697" w:type="pct"/>
            <w:shd w:val="clear" w:color="auto" w:fill="auto"/>
            <w:vAlign w:val="center"/>
            <w:hideMark/>
          </w:tcPr>
          <w:p w:rsidR="00B165C2" w:rsidRPr="00A012FE" w:rsidRDefault="00B165C2" w:rsidP="007A106C">
            <w:pPr>
              <w:rPr>
                <w:color w:val="000000"/>
                <w:sz w:val="20"/>
                <w:szCs w:val="20"/>
              </w:rPr>
            </w:pPr>
            <w:r w:rsidRPr="00A012FE">
              <w:rPr>
                <w:color w:val="000000"/>
                <w:sz w:val="20"/>
                <w:szCs w:val="20"/>
              </w:rPr>
              <w:t>výdaj vztahující se k majetku</w:t>
            </w:r>
          </w:p>
        </w:tc>
        <w:tc>
          <w:tcPr>
            <w:tcW w:w="1470" w:type="pct"/>
            <w:shd w:val="clear" w:color="auto" w:fill="auto"/>
            <w:noWrap/>
            <w:vAlign w:val="center"/>
            <w:hideMark/>
          </w:tcPr>
          <w:p w:rsidR="00B165C2" w:rsidRPr="00A012FE" w:rsidRDefault="00B165C2" w:rsidP="007A106C">
            <w:pPr>
              <w:rPr>
                <w:color w:val="000000"/>
                <w:sz w:val="20"/>
                <w:szCs w:val="20"/>
              </w:rPr>
            </w:pPr>
            <w:r w:rsidRPr="00A012FE">
              <w:rPr>
                <w:color w:val="000000"/>
                <w:sz w:val="20"/>
                <w:szCs w:val="20"/>
              </w:rPr>
              <w:t> </w:t>
            </w:r>
          </w:p>
        </w:tc>
      </w:tr>
      <w:tr w:rsidR="00B165C2" w:rsidRPr="00A012FE" w:rsidTr="007A106C">
        <w:trPr>
          <w:trHeight w:val="765"/>
        </w:trPr>
        <w:tc>
          <w:tcPr>
            <w:tcW w:w="527" w:type="pct"/>
            <w:vMerge w:val="restart"/>
            <w:shd w:val="clear" w:color="auto" w:fill="auto"/>
            <w:textDirection w:val="btLr"/>
            <w:vAlign w:val="center"/>
            <w:hideMark/>
          </w:tcPr>
          <w:p w:rsidR="00B165C2" w:rsidRPr="00A012FE" w:rsidRDefault="00B165C2" w:rsidP="007A106C">
            <w:pPr>
              <w:jc w:val="center"/>
              <w:rPr>
                <w:color w:val="000000"/>
                <w:sz w:val="20"/>
                <w:szCs w:val="20"/>
              </w:rPr>
            </w:pPr>
            <w:r w:rsidRPr="00A012FE">
              <w:rPr>
                <w:color w:val="000000"/>
                <w:sz w:val="20"/>
                <w:szCs w:val="20"/>
              </w:rPr>
              <w:t>Uchovávání dokumentace</w:t>
            </w:r>
          </w:p>
        </w:tc>
        <w:tc>
          <w:tcPr>
            <w:tcW w:w="349" w:type="pct"/>
            <w:shd w:val="clear" w:color="auto" w:fill="auto"/>
            <w:noWrap/>
            <w:vAlign w:val="center"/>
            <w:hideMark/>
          </w:tcPr>
          <w:p w:rsidR="00B165C2" w:rsidRPr="00A012FE" w:rsidRDefault="00B165C2" w:rsidP="007A106C">
            <w:pPr>
              <w:jc w:val="center"/>
              <w:rPr>
                <w:color w:val="000000"/>
                <w:sz w:val="20"/>
                <w:szCs w:val="20"/>
              </w:rPr>
            </w:pPr>
            <w:r w:rsidRPr="00A012FE">
              <w:rPr>
                <w:color w:val="000000"/>
                <w:sz w:val="20"/>
                <w:szCs w:val="20"/>
              </w:rPr>
              <w:t>26a</w:t>
            </w:r>
          </w:p>
        </w:tc>
        <w:tc>
          <w:tcPr>
            <w:tcW w:w="1399" w:type="pct"/>
            <w:shd w:val="clear" w:color="auto" w:fill="auto"/>
            <w:vAlign w:val="center"/>
            <w:hideMark/>
          </w:tcPr>
          <w:p w:rsidR="00B165C2" w:rsidRPr="00A012FE" w:rsidRDefault="00B165C2" w:rsidP="007A106C">
            <w:pPr>
              <w:rPr>
                <w:color w:val="000000"/>
                <w:sz w:val="20"/>
                <w:szCs w:val="20"/>
              </w:rPr>
            </w:pPr>
            <w:r w:rsidRPr="00A012FE">
              <w:rPr>
                <w:color w:val="000000"/>
                <w:sz w:val="20"/>
                <w:szCs w:val="20"/>
              </w:rPr>
              <w:t>Nedostatečné uchovávání dokumentace – absence požadovaných účetních dokladů vztahujících se k projektu.</w:t>
            </w:r>
          </w:p>
        </w:tc>
        <w:tc>
          <w:tcPr>
            <w:tcW w:w="558" w:type="pct"/>
            <w:shd w:val="clear" w:color="auto" w:fill="auto"/>
            <w:noWrap/>
            <w:vAlign w:val="center"/>
            <w:hideMark/>
          </w:tcPr>
          <w:p w:rsidR="00B165C2" w:rsidRPr="00A012FE" w:rsidRDefault="00B165C2" w:rsidP="007A106C">
            <w:pPr>
              <w:rPr>
                <w:color w:val="000000"/>
                <w:sz w:val="20"/>
                <w:szCs w:val="20"/>
              </w:rPr>
            </w:pPr>
            <w:r w:rsidRPr="00A012FE">
              <w:rPr>
                <w:color w:val="000000"/>
                <w:sz w:val="20"/>
                <w:szCs w:val="20"/>
              </w:rPr>
              <w:t>0 %</w:t>
            </w:r>
          </w:p>
        </w:tc>
        <w:tc>
          <w:tcPr>
            <w:tcW w:w="697" w:type="pct"/>
            <w:shd w:val="clear" w:color="auto" w:fill="auto"/>
            <w:vAlign w:val="center"/>
            <w:hideMark/>
          </w:tcPr>
          <w:p w:rsidR="00B165C2" w:rsidRPr="00A012FE" w:rsidRDefault="00B165C2" w:rsidP="007A106C">
            <w:pPr>
              <w:rPr>
                <w:color w:val="000000"/>
                <w:sz w:val="20"/>
                <w:szCs w:val="20"/>
              </w:rPr>
            </w:pPr>
            <w:r w:rsidRPr="00A012FE">
              <w:rPr>
                <w:color w:val="000000"/>
                <w:sz w:val="20"/>
                <w:szCs w:val="20"/>
              </w:rPr>
              <w:t>výdaj, který se váže k chybějícím účetním dokladům</w:t>
            </w:r>
          </w:p>
        </w:tc>
        <w:tc>
          <w:tcPr>
            <w:tcW w:w="1470" w:type="pct"/>
            <w:shd w:val="clear" w:color="auto" w:fill="auto"/>
            <w:noWrap/>
            <w:vAlign w:val="center"/>
            <w:hideMark/>
          </w:tcPr>
          <w:p w:rsidR="00B165C2" w:rsidRPr="00A012FE" w:rsidRDefault="00B165C2" w:rsidP="007A106C">
            <w:pPr>
              <w:rPr>
                <w:color w:val="000000"/>
                <w:sz w:val="20"/>
                <w:szCs w:val="20"/>
              </w:rPr>
            </w:pPr>
            <w:r w:rsidRPr="00A012FE">
              <w:rPr>
                <w:color w:val="000000"/>
                <w:sz w:val="20"/>
                <w:szCs w:val="20"/>
              </w:rPr>
              <w:t> </w:t>
            </w:r>
          </w:p>
        </w:tc>
      </w:tr>
      <w:tr w:rsidR="00B165C2" w:rsidRPr="00A012FE" w:rsidTr="007A106C">
        <w:trPr>
          <w:trHeight w:val="510"/>
        </w:trPr>
        <w:tc>
          <w:tcPr>
            <w:tcW w:w="527" w:type="pct"/>
            <w:vMerge/>
            <w:vAlign w:val="center"/>
            <w:hideMark/>
          </w:tcPr>
          <w:p w:rsidR="00B165C2" w:rsidRPr="00A012FE" w:rsidRDefault="00B165C2" w:rsidP="007A106C">
            <w:pPr>
              <w:rPr>
                <w:color w:val="000000"/>
                <w:sz w:val="20"/>
                <w:szCs w:val="20"/>
              </w:rPr>
            </w:pPr>
          </w:p>
        </w:tc>
        <w:tc>
          <w:tcPr>
            <w:tcW w:w="349" w:type="pct"/>
            <w:shd w:val="clear" w:color="auto" w:fill="auto"/>
            <w:noWrap/>
            <w:vAlign w:val="center"/>
            <w:hideMark/>
          </w:tcPr>
          <w:p w:rsidR="00B165C2" w:rsidRPr="00A012FE" w:rsidRDefault="00B165C2" w:rsidP="007A106C">
            <w:pPr>
              <w:jc w:val="center"/>
              <w:rPr>
                <w:color w:val="000000"/>
                <w:sz w:val="20"/>
                <w:szCs w:val="20"/>
              </w:rPr>
            </w:pPr>
            <w:r w:rsidRPr="00A012FE">
              <w:rPr>
                <w:color w:val="000000"/>
                <w:sz w:val="20"/>
                <w:szCs w:val="20"/>
              </w:rPr>
              <w:t>26b</w:t>
            </w:r>
          </w:p>
        </w:tc>
        <w:tc>
          <w:tcPr>
            <w:tcW w:w="1399" w:type="pct"/>
            <w:shd w:val="clear" w:color="auto" w:fill="auto"/>
            <w:vAlign w:val="center"/>
            <w:hideMark/>
          </w:tcPr>
          <w:p w:rsidR="00B165C2" w:rsidRPr="00A012FE" w:rsidRDefault="00B165C2" w:rsidP="007A106C">
            <w:pPr>
              <w:rPr>
                <w:color w:val="000000"/>
                <w:sz w:val="20"/>
                <w:szCs w:val="20"/>
              </w:rPr>
            </w:pPr>
            <w:r w:rsidRPr="00A012FE">
              <w:rPr>
                <w:color w:val="000000"/>
                <w:sz w:val="20"/>
                <w:szCs w:val="20"/>
              </w:rPr>
              <w:t>Porušení dalších povinností při uchovávání dokumentace</w:t>
            </w:r>
          </w:p>
        </w:tc>
        <w:tc>
          <w:tcPr>
            <w:tcW w:w="558" w:type="pct"/>
            <w:shd w:val="clear" w:color="auto" w:fill="auto"/>
            <w:noWrap/>
            <w:vAlign w:val="center"/>
            <w:hideMark/>
          </w:tcPr>
          <w:p w:rsidR="00B165C2" w:rsidRPr="00A012FE" w:rsidRDefault="00B165C2" w:rsidP="007A106C">
            <w:pPr>
              <w:rPr>
                <w:color w:val="000000"/>
                <w:sz w:val="20"/>
                <w:szCs w:val="20"/>
              </w:rPr>
            </w:pPr>
            <w:r w:rsidRPr="00A012FE">
              <w:rPr>
                <w:color w:val="000000"/>
                <w:sz w:val="20"/>
                <w:szCs w:val="20"/>
              </w:rPr>
              <w:t>95 – 99 %</w:t>
            </w:r>
          </w:p>
        </w:tc>
        <w:tc>
          <w:tcPr>
            <w:tcW w:w="697" w:type="pct"/>
            <w:shd w:val="clear" w:color="auto" w:fill="auto"/>
            <w:vAlign w:val="center"/>
            <w:hideMark/>
          </w:tcPr>
          <w:p w:rsidR="00B165C2" w:rsidRPr="00A012FE" w:rsidRDefault="00B165C2" w:rsidP="007A106C">
            <w:pPr>
              <w:rPr>
                <w:color w:val="000000"/>
                <w:sz w:val="20"/>
                <w:szCs w:val="20"/>
              </w:rPr>
            </w:pPr>
            <w:r w:rsidRPr="00A012FE">
              <w:rPr>
                <w:color w:val="000000"/>
                <w:sz w:val="20"/>
                <w:szCs w:val="20"/>
              </w:rPr>
              <w:t>dotace</w:t>
            </w:r>
          </w:p>
        </w:tc>
        <w:tc>
          <w:tcPr>
            <w:tcW w:w="1470" w:type="pct"/>
            <w:shd w:val="clear" w:color="auto" w:fill="auto"/>
            <w:noWrap/>
            <w:vAlign w:val="center"/>
            <w:hideMark/>
          </w:tcPr>
          <w:p w:rsidR="00B165C2" w:rsidRPr="00A012FE" w:rsidRDefault="00B165C2" w:rsidP="007A106C">
            <w:pPr>
              <w:rPr>
                <w:color w:val="000000"/>
                <w:sz w:val="20"/>
                <w:szCs w:val="20"/>
              </w:rPr>
            </w:pPr>
            <w:r w:rsidRPr="00A012FE">
              <w:rPr>
                <w:color w:val="000000"/>
                <w:sz w:val="20"/>
                <w:szCs w:val="20"/>
              </w:rPr>
              <w:t> </w:t>
            </w:r>
          </w:p>
        </w:tc>
      </w:tr>
      <w:tr w:rsidR="00B165C2" w:rsidRPr="00A012FE" w:rsidTr="007A106C">
        <w:trPr>
          <w:trHeight w:val="1125"/>
        </w:trPr>
        <w:tc>
          <w:tcPr>
            <w:tcW w:w="527" w:type="pct"/>
            <w:vMerge w:val="restart"/>
            <w:shd w:val="clear" w:color="auto" w:fill="auto"/>
            <w:textDirection w:val="btLr"/>
            <w:vAlign w:val="center"/>
            <w:hideMark/>
          </w:tcPr>
          <w:p w:rsidR="00B165C2" w:rsidRPr="00A012FE" w:rsidRDefault="00B165C2" w:rsidP="007A106C">
            <w:pPr>
              <w:jc w:val="center"/>
              <w:rPr>
                <w:color w:val="000000"/>
                <w:sz w:val="20"/>
                <w:szCs w:val="20"/>
              </w:rPr>
            </w:pPr>
            <w:r w:rsidRPr="00A012FE">
              <w:rPr>
                <w:color w:val="000000"/>
                <w:sz w:val="20"/>
                <w:szCs w:val="20"/>
              </w:rPr>
              <w:t>Ostatní pravidla uvedená v </w:t>
            </w:r>
            <w:proofErr w:type="spellStart"/>
            <w:r w:rsidRPr="00A012FE">
              <w:rPr>
                <w:color w:val="000000"/>
                <w:sz w:val="20"/>
                <w:szCs w:val="20"/>
              </w:rPr>
              <w:t>PpP</w:t>
            </w:r>
            <w:proofErr w:type="spellEnd"/>
            <w:r w:rsidRPr="00A012FE">
              <w:rPr>
                <w:color w:val="000000"/>
                <w:sz w:val="20"/>
                <w:szCs w:val="20"/>
              </w:rPr>
              <w:t xml:space="preserve"> výše neuvedená</w:t>
            </w:r>
          </w:p>
        </w:tc>
        <w:tc>
          <w:tcPr>
            <w:tcW w:w="349" w:type="pct"/>
            <w:shd w:val="clear" w:color="auto" w:fill="auto"/>
            <w:noWrap/>
            <w:vAlign w:val="center"/>
            <w:hideMark/>
          </w:tcPr>
          <w:p w:rsidR="00B165C2" w:rsidRPr="00A012FE" w:rsidRDefault="00B165C2" w:rsidP="007A106C">
            <w:pPr>
              <w:jc w:val="center"/>
              <w:rPr>
                <w:color w:val="000000"/>
                <w:sz w:val="20"/>
                <w:szCs w:val="20"/>
              </w:rPr>
            </w:pPr>
            <w:r w:rsidRPr="00A012FE">
              <w:rPr>
                <w:color w:val="000000"/>
                <w:sz w:val="20"/>
                <w:szCs w:val="20"/>
              </w:rPr>
              <w:t>27a</w:t>
            </w:r>
          </w:p>
        </w:tc>
        <w:tc>
          <w:tcPr>
            <w:tcW w:w="1399" w:type="pct"/>
            <w:shd w:val="clear" w:color="auto" w:fill="auto"/>
            <w:vAlign w:val="center"/>
            <w:hideMark/>
          </w:tcPr>
          <w:p w:rsidR="00B165C2" w:rsidRPr="00A012FE" w:rsidRDefault="00B165C2" w:rsidP="007A106C">
            <w:pPr>
              <w:rPr>
                <w:color w:val="000000"/>
                <w:sz w:val="20"/>
                <w:szCs w:val="20"/>
              </w:rPr>
            </w:pPr>
            <w:r w:rsidRPr="00A012FE">
              <w:rPr>
                <w:color w:val="000000"/>
                <w:sz w:val="20"/>
                <w:szCs w:val="20"/>
              </w:rPr>
              <w:t>Neuzavření smlouvy s auditorem ve stanoveném termínu, byla</w:t>
            </w:r>
            <w:r>
              <w:rPr>
                <w:color w:val="000000"/>
                <w:sz w:val="20"/>
                <w:szCs w:val="20"/>
              </w:rPr>
              <w:t>-</w:t>
            </w:r>
            <w:r w:rsidRPr="00A012FE">
              <w:rPr>
                <w:color w:val="000000"/>
                <w:sz w:val="20"/>
                <w:szCs w:val="20"/>
              </w:rPr>
              <w:t>li smlouva uzavřena a auditní zpráva doložena.</w:t>
            </w:r>
          </w:p>
        </w:tc>
        <w:tc>
          <w:tcPr>
            <w:tcW w:w="558" w:type="pct"/>
            <w:shd w:val="clear" w:color="auto" w:fill="auto"/>
            <w:noWrap/>
            <w:vAlign w:val="center"/>
            <w:hideMark/>
          </w:tcPr>
          <w:p w:rsidR="00B165C2" w:rsidRPr="00A012FE" w:rsidRDefault="00B165C2" w:rsidP="007A106C">
            <w:pPr>
              <w:rPr>
                <w:color w:val="000000"/>
                <w:sz w:val="20"/>
                <w:szCs w:val="20"/>
              </w:rPr>
            </w:pPr>
            <w:r w:rsidRPr="00A012FE">
              <w:rPr>
                <w:color w:val="000000"/>
                <w:sz w:val="20"/>
                <w:szCs w:val="20"/>
              </w:rPr>
              <w:t>99</w:t>
            </w:r>
            <w:r>
              <w:rPr>
                <w:color w:val="000000"/>
                <w:sz w:val="20"/>
                <w:szCs w:val="20"/>
              </w:rPr>
              <w:t xml:space="preserve"> %</w:t>
            </w:r>
          </w:p>
        </w:tc>
        <w:tc>
          <w:tcPr>
            <w:tcW w:w="697" w:type="pct"/>
            <w:shd w:val="clear" w:color="auto" w:fill="auto"/>
            <w:vAlign w:val="center"/>
            <w:hideMark/>
          </w:tcPr>
          <w:p w:rsidR="00B165C2" w:rsidRPr="00A012FE" w:rsidRDefault="00B165C2" w:rsidP="007A106C">
            <w:pPr>
              <w:rPr>
                <w:color w:val="000000"/>
                <w:sz w:val="20"/>
                <w:szCs w:val="20"/>
              </w:rPr>
            </w:pPr>
            <w:r w:rsidRPr="00A012FE">
              <w:rPr>
                <w:color w:val="000000"/>
                <w:sz w:val="20"/>
                <w:szCs w:val="20"/>
              </w:rPr>
              <w:t>dotace</w:t>
            </w:r>
          </w:p>
        </w:tc>
        <w:tc>
          <w:tcPr>
            <w:tcW w:w="1470" w:type="pct"/>
            <w:shd w:val="clear" w:color="auto" w:fill="auto"/>
            <w:noWrap/>
            <w:vAlign w:val="center"/>
            <w:hideMark/>
          </w:tcPr>
          <w:p w:rsidR="00B165C2" w:rsidRPr="00A012FE" w:rsidRDefault="00B165C2" w:rsidP="007A106C">
            <w:pPr>
              <w:rPr>
                <w:color w:val="000000"/>
                <w:sz w:val="20"/>
                <w:szCs w:val="20"/>
              </w:rPr>
            </w:pPr>
            <w:r w:rsidRPr="00A012FE">
              <w:rPr>
                <w:color w:val="000000"/>
                <w:sz w:val="20"/>
                <w:szCs w:val="20"/>
              </w:rPr>
              <w:t> </w:t>
            </w:r>
          </w:p>
        </w:tc>
      </w:tr>
      <w:tr w:rsidR="00B165C2" w:rsidRPr="00A012FE" w:rsidTr="007A106C">
        <w:trPr>
          <w:trHeight w:val="960"/>
        </w:trPr>
        <w:tc>
          <w:tcPr>
            <w:tcW w:w="527" w:type="pct"/>
            <w:vMerge/>
            <w:vAlign w:val="center"/>
            <w:hideMark/>
          </w:tcPr>
          <w:p w:rsidR="00B165C2" w:rsidRPr="00A012FE" w:rsidRDefault="00B165C2" w:rsidP="007A106C">
            <w:pPr>
              <w:rPr>
                <w:color w:val="000000"/>
                <w:sz w:val="20"/>
                <w:szCs w:val="20"/>
              </w:rPr>
            </w:pPr>
          </w:p>
        </w:tc>
        <w:tc>
          <w:tcPr>
            <w:tcW w:w="349" w:type="pct"/>
            <w:shd w:val="clear" w:color="auto" w:fill="auto"/>
            <w:noWrap/>
            <w:vAlign w:val="center"/>
            <w:hideMark/>
          </w:tcPr>
          <w:p w:rsidR="00B165C2" w:rsidRPr="00A012FE" w:rsidRDefault="00B165C2" w:rsidP="007A106C">
            <w:pPr>
              <w:jc w:val="center"/>
              <w:rPr>
                <w:color w:val="000000"/>
                <w:sz w:val="20"/>
                <w:szCs w:val="20"/>
              </w:rPr>
            </w:pPr>
            <w:r w:rsidRPr="00A012FE">
              <w:rPr>
                <w:color w:val="000000"/>
                <w:sz w:val="20"/>
                <w:szCs w:val="20"/>
              </w:rPr>
              <w:t>27b</w:t>
            </w:r>
          </w:p>
        </w:tc>
        <w:tc>
          <w:tcPr>
            <w:tcW w:w="1399" w:type="pct"/>
            <w:shd w:val="clear" w:color="auto" w:fill="auto"/>
            <w:vAlign w:val="center"/>
            <w:hideMark/>
          </w:tcPr>
          <w:p w:rsidR="00B165C2" w:rsidRPr="00A012FE" w:rsidRDefault="00B165C2" w:rsidP="007A106C">
            <w:pPr>
              <w:rPr>
                <w:color w:val="000000"/>
                <w:sz w:val="20"/>
                <w:szCs w:val="20"/>
              </w:rPr>
            </w:pPr>
            <w:r w:rsidRPr="00A012FE">
              <w:rPr>
                <w:color w:val="000000"/>
                <w:sz w:val="20"/>
                <w:szCs w:val="20"/>
              </w:rPr>
              <w:t>Nedoložení externího auditu projektu, je</w:t>
            </w:r>
            <w:r>
              <w:rPr>
                <w:color w:val="000000"/>
                <w:sz w:val="20"/>
                <w:szCs w:val="20"/>
              </w:rPr>
              <w:t>-</w:t>
            </w:r>
            <w:r w:rsidRPr="00A012FE">
              <w:rPr>
                <w:color w:val="000000"/>
                <w:sz w:val="20"/>
                <w:szCs w:val="20"/>
              </w:rPr>
              <w:t>li tato povinnost stanovena.</w:t>
            </w:r>
          </w:p>
        </w:tc>
        <w:tc>
          <w:tcPr>
            <w:tcW w:w="558" w:type="pct"/>
            <w:shd w:val="clear" w:color="auto" w:fill="auto"/>
            <w:noWrap/>
            <w:vAlign w:val="center"/>
            <w:hideMark/>
          </w:tcPr>
          <w:p w:rsidR="00B165C2" w:rsidRPr="00A012FE" w:rsidRDefault="00B165C2" w:rsidP="007A106C">
            <w:pPr>
              <w:rPr>
                <w:color w:val="000000"/>
                <w:sz w:val="20"/>
                <w:szCs w:val="20"/>
              </w:rPr>
            </w:pPr>
            <w:r w:rsidRPr="00A012FE">
              <w:rPr>
                <w:color w:val="000000"/>
                <w:sz w:val="20"/>
                <w:szCs w:val="20"/>
              </w:rPr>
              <w:t>90</w:t>
            </w:r>
            <w:r>
              <w:rPr>
                <w:color w:val="000000"/>
                <w:sz w:val="20"/>
                <w:szCs w:val="20"/>
              </w:rPr>
              <w:t xml:space="preserve"> </w:t>
            </w:r>
            <w:r w:rsidRPr="00A012FE">
              <w:rPr>
                <w:color w:val="000000"/>
                <w:sz w:val="20"/>
                <w:szCs w:val="20"/>
              </w:rPr>
              <w:t>–</w:t>
            </w:r>
            <w:r>
              <w:rPr>
                <w:color w:val="000000"/>
                <w:sz w:val="20"/>
                <w:szCs w:val="20"/>
              </w:rPr>
              <w:t xml:space="preserve"> </w:t>
            </w:r>
            <w:r w:rsidRPr="00A012FE">
              <w:rPr>
                <w:color w:val="000000"/>
                <w:sz w:val="20"/>
                <w:szCs w:val="20"/>
              </w:rPr>
              <w:t>95 %</w:t>
            </w:r>
          </w:p>
        </w:tc>
        <w:tc>
          <w:tcPr>
            <w:tcW w:w="697" w:type="pct"/>
            <w:shd w:val="clear" w:color="auto" w:fill="auto"/>
            <w:vAlign w:val="center"/>
            <w:hideMark/>
          </w:tcPr>
          <w:p w:rsidR="00B165C2" w:rsidRPr="00A012FE" w:rsidRDefault="00B165C2" w:rsidP="007A106C">
            <w:pPr>
              <w:rPr>
                <w:color w:val="000000"/>
                <w:sz w:val="20"/>
                <w:szCs w:val="20"/>
              </w:rPr>
            </w:pPr>
            <w:r w:rsidRPr="00A012FE">
              <w:rPr>
                <w:color w:val="000000"/>
                <w:sz w:val="20"/>
                <w:szCs w:val="20"/>
              </w:rPr>
              <w:t>dotace</w:t>
            </w:r>
          </w:p>
        </w:tc>
        <w:tc>
          <w:tcPr>
            <w:tcW w:w="1470" w:type="pct"/>
            <w:shd w:val="clear" w:color="auto" w:fill="auto"/>
            <w:noWrap/>
            <w:vAlign w:val="center"/>
            <w:hideMark/>
          </w:tcPr>
          <w:p w:rsidR="00B165C2" w:rsidRPr="00A012FE" w:rsidRDefault="00B165C2" w:rsidP="007A106C">
            <w:pPr>
              <w:rPr>
                <w:color w:val="000000"/>
                <w:sz w:val="20"/>
                <w:szCs w:val="20"/>
              </w:rPr>
            </w:pPr>
            <w:r w:rsidRPr="00A012FE">
              <w:rPr>
                <w:color w:val="000000"/>
                <w:sz w:val="20"/>
                <w:szCs w:val="20"/>
              </w:rPr>
              <w:t> </w:t>
            </w:r>
          </w:p>
        </w:tc>
      </w:tr>
      <w:tr w:rsidR="00B165C2" w:rsidRPr="00A012FE" w:rsidTr="007A106C">
        <w:trPr>
          <w:trHeight w:val="1275"/>
        </w:trPr>
        <w:tc>
          <w:tcPr>
            <w:tcW w:w="527" w:type="pct"/>
            <w:vMerge w:val="restart"/>
            <w:shd w:val="clear" w:color="auto" w:fill="auto"/>
            <w:vAlign w:val="center"/>
            <w:hideMark/>
          </w:tcPr>
          <w:p w:rsidR="00B165C2" w:rsidRPr="00A012FE" w:rsidRDefault="00B165C2" w:rsidP="007A106C">
            <w:pPr>
              <w:jc w:val="center"/>
              <w:rPr>
                <w:color w:val="000000"/>
                <w:sz w:val="20"/>
                <w:szCs w:val="20"/>
              </w:rPr>
            </w:pPr>
            <w:r w:rsidRPr="00A012FE">
              <w:rPr>
                <w:color w:val="000000"/>
                <w:sz w:val="20"/>
                <w:szCs w:val="20"/>
              </w:rPr>
              <w:t>Podstatná změna</w:t>
            </w:r>
          </w:p>
        </w:tc>
        <w:tc>
          <w:tcPr>
            <w:tcW w:w="349" w:type="pct"/>
            <w:shd w:val="clear" w:color="auto" w:fill="auto"/>
            <w:noWrap/>
            <w:vAlign w:val="center"/>
            <w:hideMark/>
          </w:tcPr>
          <w:p w:rsidR="00B165C2" w:rsidRPr="00A012FE" w:rsidRDefault="00B165C2" w:rsidP="007A106C">
            <w:pPr>
              <w:jc w:val="center"/>
              <w:rPr>
                <w:color w:val="000000"/>
                <w:sz w:val="20"/>
                <w:szCs w:val="20"/>
              </w:rPr>
            </w:pPr>
            <w:r>
              <w:rPr>
                <w:color w:val="000000"/>
                <w:sz w:val="20"/>
                <w:szCs w:val="20"/>
              </w:rPr>
              <w:t>28</w:t>
            </w:r>
            <w:r w:rsidRPr="00A012FE">
              <w:rPr>
                <w:color w:val="000000"/>
                <w:sz w:val="20"/>
                <w:szCs w:val="20"/>
              </w:rPr>
              <w:t>a</w:t>
            </w:r>
          </w:p>
        </w:tc>
        <w:tc>
          <w:tcPr>
            <w:tcW w:w="1399" w:type="pct"/>
            <w:shd w:val="clear" w:color="auto" w:fill="auto"/>
            <w:vAlign w:val="center"/>
            <w:hideMark/>
          </w:tcPr>
          <w:p w:rsidR="00B165C2" w:rsidRPr="00A012FE" w:rsidRDefault="00B165C2" w:rsidP="007A106C">
            <w:pPr>
              <w:rPr>
                <w:color w:val="000000"/>
                <w:sz w:val="20"/>
                <w:szCs w:val="20"/>
              </w:rPr>
            </w:pPr>
            <w:r w:rsidRPr="00A012FE">
              <w:rPr>
                <w:color w:val="000000"/>
                <w:sz w:val="20"/>
                <w:szCs w:val="20"/>
              </w:rPr>
              <w:t>Provedení podstatné změny projektu bez schválení poskytovatelem – v případě, kdy provedení změny není bezprostředně vázáno na uskutečněný výdaj.</w:t>
            </w:r>
          </w:p>
        </w:tc>
        <w:tc>
          <w:tcPr>
            <w:tcW w:w="558" w:type="pct"/>
            <w:shd w:val="clear" w:color="auto" w:fill="auto"/>
            <w:vAlign w:val="center"/>
            <w:hideMark/>
          </w:tcPr>
          <w:p w:rsidR="00B165C2" w:rsidRPr="00A012FE" w:rsidRDefault="00B165C2" w:rsidP="007A106C">
            <w:pPr>
              <w:rPr>
                <w:color w:val="000000"/>
                <w:sz w:val="20"/>
                <w:szCs w:val="20"/>
              </w:rPr>
            </w:pPr>
            <w:r w:rsidRPr="00A012FE">
              <w:rPr>
                <w:color w:val="000000"/>
                <w:sz w:val="20"/>
                <w:szCs w:val="20"/>
              </w:rPr>
              <w:t>95 – 99%</w:t>
            </w:r>
          </w:p>
        </w:tc>
        <w:tc>
          <w:tcPr>
            <w:tcW w:w="697" w:type="pct"/>
            <w:shd w:val="clear" w:color="auto" w:fill="auto"/>
            <w:vAlign w:val="center"/>
            <w:hideMark/>
          </w:tcPr>
          <w:p w:rsidR="00B165C2" w:rsidRPr="00A012FE" w:rsidRDefault="00B165C2" w:rsidP="007A106C">
            <w:pPr>
              <w:rPr>
                <w:color w:val="000000"/>
                <w:sz w:val="20"/>
                <w:szCs w:val="20"/>
              </w:rPr>
            </w:pPr>
            <w:r w:rsidRPr="00A012FE">
              <w:rPr>
                <w:color w:val="000000"/>
                <w:sz w:val="20"/>
                <w:szCs w:val="20"/>
              </w:rPr>
              <w:t>dotace</w:t>
            </w:r>
          </w:p>
        </w:tc>
        <w:tc>
          <w:tcPr>
            <w:tcW w:w="1470" w:type="pct"/>
            <w:shd w:val="clear" w:color="auto" w:fill="auto"/>
            <w:vAlign w:val="center"/>
            <w:hideMark/>
          </w:tcPr>
          <w:p w:rsidR="00B165C2" w:rsidRPr="00A012FE" w:rsidRDefault="00B165C2" w:rsidP="007A106C">
            <w:pPr>
              <w:rPr>
                <w:color w:val="000000"/>
                <w:sz w:val="20"/>
                <w:szCs w:val="20"/>
              </w:rPr>
            </w:pPr>
            <w:r w:rsidRPr="00A012FE">
              <w:rPr>
                <w:color w:val="000000"/>
                <w:sz w:val="20"/>
                <w:szCs w:val="20"/>
              </w:rPr>
              <w:t xml:space="preserve">V případě, kdy je provedení podstatné změny spojeno s výdajem, posuzuje se vznik NES/PRK ve vztahu k tomuto výdaji. </w:t>
            </w:r>
          </w:p>
        </w:tc>
      </w:tr>
      <w:tr w:rsidR="00B165C2" w:rsidRPr="00A012FE" w:rsidTr="007A106C">
        <w:trPr>
          <w:trHeight w:val="1530"/>
        </w:trPr>
        <w:tc>
          <w:tcPr>
            <w:tcW w:w="527" w:type="pct"/>
            <w:vMerge/>
            <w:vAlign w:val="center"/>
            <w:hideMark/>
          </w:tcPr>
          <w:p w:rsidR="00B165C2" w:rsidRPr="00A012FE" w:rsidRDefault="00B165C2" w:rsidP="007A106C">
            <w:pPr>
              <w:rPr>
                <w:color w:val="000000"/>
                <w:sz w:val="20"/>
                <w:szCs w:val="20"/>
              </w:rPr>
            </w:pPr>
          </w:p>
        </w:tc>
        <w:tc>
          <w:tcPr>
            <w:tcW w:w="349" w:type="pct"/>
            <w:shd w:val="clear" w:color="auto" w:fill="auto"/>
            <w:noWrap/>
            <w:vAlign w:val="center"/>
            <w:hideMark/>
          </w:tcPr>
          <w:p w:rsidR="00B165C2" w:rsidRPr="00A012FE" w:rsidRDefault="00B165C2" w:rsidP="007A106C">
            <w:pPr>
              <w:jc w:val="center"/>
              <w:rPr>
                <w:color w:val="000000"/>
                <w:sz w:val="20"/>
                <w:szCs w:val="20"/>
              </w:rPr>
            </w:pPr>
            <w:r>
              <w:rPr>
                <w:color w:val="000000"/>
                <w:sz w:val="20"/>
                <w:szCs w:val="20"/>
              </w:rPr>
              <w:t>29</w:t>
            </w:r>
            <w:r w:rsidRPr="00A012FE">
              <w:rPr>
                <w:color w:val="000000"/>
                <w:sz w:val="20"/>
                <w:szCs w:val="20"/>
              </w:rPr>
              <w:t>b</w:t>
            </w:r>
          </w:p>
        </w:tc>
        <w:tc>
          <w:tcPr>
            <w:tcW w:w="1399" w:type="pct"/>
            <w:shd w:val="clear" w:color="auto" w:fill="auto"/>
            <w:vAlign w:val="center"/>
            <w:hideMark/>
          </w:tcPr>
          <w:p w:rsidR="00B165C2" w:rsidRPr="00A012FE" w:rsidRDefault="00B165C2" w:rsidP="007A106C">
            <w:pPr>
              <w:rPr>
                <w:color w:val="000000"/>
                <w:sz w:val="20"/>
                <w:szCs w:val="20"/>
              </w:rPr>
            </w:pPr>
            <w:r w:rsidRPr="00A012FE">
              <w:rPr>
                <w:color w:val="000000"/>
                <w:sz w:val="20"/>
                <w:szCs w:val="20"/>
              </w:rPr>
              <w:t>Provedení podstatné změny projektu bez schválení poskytovatelem – v případě, že by podstatná změna nebyla schválena.</w:t>
            </w:r>
          </w:p>
        </w:tc>
        <w:tc>
          <w:tcPr>
            <w:tcW w:w="558" w:type="pct"/>
            <w:shd w:val="clear" w:color="auto" w:fill="auto"/>
            <w:vAlign w:val="center"/>
            <w:hideMark/>
          </w:tcPr>
          <w:p w:rsidR="00B165C2" w:rsidRPr="00A012FE" w:rsidRDefault="00B165C2" w:rsidP="007A106C">
            <w:pPr>
              <w:rPr>
                <w:color w:val="000000"/>
                <w:sz w:val="20"/>
                <w:szCs w:val="20"/>
              </w:rPr>
            </w:pPr>
            <w:r w:rsidRPr="00A012FE">
              <w:rPr>
                <w:color w:val="000000"/>
                <w:sz w:val="20"/>
                <w:szCs w:val="20"/>
              </w:rPr>
              <w:t>0 %</w:t>
            </w:r>
          </w:p>
        </w:tc>
        <w:tc>
          <w:tcPr>
            <w:tcW w:w="697" w:type="pct"/>
            <w:shd w:val="clear" w:color="auto" w:fill="auto"/>
            <w:vAlign w:val="center"/>
            <w:hideMark/>
          </w:tcPr>
          <w:p w:rsidR="00B165C2" w:rsidRPr="00A012FE" w:rsidRDefault="00B165C2" w:rsidP="007A106C">
            <w:pPr>
              <w:rPr>
                <w:color w:val="000000"/>
                <w:sz w:val="20"/>
                <w:szCs w:val="20"/>
              </w:rPr>
            </w:pPr>
            <w:r w:rsidRPr="00A012FE">
              <w:rPr>
                <w:color w:val="000000"/>
                <w:sz w:val="20"/>
                <w:szCs w:val="20"/>
              </w:rPr>
              <w:t>dotace</w:t>
            </w:r>
          </w:p>
        </w:tc>
        <w:tc>
          <w:tcPr>
            <w:tcW w:w="1470" w:type="pct"/>
            <w:shd w:val="clear" w:color="auto" w:fill="auto"/>
            <w:vAlign w:val="center"/>
            <w:hideMark/>
          </w:tcPr>
          <w:p w:rsidR="00B165C2" w:rsidRPr="00A012FE" w:rsidRDefault="00B165C2" w:rsidP="007A106C">
            <w:pPr>
              <w:rPr>
                <w:color w:val="000000"/>
                <w:sz w:val="20"/>
                <w:szCs w:val="20"/>
              </w:rPr>
            </w:pPr>
            <w:r w:rsidRPr="00A012FE">
              <w:rPr>
                <w:color w:val="000000"/>
                <w:sz w:val="20"/>
                <w:szCs w:val="20"/>
              </w:rPr>
              <w:t>Týká se tzv. zakázaných podstatných změn – např. změna cílů projektu nebo změna mající vliv na možnost získat dotaci/být příjemcem.</w:t>
            </w:r>
          </w:p>
        </w:tc>
      </w:tr>
      <w:tr w:rsidR="00B165C2" w:rsidRPr="00A012FE" w:rsidTr="007A106C">
        <w:trPr>
          <w:trHeight w:val="765"/>
        </w:trPr>
        <w:tc>
          <w:tcPr>
            <w:tcW w:w="527" w:type="pct"/>
            <w:vMerge w:val="restart"/>
            <w:shd w:val="clear" w:color="auto" w:fill="auto"/>
            <w:vAlign w:val="center"/>
            <w:hideMark/>
          </w:tcPr>
          <w:p w:rsidR="00B165C2" w:rsidRPr="00A012FE" w:rsidRDefault="00B165C2" w:rsidP="007A106C">
            <w:pPr>
              <w:jc w:val="center"/>
              <w:rPr>
                <w:color w:val="000000"/>
                <w:sz w:val="20"/>
                <w:szCs w:val="20"/>
              </w:rPr>
            </w:pPr>
            <w:r>
              <w:rPr>
                <w:color w:val="000000"/>
                <w:sz w:val="20"/>
                <w:szCs w:val="20"/>
              </w:rPr>
              <w:t>Monitorovací indikátory</w:t>
            </w:r>
            <w:r>
              <w:rPr>
                <w:rStyle w:val="Znakapoznpodarou"/>
                <w:color w:val="000000"/>
                <w:sz w:val="20"/>
                <w:szCs w:val="20"/>
              </w:rPr>
              <w:footnoteReference w:id="4"/>
            </w:r>
          </w:p>
        </w:tc>
        <w:tc>
          <w:tcPr>
            <w:tcW w:w="349" w:type="pct"/>
            <w:shd w:val="clear" w:color="auto" w:fill="auto"/>
            <w:noWrap/>
            <w:vAlign w:val="center"/>
            <w:hideMark/>
          </w:tcPr>
          <w:p w:rsidR="00B165C2" w:rsidRPr="00A012FE" w:rsidRDefault="00B165C2" w:rsidP="007A106C">
            <w:pPr>
              <w:jc w:val="center"/>
              <w:rPr>
                <w:color w:val="000000"/>
                <w:sz w:val="20"/>
                <w:szCs w:val="20"/>
              </w:rPr>
            </w:pPr>
            <w:r w:rsidRPr="00A012FE">
              <w:rPr>
                <w:color w:val="000000"/>
                <w:sz w:val="20"/>
                <w:szCs w:val="20"/>
              </w:rPr>
              <w:t>3</w:t>
            </w:r>
            <w:r>
              <w:rPr>
                <w:color w:val="000000"/>
                <w:sz w:val="20"/>
                <w:szCs w:val="20"/>
              </w:rPr>
              <w:t>0</w:t>
            </w:r>
            <w:r w:rsidRPr="00A012FE">
              <w:rPr>
                <w:color w:val="000000"/>
                <w:sz w:val="20"/>
                <w:szCs w:val="20"/>
              </w:rPr>
              <w:t>a</w:t>
            </w:r>
          </w:p>
        </w:tc>
        <w:tc>
          <w:tcPr>
            <w:tcW w:w="1399" w:type="pct"/>
            <w:shd w:val="clear" w:color="auto" w:fill="auto"/>
            <w:vAlign w:val="center"/>
            <w:hideMark/>
          </w:tcPr>
          <w:p w:rsidR="00B165C2" w:rsidRPr="00A012FE" w:rsidRDefault="00B165C2" w:rsidP="007A106C">
            <w:pPr>
              <w:rPr>
                <w:color w:val="000000"/>
                <w:sz w:val="20"/>
                <w:szCs w:val="20"/>
              </w:rPr>
            </w:pPr>
            <w:r w:rsidRPr="00A012FE">
              <w:rPr>
                <w:color w:val="000000"/>
                <w:sz w:val="20"/>
                <w:szCs w:val="20"/>
              </w:rPr>
              <w:t>Nenaplnění cílové hodno</w:t>
            </w:r>
            <w:r>
              <w:rPr>
                <w:color w:val="000000"/>
                <w:sz w:val="20"/>
                <w:szCs w:val="20"/>
              </w:rPr>
              <w:t xml:space="preserve">ty monitorovacích indikátorů – </w:t>
            </w:r>
            <w:r w:rsidRPr="00A012FE">
              <w:rPr>
                <w:color w:val="000000"/>
                <w:sz w:val="20"/>
                <w:szCs w:val="20"/>
              </w:rPr>
              <w:t>nenaplnění indikátorů o více než 50 %.</w:t>
            </w:r>
          </w:p>
        </w:tc>
        <w:tc>
          <w:tcPr>
            <w:tcW w:w="558" w:type="pct"/>
            <w:shd w:val="clear" w:color="auto" w:fill="auto"/>
            <w:vAlign w:val="center"/>
            <w:hideMark/>
          </w:tcPr>
          <w:p w:rsidR="00B165C2" w:rsidRPr="00A012FE" w:rsidRDefault="00B165C2" w:rsidP="007A106C">
            <w:pPr>
              <w:rPr>
                <w:color w:val="000000"/>
                <w:sz w:val="20"/>
                <w:szCs w:val="20"/>
              </w:rPr>
            </w:pPr>
            <w:r w:rsidRPr="00A012FE">
              <w:rPr>
                <w:color w:val="000000"/>
                <w:sz w:val="20"/>
                <w:szCs w:val="20"/>
              </w:rPr>
              <w:t>0 %</w:t>
            </w:r>
          </w:p>
        </w:tc>
        <w:tc>
          <w:tcPr>
            <w:tcW w:w="697" w:type="pct"/>
            <w:shd w:val="clear" w:color="auto" w:fill="auto"/>
            <w:vAlign w:val="center"/>
            <w:hideMark/>
          </w:tcPr>
          <w:p w:rsidR="00B165C2" w:rsidRPr="00A012FE" w:rsidRDefault="00B165C2" w:rsidP="007A106C">
            <w:pPr>
              <w:rPr>
                <w:color w:val="000000"/>
                <w:sz w:val="20"/>
                <w:szCs w:val="20"/>
              </w:rPr>
            </w:pPr>
            <w:r w:rsidRPr="00A012FE">
              <w:rPr>
                <w:color w:val="000000"/>
                <w:sz w:val="20"/>
                <w:szCs w:val="20"/>
              </w:rPr>
              <w:t>dotace</w:t>
            </w:r>
          </w:p>
        </w:tc>
        <w:tc>
          <w:tcPr>
            <w:tcW w:w="1470" w:type="pct"/>
            <w:shd w:val="clear" w:color="auto" w:fill="auto"/>
            <w:noWrap/>
            <w:vAlign w:val="center"/>
            <w:hideMark/>
          </w:tcPr>
          <w:p w:rsidR="00B165C2" w:rsidRPr="00A012FE" w:rsidRDefault="00B165C2" w:rsidP="007A106C">
            <w:pPr>
              <w:rPr>
                <w:color w:val="000000"/>
                <w:sz w:val="20"/>
                <w:szCs w:val="20"/>
              </w:rPr>
            </w:pPr>
            <w:r w:rsidRPr="00A012FE">
              <w:rPr>
                <w:color w:val="000000"/>
                <w:sz w:val="20"/>
                <w:szCs w:val="20"/>
              </w:rPr>
              <w:t> </w:t>
            </w:r>
          </w:p>
        </w:tc>
      </w:tr>
      <w:tr w:rsidR="00B165C2" w:rsidRPr="00A012FE" w:rsidTr="007A106C">
        <w:trPr>
          <w:trHeight w:val="1530"/>
        </w:trPr>
        <w:tc>
          <w:tcPr>
            <w:tcW w:w="527" w:type="pct"/>
            <w:vMerge/>
            <w:vAlign w:val="center"/>
            <w:hideMark/>
          </w:tcPr>
          <w:p w:rsidR="00B165C2" w:rsidRPr="00A012FE" w:rsidRDefault="00B165C2" w:rsidP="007A106C">
            <w:pPr>
              <w:rPr>
                <w:color w:val="000000"/>
                <w:sz w:val="20"/>
                <w:szCs w:val="20"/>
              </w:rPr>
            </w:pPr>
          </w:p>
        </w:tc>
        <w:tc>
          <w:tcPr>
            <w:tcW w:w="349" w:type="pct"/>
            <w:shd w:val="clear" w:color="auto" w:fill="auto"/>
            <w:noWrap/>
            <w:vAlign w:val="center"/>
            <w:hideMark/>
          </w:tcPr>
          <w:p w:rsidR="00B165C2" w:rsidRPr="00A012FE" w:rsidRDefault="00B165C2" w:rsidP="007A106C">
            <w:pPr>
              <w:jc w:val="center"/>
              <w:rPr>
                <w:color w:val="000000"/>
                <w:sz w:val="20"/>
                <w:szCs w:val="20"/>
              </w:rPr>
            </w:pPr>
            <w:r w:rsidRPr="00A012FE">
              <w:rPr>
                <w:color w:val="000000"/>
                <w:sz w:val="20"/>
                <w:szCs w:val="20"/>
              </w:rPr>
              <w:t>3</w:t>
            </w:r>
            <w:r>
              <w:rPr>
                <w:color w:val="000000"/>
                <w:sz w:val="20"/>
                <w:szCs w:val="20"/>
              </w:rPr>
              <w:t>0</w:t>
            </w:r>
            <w:r w:rsidRPr="00A012FE">
              <w:rPr>
                <w:color w:val="000000"/>
                <w:sz w:val="20"/>
                <w:szCs w:val="20"/>
              </w:rPr>
              <w:t>b</w:t>
            </w:r>
          </w:p>
        </w:tc>
        <w:tc>
          <w:tcPr>
            <w:tcW w:w="1399" w:type="pct"/>
            <w:shd w:val="clear" w:color="auto" w:fill="auto"/>
            <w:vAlign w:val="center"/>
            <w:hideMark/>
          </w:tcPr>
          <w:p w:rsidR="00B165C2" w:rsidRPr="00A012FE" w:rsidRDefault="00B165C2" w:rsidP="007A106C">
            <w:pPr>
              <w:rPr>
                <w:color w:val="000000"/>
                <w:sz w:val="20"/>
                <w:szCs w:val="20"/>
              </w:rPr>
            </w:pPr>
            <w:r w:rsidRPr="00A012FE">
              <w:rPr>
                <w:color w:val="000000"/>
                <w:sz w:val="20"/>
                <w:szCs w:val="20"/>
              </w:rPr>
              <w:t>Nenaplnění cílové hodnoty monitorovacích indikátorů – neoprávněné použití dotace lze konkrétně vyčíslit (lze přesně vyčíslit hodnotu nedodrženého indikátoru) a odvod je uložen v dané konkrétní výši. Zároveň platí, že hodnota indikátorů byla naplněna minimálně z 50 %.</w:t>
            </w:r>
          </w:p>
        </w:tc>
        <w:tc>
          <w:tcPr>
            <w:tcW w:w="558" w:type="pct"/>
            <w:shd w:val="clear" w:color="auto" w:fill="auto"/>
            <w:noWrap/>
            <w:vAlign w:val="center"/>
            <w:hideMark/>
          </w:tcPr>
          <w:p w:rsidR="00B165C2" w:rsidRPr="00A012FE" w:rsidRDefault="00B165C2" w:rsidP="007A106C">
            <w:pPr>
              <w:rPr>
                <w:color w:val="000000"/>
                <w:sz w:val="20"/>
                <w:szCs w:val="20"/>
              </w:rPr>
            </w:pPr>
            <w:r w:rsidRPr="00A012FE">
              <w:rPr>
                <w:color w:val="000000"/>
                <w:sz w:val="20"/>
                <w:szCs w:val="20"/>
              </w:rPr>
              <w:t>0 %</w:t>
            </w:r>
          </w:p>
        </w:tc>
        <w:tc>
          <w:tcPr>
            <w:tcW w:w="697" w:type="pct"/>
            <w:shd w:val="clear" w:color="auto" w:fill="auto"/>
            <w:vAlign w:val="center"/>
            <w:hideMark/>
          </w:tcPr>
          <w:p w:rsidR="00B165C2" w:rsidRPr="00A012FE" w:rsidRDefault="00B165C2" w:rsidP="007A106C">
            <w:pPr>
              <w:rPr>
                <w:color w:val="000000"/>
                <w:sz w:val="20"/>
                <w:szCs w:val="20"/>
              </w:rPr>
            </w:pPr>
            <w:r w:rsidRPr="00A012FE">
              <w:rPr>
                <w:color w:val="000000"/>
                <w:sz w:val="20"/>
                <w:szCs w:val="20"/>
              </w:rPr>
              <w:t>částka týkající se nenaplněného indikátoru</w:t>
            </w:r>
          </w:p>
        </w:tc>
        <w:tc>
          <w:tcPr>
            <w:tcW w:w="1470" w:type="pct"/>
            <w:shd w:val="clear" w:color="auto" w:fill="auto"/>
            <w:noWrap/>
            <w:vAlign w:val="center"/>
            <w:hideMark/>
          </w:tcPr>
          <w:p w:rsidR="00B165C2" w:rsidRPr="00A012FE" w:rsidRDefault="00B165C2" w:rsidP="007A106C">
            <w:pPr>
              <w:rPr>
                <w:color w:val="000000"/>
                <w:sz w:val="20"/>
                <w:szCs w:val="20"/>
              </w:rPr>
            </w:pPr>
            <w:r w:rsidRPr="00A012FE">
              <w:rPr>
                <w:color w:val="000000"/>
                <w:sz w:val="20"/>
                <w:szCs w:val="20"/>
              </w:rPr>
              <w:t> </w:t>
            </w:r>
          </w:p>
        </w:tc>
      </w:tr>
      <w:tr w:rsidR="00B165C2" w:rsidRPr="00A012FE" w:rsidTr="007A106C">
        <w:trPr>
          <w:trHeight w:val="5610"/>
        </w:trPr>
        <w:tc>
          <w:tcPr>
            <w:tcW w:w="527" w:type="pct"/>
            <w:vMerge/>
            <w:vAlign w:val="center"/>
            <w:hideMark/>
          </w:tcPr>
          <w:p w:rsidR="00B165C2" w:rsidRPr="00A012FE" w:rsidRDefault="00B165C2" w:rsidP="007A106C">
            <w:pPr>
              <w:rPr>
                <w:color w:val="000000"/>
                <w:sz w:val="20"/>
                <w:szCs w:val="20"/>
              </w:rPr>
            </w:pPr>
          </w:p>
        </w:tc>
        <w:tc>
          <w:tcPr>
            <w:tcW w:w="349" w:type="pct"/>
            <w:shd w:val="clear" w:color="auto" w:fill="auto"/>
            <w:noWrap/>
            <w:vAlign w:val="center"/>
            <w:hideMark/>
          </w:tcPr>
          <w:p w:rsidR="00B165C2" w:rsidRPr="00A012FE" w:rsidRDefault="00B165C2" w:rsidP="007A106C">
            <w:pPr>
              <w:jc w:val="center"/>
              <w:rPr>
                <w:color w:val="000000"/>
                <w:sz w:val="20"/>
                <w:szCs w:val="20"/>
              </w:rPr>
            </w:pPr>
            <w:r w:rsidRPr="00A012FE">
              <w:rPr>
                <w:color w:val="000000"/>
                <w:sz w:val="20"/>
                <w:szCs w:val="20"/>
              </w:rPr>
              <w:t>3</w:t>
            </w:r>
            <w:r>
              <w:rPr>
                <w:color w:val="000000"/>
                <w:sz w:val="20"/>
                <w:szCs w:val="20"/>
              </w:rPr>
              <w:t>0</w:t>
            </w:r>
            <w:r w:rsidRPr="00A012FE">
              <w:rPr>
                <w:color w:val="000000"/>
                <w:sz w:val="20"/>
                <w:szCs w:val="20"/>
              </w:rPr>
              <w:t>c</w:t>
            </w:r>
          </w:p>
        </w:tc>
        <w:tc>
          <w:tcPr>
            <w:tcW w:w="1399" w:type="pct"/>
            <w:shd w:val="clear" w:color="auto" w:fill="auto"/>
            <w:vAlign w:val="center"/>
            <w:hideMark/>
          </w:tcPr>
          <w:p w:rsidR="00B165C2" w:rsidRPr="00A012FE" w:rsidRDefault="00B165C2" w:rsidP="007A106C">
            <w:pPr>
              <w:rPr>
                <w:color w:val="000000"/>
                <w:sz w:val="20"/>
                <w:szCs w:val="20"/>
              </w:rPr>
            </w:pPr>
            <w:r w:rsidRPr="00A012FE">
              <w:rPr>
                <w:color w:val="000000"/>
                <w:sz w:val="20"/>
                <w:szCs w:val="20"/>
              </w:rPr>
              <w:t>Nenaplnění cílové hodnoty monitorovacích indikátorů – neoprávněné použití dotace nelze konkrétně vyčíslit (nelze přesně vyčíslit hodnotu nedodrženého indikátoru) a odvod je uložen ve výši poskytnutých prostředků. Zároveň platí, že hodnota indikátorů byla naplněna minimálně z 50 %.</w:t>
            </w:r>
          </w:p>
        </w:tc>
        <w:tc>
          <w:tcPr>
            <w:tcW w:w="558" w:type="pct"/>
            <w:shd w:val="clear" w:color="auto" w:fill="auto"/>
            <w:vAlign w:val="center"/>
            <w:hideMark/>
          </w:tcPr>
          <w:p w:rsidR="00B165C2" w:rsidRPr="00A012FE" w:rsidRDefault="00B165C2" w:rsidP="007A106C">
            <w:pPr>
              <w:rPr>
                <w:color w:val="000000"/>
                <w:sz w:val="20"/>
                <w:szCs w:val="20"/>
              </w:rPr>
            </w:pPr>
            <w:r w:rsidRPr="00A012FE">
              <w:rPr>
                <w:color w:val="000000"/>
                <w:sz w:val="20"/>
                <w:szCs w:val="20"/>
              </w:rPr>
              <w:t xml:space="preserve">Procento prominutí bude odpovídat míře naplnění hodnot </w:t>
            </w:r>
            <w:r>
              <w:rPr>
                <w:color w:val="000000"/>
                <w:sz w:val="20"/>
                <w:szCs w:val="20"/>
              </w:rPr>
              <w:t>monitorovacích indikátorů</w:t>
            </w:r>
          </w:p>
        </w:tc>
        <w:tc>
          <w:tcPr>
            <w:tcW w:w="697" w:type="pct"/>
            <w:shd w:val="clear" w:color="auto" w:fill="auto"/>
            <w:vAlign w:val="center"/>
            <w:hideMark/>
          </w:tcPr>
          <w:p w:rsidR="00B165C2" w:rsidRPr="00A012FE" w:rsidRDefault="00B165C2" w:rsidP="007A106C">
            <w:pPr>
              <w:rPr>
                <w:color w:val="000000"/>
                <w:sz w:val="20"/>
                <w:szCs w:val="20"/>
              </w:rPr>
            </w:pPr>
            <w:r w:rsidRPr="00A012FE">
              <w:rPr>
                <w:color w:val="000000"/>
                <w:sz w:val="20"/>
                <w:szCs w:val="20"/>
              </w:rPr>
              <w:t>dotace</w:t>
            </w:r>
          </w:p>
        </w:tc>
        <w:tc>
          <w:tcPr>
            <w:tcW w:w="1470" w:type="pct"/>
            <w:shd w:val="clear" w:color="auto" w:fill="auto"/>
            <w:vAlign w:val="center"/>
            <w:hideMark/>
          </w:tcPr>
          <w:p w:rsidR="00B165C2" w:rsidRPr="00443F68" w:rsidRDefault="00B165C2" w:rsidP="007A106C">
            <w:r w:rsidRPr="00F73DEA">
              <w:t>Míra splnění hodnoty monitorovacího indikátoru se počítá způsobem aritmetického průměru procentního naplnění každého z monitorovacích indikátorů, ke kterým se příjemce zavázal ve smlouvě (zaokrouhlená matematicky na dvě desetinná místa). Při naplnění monitorovacího indikátoru nad hodnotu uvedenou ve smlouvě odpovídá míra naplnění tohoto MI 100 %. Míra dosažení indikátoru 07.41.20 Počet podpořených osob – poskytovatelé služeb je vždy 100 % bez ohledu na jeho skutečně dosaženou hodnotu</w:t>
            </w:r>
            <w:r>
              <w:t>.</w:t>
            </w:r>
            <w:r>
              <w:rPr>
                <w:rStyle w:val="Znakapoznpodarou"/>
                <w:color w:val="000000"/>
                <w:sz w:val="20"/>
                <w:szCs w:val="20"/>
              </w:rPr>
              <w:footnoteReference w:id="5"/>
            </w:r>
          </w:p>
        </w:tc>
      </w:tr>
      <w:tr w:rsidR="00B165C2" w:rsidRPr="00A012FE" w:rsidTr="007A106C">
        <w:trPr>
          <w:trHeight w:val="765"/>
        </w:trPr>
        <w:tc>
          <w:tcPr>
            <w:tcW w:w="527" w:type="pct"/>
            <w:vMerge/>
            <w:vAlign w:val="center"/>
            <w:hideMark/>
          </w:tcPr>
          <w:p w:rsidR="00B165C2" w:rsidRPr="00A012FE" w:rsidRDefault="00B165C2" w:rsidP="007A106C">
            <w:pPr>
              <w:rPr>
                <w:color w:val="000000"/>
                <w:sz w:val="20"/>
                <w:szCs w:val="20"/>
              </w:rPr>
            </w:pPr>
          </w:p>
        </w:tc>
        <w:tc>
          <w:tcPr>
            <w:tcW w:w="349" w:type="pct"/>
            <w:shd w:val="clear" w:color="auto" w:fill="auto"/>
            <w:noWrap/>
            <w:vAlign w:val="center"/>
            <w:hideMark/>
          </w:tcPr>
          <w:p w:rsidR="00B165C2" w:rsidRPr="00A012FE" w:rsidRDefault="00B165C2" w:rsidP="007A106C">
            <w:pPr>
              <w:jc w:val="center"/>
              <w:rPr>
                <w:color w:val="000000"/>
                <w:sz w:val="20"/>
                <w:szCs w:val="20"/>
              </w:rPr>
            </w:pPr>
            <w:r w:rsidRPr="00A012FE">
              <w:rPr>
                <w:color w:val="000000"/>
                <w:sz w:val="20"/>
                <w:szCs w:val="20"/>
              </w:rPr>
              <w:t>3</w:t>
            </w:r>
            <w:r>
              <w:rPr>
                <w:color w:val="000000"/>
                <w:sz w:val="20"/>
                <w:szCs w:val="20"/>
              </w:rPr>
              <w:t>0</w:t>
            </w:r>
            <w:r w:rsidRPr="00A012FE">
              <w:rPr>
                <w:color w:val="000000"/>
                <w:sz w:val="20"/>
                <w:szCs w:val="20"/>
              </w:rPr>
              <w:t>d</w:t>
            </w:r>
          </w:p>
        </w:tc>
        <w:tc>
          <w:tcPr>
            <w:tcW w:w="1399" w:type="pct"/>
            <w:shd w:val="clear" w:color="auto" w:fill="auto"/>
            <w:vAlign w:val="center"/>
            <w:hideMark/>
          </w:tcPr>
          <w:p w:rsidR="00B165C2" w:rsidRPr="00A012FE" w:rsidRDefault="00B165C2" w:rsidP="007A106C">
            <w:pPr>
              <w:rPr>
                <w:color w:val="000000"/>
                <w:sz w:val="20"/>
                <w:szCs w:val="20"/>
              </w:rPr>
            </w:pPr>
            <w:r w:rsidRPr="00A012FE">
              <w:rPr>
                <w:color w:val="000000"/>
                <w:sz w:val="20"/>
                <w:szCs w:val="20"/>
              </w:rPr>
              <w:t>Nenaplnění cílové hodnoty indikátoru 07.41.20 Počet podpořených osob – poskytovatelé služeb.</w:t>
            </w:r>
          </w:p>
        </w:tc>
        <w:tc>
          <w:tcPr>
            <w:tcW w:w="558" w:type="pct"/>
            <w:shd w:val="clear" w:color="auto" w:fill="auto"/>
            <w:noWrap/>
            <w:vAlign w:val="center"/>
            <w:hideMark/>
          </w:tcPr>
          <w:p w:rsidR="00B165C2" w:rsidRPr="00A012FE" w:rsidRDefault="00B165C2" w:rsidP="007A106C">
            <w:pPr>
              <w:rPr>
                <w:color w:val="000000"/>
                <w:sz w:val="20"/>
                <w:szCs w:val="20"/>
              </w:rPr>
            </w:pPr>
            <w:r w:rsidRPr="00A012FE">
              <w:rPr>
                <w:color w:val="000000"/>
                <w:sz w:val="20"/>
                <w:szCs w:val="20"/>
              </w:rPr>
              <w:t>100 %</w:t>
            </w:r>
          </w:p>
        </w:tc>
        <w:tc>
          <w:tcPr>
            <w:tcW w:w="697" w:type="pct"/>
            <w:shd w:val="clear" w:color="auto" w:fill="auto"/>
            <w:vAlign w:val="center"/>
            <w:hideMark/>
          </w:tcPr>
          <w:p w:rsidR="00B165C2" w:rsidRPr="00A012FE" w:rsidRDefault="00B165C2" w:rsidP="007A106C">
            <w:pPr>
              <w:rPr>
                <w:color w:val="000000"/>
                <w:sz w:val="20"/>
                <w:szCs w:val="20"/>
              </w:rPr>
            </w:pPr>
            <w:r w:rsidRPr="00A012FE">
              <w:rPr>
                <w:color w:val="000000"/>
                <w:sz w:val="20"/>
                <w:szCs w:val="20"/>
              </w:rPr>
              <w:t>částka týkající se nenaplněného indikátoru</w:t>
            </w:r>
          </w:p>
        </w:tc>
        <w:tc>
          <w:tcPr>
            <w:tcW w:w="1470" w:type="pct"/>
            <w:shd w:val="clear" w:color="auto" w:fill="auto"/>
            <w:noWrap/>
            <w:vAlign w:val="center"/>
            <w:hideMark/>
          </w:tcPr>
          <w:p w:rsidR="00B165C2" w:rsidRPr="00A012FE" w:rsidRDefault="00B165C2" w:rsidP="007A106C">
            <w:pPr>
              <w:rPr>
                <w:color w:val="000000"/>
                <w:sz w:val="20"/>
                <w:szCs w:val="20"/>
              </w:rPr>
            </w:pPr>
            <w:r w:rsidRPr="00A012FE">
              <w:rPr>
                <w:color w:val="000000"/>
                <w:sz w:val="20"/>
                <w:szCs w:val="20"/>
              </w:rPr>
              <w:t> </w:t>
            </w:r>
          </w:p>
        </w:tc>
      </w:tr>
      <w:tr w:rsidR="00B165C2" w:rsidRPr="00A012FE" w:rsidTr="007A106C">
        <w:trPr>
          <w:trHeight w:val="1020"/>
        </w:trPr>
        <w:tc>
          <w:tcPr>
            <w:tcW w:w="527" w:type="pct"/>
            <w:shd w:val="clear" w:color="auto" w:fill="auto"/>
            <w:vAlign w:val="center"/>
            <w:hideMark/>
          </w:tcPr>
          <w:p w:rsidR="00B165C2" w:rsidRPr="00A012FE" w:rsidRDefault="00B165C2" w:rsidP="007A106C">
            <w:pPr>
              <w:jc w:val="center"/>
              <w:rPr>
                <w:color w:val="000000"/>
                <w:sz w:val="20"/>
                <w:szCs w:val="20"/>
              </w:rPr>
            </w:pPr>
            <w:r w:rsidRPr="00A012FE">
              <w:rPr>
                <w:color w:val="000000"/>
                <w:sz w:val="20"/>
                <w:szCs w:val="20"/>
              </w:rPr>
              <w:t>Součinnost s</w:t>
            </w:r>
            <w:r>
              <w:rPr>
                <w:color w:val="000000"/>
                <w:sz w:val="20"/>
                <w:szCs w:val="20"/>
              </w:rPr>
              <w:t xml:space="preserve"> </w:t>
            </w:r>
            <w:proofErr w:type="spellStart"/>
            <w:r w:rsidRPr="00A012FE">
              <w:rPr>
                <w:color w:val="000000"/>
                <w:sz w:val="20"/>
                <w:szCs w:val="20"/>
              </w:rPr>
              <w:t>poskyto</w:t>
            </w:r>
            <w:r>
              <w:rPr>
                <w:color w:val="000000"/>
                <w:sz w:val="20"/>
                <w:szCs w:val="20"/>
              </w:rPr>
              <w:t>-</w:t>
            </w:r>
            <w:r w:rsidRPr="00A012FE">
              <w:rPr>
                <w:color w:val="000000"/>
                <w:sz w:val="20"/>
                <w:szCs w:val="20"/>
              </w:rPr>
              <w:t>vatelem</w:t>
            </w:r>
            <w:proofErr w:type="spellEnd"/>
          </w:p>
        </w:tc>
        <w:tc>
          <w:tcPr>
            <w:tcW w:w="349" w:type="pct"/>
            <w:shd w:val="clear" w:color="auto" w:fill="auto"/>
            <w:noWrap/>
            <w:vAlign w:val="center"/>
            <w:hideMark/>
          </w:tcPr>
          <w:p w:rsidR="00B165C2" w:rsidRPr="00A012FE" w:rsidRDefault="00B165C2" w:rsidP="007A106C">
            <w:pPr>
              <w:jc w:val="center"/>
              <w:rPr>
                <w:color w:val="000000"/>
                <w:sz w:val="20"/>
                <w:szCs w:val="20"/>
              </w:rPr>
            </w:pPr>
            <w:r w:rsidRPr="00A012FE">
              <w:rPr>
                <w:color w:val="000000"/>
                <w:sz w:val="20"/>
                <w:szCs w:val="20"/>
              </w:rPr>
              <w:t>3</w:t>
            </w:r>
            <w:r>
              <w:rPr>
                <w:color w:val="000000"/>
                <w:sz w:val="20"/>
                <w:szCs w:val="20"/>
              </w:rPr>
              <w:t>1</w:t>
            </w:r>
          </w:p>
        </w:tc>
        <w:tc>
          <w:tcPr>
            <w:tcW w:w="1399" w:type="pct"/>
            <w:shd w:val="clear" w:color="auto" w:fill="auto"/>
            <w:vAlign w:val="center"/>
            <w:hideMark/>
          </w:tcPr>
          <w:p w:rsidR="00B165C2" w:rsidRPr="00A012FE" w:rsidRDefault="00B165C2" w:rsidP="007A106C">
            <w:pPr>
              <w:rPr>
                <w:color w:val="000000"/>
                <w:sz w:val="20"/>
                <w:szCs w:val="20"/>
              </w:rPr>
            </w:pPr>
            <w:r w:rsidRPr="00A012FE">
              <w:rPr>
                <w:color w:val="000000"/>
                <w:sz w:val="20"/>
                <w:szCs w:val="20"/>
              </w:rPr>
              <w:t>Neposkytnutí povinné součinnosti poskytovateli/ŘO např. neoznámení změny projektu, neposkytnutí ZS/ŘO vyžádaných dokladů a informací.</w:t>
            </w:r>
          </w:p>
        </w:tc>
        <w:tc>
          <w:tcPr>
            <w:tcW w:w="558" w:type="pct"/>
            <w:shd w:val="clear" w:color="auto" w:fill="auto"/>
            <w:noWrap/>
            <w:vAlign w:val="center"/>
            <w:hideMark/>
          </w:tcPr>
          <w:p w:rsidR="00B165C2" w:rsidRPr="00A012FE" w:rsidRDefault="00B165C2" w:rsidP="007A106C">
            <w:pPr>
              <w:rPr>
                <w:color w:val="000000"/>
                <w:sz w:val="20"/>
                <w:szCs w:val="20"/>
              </w:rPr>
            </w:pPr>
            <w:r w:rsidRPr="00A012FE">
              <w:rPr>
                <w:color w:val="000000"/>
                <w:sz w:val="20"/>
                <w:szCs w:val="20"/>
              </w:rPr>
              <w:t>95 – 99 %</w:t>
            </w:r>
          </w:p>
        </w:tc>
        <w:tc>
          <w:tcPr>
            <w:tcW w:w="697" w:type="pct"/>
            <w:shd w:val="clear" w:color="auto" w:fill="auto"/>
            <w:vAlign w:val="center"/>
            <w:hideMark/>
          </w:tcPr>
          <w:p w:rsidR="00B165C2" w:rsidRPr="00A012FE" w:rsidRDefault="00B165C2" w:rsidP="007A106C">
            <w:pPr>
              <w:rPr>
                <w:color w:val="000000"/>
                <w:sz w:val="20"/>
                <w:szCs w:val="20"/>
              </w:rPr>
            </w:pPr>
            <w:r w:rsidRPr="00A012FE">
              <w:rPr>
                <w:color w:val="000000"/>
                <w:sz w:val="20"/>
                <w:szCs w:val="20"/>
              </w:rPr>
              <w:t>dotace</w:t>
            </w:r>
          </w:p>
        </w:tc>
        <w:tc>
          <w:tcPr>
            <w:tcW w:w="1470" w:type="pct"/>
            <w:shd w:val="clear" w:color="auto" w:fill="auto"/>
            <w:noWrap/>
            <w:vAlign w:val="center"/>
            <w:hideMark/>
          </w:tcPr>
          <w:p w:rsidR="00B165C2" w:rsidRPr="00A012FE" w:rsidRDefault="00B165C2" w:rsidP="007A106C">
            <w:pPr>
              <w:rPr>
                <w:color w:val="000000"/>
                <w:sz w:val="20"/>
                <w:szCs w:val="20"/>
              </w:rPr>
            </w:pPr>
            <w:r w:rsidRPr="00A012FE">
              <w:rPr>
                <w:color w:val="000000"/>
                <w:sz w:val="20"/>
                <w:szCs w:val="20"/>
              </w:rPr>
              <w:t> </w:t>
            </w:r>
          </w:p>
        </w:tc>
      </w:tr>
      <w:tr w:rsidR="00B165C2" w:rsidRPr="00A012FE" w:rsidTr="007A106C">
        <w:trPr>
          <w:trHeight w:val="1275"/>
        </w:trPr>
        <w:tc>
          <w:tcPr>
            <w:tcW w:w="527" w:type="pct"/>
            <w:shd w:val="clear" w:color="auto" w:fill="auto"/>
            <w:vAlign w:val="center"/>
            <w:hideMark/>
          </w:tcPr>
          <w:p w:rsidR="00B165C2" w:rsidRPr="00A012FE" w:rsidRDefault="00B165C2" w:rsidP="007A106C">
            <w:pPr>
              <w:jc w:val="center"/>
              <w:rPr>
                <w:color w:val="000000"/>
                <w:sz w:val="20"/>
                <w:szCs w:val="20"/>
              </w:rPr>
            </w:pPr>
            <w:r w:rsidRPr="00A012FE">
              <w:rPr>
                <w:color w:val="000000"/>
                <w:sz w:val="20"/>
                <w:szCs w:val="20"/>
              </w:rPr>
              <w:t>Skuteč</w:t>
            </w:r>
            <w:r>
              <w:rPr>
                <w:color w:val="000000"/>
                <w:sz w:val="20"/>
                <w:szCs w:val="20"/>
              </w:rPr>
              <w:t>-</w:t>
            </w:r>
            <w:proofErr w:type="spellStart"/>
            <w:r w:rsidRPr="00A012FE">
              <w:rPr>
                <w:color w:val="000000"/>
                <w:sz w:val="20"/>
                <w:szCs w:val="20"/>
              </w:rPr>
              <w:t>nosti</w:t>
            </w:r>
            <w:proofErr w:type="spellEnd"/>
            <w:r w:rsidRPr="00A012FE">
              <w:rPr>
                <w:color w:val="000000"/>
                <w:sz w:val="20"/>
                <w:szCs w:val="20"/>
              </w:rPr>
              <w:t xml:space="preserve"> nezávislé na vůli příjemce</w:t>
            </w:r>
          </w:p>
        </w:tc>
        <w:tc>
          <w:tcPr>
            <w:tcW w:w="349" w:type="pct"/>
            <w:shd w:val="clear" w:color="auto" w:fill="auto"/>
            <w:noWrap/>
            <w:vAlign w:val="center"/>
            <w:hideMark/>
          </w:tcPr>
          <w:p w:rsidR="00B165C2" w:rsidRPr="00A012FE" w:rsidRDefault="00B165C2" w:rsidP="007A106C">
            <w:pPr>
              <w:jc w:val="center"/>
              <w:rPr>
                <w:color w:val="000000"/>
                <w:sz w:val="20"/>
                <w:szCs w:val="20"/>
              </w:rPr>
            </w:pPr>
            <w:r w:rsidRPr="00A012FE">
              <w:rPr>
                <w:color w:val="000000"/>
                <w:sz w:val="20"/>
                <w:szCs w:val="20"/>
              </w:rPr>
              <w:t>3</w:t>
            </w:r>
            <w:r>
              <w:rPr>
                <w:color w:val="000000"/>
                <w:sz w:val="20"/>
                <w:szCs w:val="20"/>
              </w:rPr>
              <w:t>2</w:t>
            </w:r>
          </w:p>
        </w:tc>
        <w:tc>
          <w:tcPr>
            <w:tcW w:w="1399" w:type="pct"/>
            <w:shd w:val="clear" w:color="auto" w:fill="auto"/>
            <w:vAlign w:val="center"/>
            <w:hideMark/>
          </w:tcPr>
          <w:p w:rsidR="00B165C2" w:rsidRPr="00A012FE" w:rsidRDefault="00B165C2" w:rsidP="007A106C">
            <w:pPr>
              <w:rPr>
                <w:color w:val="000000"/>
                <w:sz w:val="20"/>
                <w:szCs w:val="20"/>
              </w:rPr>
            </w:pPr>
            <w:r w:rsidRPr="00A012FE">
              <w:rPr>
                <w:color w:val="000000"/>
                <w:sz w:val="20"/>
                <w:szCs w:val="20"/>
              </w:rPr>
              <w:t>Porušení povinnosti z důvodu živelních katastrof (povodeň, vichřice atd.), prokázané chyby poskytovatele, vlivem státem změněné situace.</w:t>
            </w:r>
          </w:p>
        </w:tc>
        <w:tc>
          <w:tcPr>
            <w:tcW w:w="558" w:type="pct"/>
            <w:shd w:val="clear" w:color="auto" w:fill="auto"/>
            <w:noWrap/>
            <w:vAlign w:val="center"/>
            <w:hideMark/>
          </w:tcPr>
          <w:p w:rsidR="00B165C2" w:rsidRPr="00A012FE" w:rsidRDefault="00B165C2" w:rsidP="007A106C">
            <w:pPr>
              <w:rPr>
                <w:color w:val="000000"/>
                <w:sz w:val="20"/>
                <w:szCs w:val="20"/>
              </w:rPr>
            </w:pPr>
            <w:r w:rsidRPr="00A012FE">
              <w:rPr>
                <w:color w:val="000000"/>
                <w:sz w:val="20"/>
                <w:szCs w:val="20"/>
              </w:rPr>
              <w:t>100 %</w:t>
            </w:r>
          </w:p>
        </w:tc>
        <w:tc>
          <w:tcPr>
            <w:tcW w:w="697" w:type="pct"/>
            <w:shd w:val="clear" w:color="auto" w:fill="auto"/>
            <w:vAlign w:val="center"/>
            <w:hideMark/>
          </w:tcPr>
          <w:p w:rsidR="00B165C2" w:rsidRPr="00A012FE" w:rsidRDefault="00B165C2" w:rsidP="007A106C">
            <w:pPr>
              <w:rPr>
                <w:color w:val="000000"/>
                <w:sz w:val="20"/>
                <w:szCs w:val="20"/>
              </w:rPr>
            </w:pPr>
            <w:r w:rsidRPr="00A012FE">
              <w:rPr>
                <w:color w:val="000000"/>
                <w:sz w:val="20"/>
                <w:szCs w:val="20"/>
              </w:rPr>
              <w:t>dotace/výše dotčených výdajů</w:t>
            </w:r>
          </w:p>
        </w:tc>
        <w:tc>
          <w:tcPr>
            <w:tcW w:w="1470" w:type="pct"/>
            <w:shd w:val="clear" w:color="auto" w:fill="auto"/>
            <w:noWrap/>
            <w:vAlign w:val="center"/>
            <w:hideMark/>
          </w:tcPr>
          <w:p w:rsidR="00B165C2" w:rsidRPr="00A012FE" w:rsidRDefault="00B165C2" w:rsidP="007A106C">
            <w:pPr>
              <w:rPr>
                <w:color w:val="000000"/>
                <w:sz w:val="20"/>
                <w:szCs w:val="20"/>
              </w:rPr>
            </w:pPr>
            <w:r w:rsidRPr="00A012FE">
              <w:rPr>
                <w:color w:val="000000"/>
                <w:sz w:val="20"/>
                <w:szCs w:val="20"/>
              </w:rPr>
              <w:t> </w:t>
            </w:r>
          </w:p>
        </w:tc>
      </w:tr>
    </w:tbl>
    <w:p w:rsidR="00B165C2" w:rsidRDefault="00B165C2" w:rsidP="00B165C2">
      <w:pPr>
        <w:rPr>
          <w:b/>
        </w:rPr>
      </w:pPr>
    </w:p>
    <w:p w:rsidR="00B165C2" w:rsidRDefault="00B165C2" w:rsidP="00B165C2">
      <w:pPr>
        <w:spacing w:after="0"/>
        <w:jc w:val="left"/>
        <w:rPr>
          <w:b/>
        </w:rPr>
      </w:pPr>
      <w:r>
        <w:rPr>
          <w:b/>
        </w:rPr>
        <w:br w:type="page"/>
      </w:r>
    </w:p>
    <w:p w:rsidR="00B165C2" w:rsidRPr="00CB4918" w:rsidRDefault="00B165C2" w:rsidP="00B165C2">
      <w:pPr>
        <w:rPr>
          <w:b/>
        </w:rPr>
      </w:pPr>
      <w:r w:rsidRPr="00CB4918">
        <w:rPr>
          <w:b/>
        </w:rPr>
        <w:lastRenderedPageBreak/>
        <w:t xml:space="preserve">Veřejné zakázky: </w:t>
      </w:r>
    </w:p>
    <w:p w:rsidR="00B165C2" w:rsidRDefault="00B165C2" w:rsidP="00B165C2">
      <w:r w:rsidRPr="00BD7EA4">
        <w:t>Pokud dojde k souběhu porušení více pravidel</w:t>
      </w:r>
      <w:r>
        <w:t xml:space="preserve"> v rámci jednotlivého výběrového/zadávacího řízení</w:t>
      </w:r>
      <w:r w:rsidRPr="00BD7EA4">
        <w:t>, procentní částky se nesčítají a sazba finanční opravy je uložena podle nejzávažnějšího porušení.</w:t>
      </w:r>
    </w:p>
    <w:p w:rsidR="00B165C2" w:rsidRDefault="00B165C2" w:rsidP="00B165C2">
      <w:r>
        <w:t xml:space="preserve">Dle nového Rozhodnutí EK ze dne 13. 12. 2013 se mají tyto finanční opravy uplatňovat v případě nesrovnalostí, které představují porušení pravidel pro zadávání veřejných zakázek platných pro zakázky financované z rozpočtu Unie v rámci metodiky sdíleného řízení. Sankce, týkající se pouze veřejných zakázek dle ZVZ, jsou vybarveny šedě.  </w:t>
      </w:r>
    </w:p>
    <w:tbl>
      <w:tblPr>
        <w:tblW w:w="549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076"/>
        <w:gridCol w:w="707"/>
        <w:gridCol w:w="2835"/>
        <w:gridCol w:w="1266"/>
        <w:gridCol w:w="1279"/>
        <w:gridCol w:w="2968"/>
      </w:tblGrid>
      <w:tr w:rsidR="00B165C2" w:rsidRPr="00A012FE" w:rsidTr="007A106C">
        <w:trPr>
          <w:trHeight w:val="1785"/>
        </w:trPr>
        <w:tc>
          <w:tcPr>
            <w:tcW w:w="531" w:type="pct"/>
            <w:vMerge w:val="restart"/>
            <w:hideMark/>
          </w:tcPr>
          <w:p w:rsidR="00B165C2" w:rsidRPr="00A012FE" w:rsidRDefault="00B165C2" w:rsidP="007A106C">
            <w:pPr>
              <w:jc w:val="center"/>
              <w:rPr>
                <w:sz w:val="20"/>
                <w:szCs w:val="20"/>
              </w:rPr>
            </w:pPr>
            <w:r>
              <w:rPr>
                <w:sz w:val="20"/>
                <w:szCs w:val="20"/>
              </w:rPr>
              <w:t>1. Zadávací podmínky</w:t>
            </w:r>
          </w:p>
        </w:tc>
        <w:tc>
          <w:tcPr>
            <w:tcW w:w="349" w:type="pct"/>
            <w:shd w:val="clear" w:color="auto" w:fill="auto"/>
            <w:vAlign w:val="center"/>
            <w:hideMark/>
          </w:tcPr>
          <w:p w:rsidR="00B165C2" w:rsidRPr="00A012FE" w:rsidRDefault="00B165C2" w:rsidP="007A106C">
            <w:pPr>
              <w:rPr>
                <w:sz w:val="20"/>
                <w:szCs w:val="20"/>
              </w:rPr>
            </w:pPr>
            <w:r>
              <w:rPr>
                <w:sz w:val="20"/>
                <w:szCs w:val="20"/>
              </w:rPr>
              <w:t>33a</w:t>
            </w:r>
          </w:p>
        </w:tc>
        <w:tc>
          <w:tcPr>
            <w:tcW w:w="1399" w:type="pct"/>
            <w:shd w:val="clear" w:color="auto" w:fill="auto"/>
            <w:vAlign w:val="center"/>
            <w:hideMark/>
          </w:tcPr>
          <w:p w:rsidR="00B165C2" w:rsidRPr="00A012FE" w:rsidRDefault="00B165C2" w:rsidP="007A106C">
            <w:pPr>
              <w:rPr>
                <w:sz w:val="20"/>
                <w:szCs w:val="20"/>
              </w:rPr>
            </w:pPr>
            <w:r w:rsidRPr="00A012FE">
              <w:rPr>
                <w:sz w:val="20"/>
                <w:szCs w:val="20"/>
              </w:rPr>
              <w:t>Zakázka byla zadána, aniž by bylo výběrové/zadávací řízení zahájeno požadovaným způsobem</w:t>
            </w:r>
            <w:r>
              <w:rPr>
                <w:sz w:val="20"/>
                <w:szCs w:val="20"/>
              </w:rPr>
              <w:t xml:space="preserve"> dle ZP nebo ZVZ</w:t>
            </w:r>
            <w:r w:rsidRPr="00A012FE">
              <w:rPr>
                <w:sz w:val="20"/>
                <w:szCs w:val="20"/>
              </w:rPr>
              <w:t xml:space="preserve">. </w:t>
            </w:r>
          </w:p>
        </w:tc>
        <w:tc>
          <w:tcPr>
            <w:tcW w:w="625" w:type="pct"/>
            <w:shd w:val="clear" w:color="auto" w:fill="auto"/>
            <w:vAlign w:val="center"/>
            <w:hideMark/>
          </w:tcPr>
          <w:p w:rsidR="00B165C2" w:rsidRPr="00A012FE" w:rsidRDefault="00B165C2" w:rsidP="007A106C">
            <w:pPr>
              <w:rPr>
                <w:sz w:val="20"/>
                <w:szCs w:val="20"/>
              </w:rPr>
            </w:pPr>
            <w:r>
              <w:rPr>
                <w:sz w:val="20"/>
                <w:szCs w:val="20"/>
              </w:rPr>
              <w:t>0 % - 75 %</w:t>
            </w:r>
          </w:p>
        </w:tc>
        <w:tc>
          <w:tcPr>
            <w:tcW w:w="631" w:type="pct"/>
            <w:shd w:val="clear" w:color="auto" w:fill="auto"/>
            <w:noWrap/>
            <w:vAlign w:val="center"/>
            <w:hideMark/>
          </w:tcPr>
          <w:p w:rsidR="00B165C2" w:rsidRPr="00A012FE" w:rsidRDefault="00B165C2" w:rsidP="007A106C">
            <w:pPr>
              <w:rPr>
                <w:sz w:val="20"/>
                <w:szCs w:val="20"/>
              </w:rPr>
            </w:pPr>
            <w:r w:rsidRPr="00A012FE">
              <w:rPr>
                <w:sz w:val="20"/>
                <w:szCs w:val="20"/>
              </w:rPr>
              <w:t>předložený výdaj z VŘ</w:t>
            </w:r>
          </w:p>
        </w:tc>
        <w:tc>
          <w:tcPr>
            <w:tcW w:w="1465" w:type="pct"/>
            <w:shd w:val="clear" w:color="auto" w:fill="auto"/>
            <w:vAlign w:val="center"/>
            <w:hideMark/>
          </w:tcPr>
          <w:p w:rsidR="00B165C2" w:rsidRDefault="00B165C2" w:rsidP="007A106C">
            <w:pPr>
              <w:rPr>
                <w:sz w:val="20"/>
                <w:szCs w:val="20"/>
              </w:rPr>
            </w:pPr>
            <w:r>
              <w:rPr>
                <w:sz w:val="20"/>
                <w:szCs w:val="20"/>
              </w:rPr>
              <w:t>0 %, nebo</w:t>
            </w:r>
          </w:p>
          <w:p w:rsidR="00B165C2" w:rsidRPr="00A012FE" w:rsidRDefault="00B165C2" w:rsidP="007A106C">
            <w:pPr>
              <w:rPr>
                <w:sz w:val="20"/>
                <w:szCs w:val="20"/>
              </w:rPr>
            </w:pPr>
            <w:r>
              <w:rPr>
                <w:sz w:val="20"/>
                <w:szCs w:val="20"/>
              </w:rPr>
              <w:t xml:space="preserve">max. 75% pokud byla </w:t>
            </w:r>
            <w:r w:rsidRPr="00A012FE">
              <w:rPr>
                <w:sz w:val="20"/>
                <w:szCs w:val="20"/>
              </w:rPr>
              <w:t>dodržena určitá míra zveřejnění</w:t>
            </w:r>
            <w:r>
              <w:rPr>
                <w:sz w:val="20"/>
                <w:szCs w:val="20"/>
              </w:rPr>
              <w:t>.</w:t>
            </w:r>
            <w:r w:rsidRPr="00A012FE">
              <w:rPr>
                <w:sz w:val="20"/>
                <w:szCs w:val="20"/>
              </w:rPr>
              <w:t xml:space="preserve"> </w:t>
            </w:r>
          </w:p>
        </w:tc>
      </w:tr>
      <w:tr w:rsidR="00B165C2" w:rsidRPr="00A012FE" w:rsidTr="007A106C">
        <w:trPr>
          <w:trHeight w:val="1020"/>
        </w:trPr>
        <w:tc>
          <w:tcPr>
            <w:tcW w:w="531" w:type="pct"/>
            <w:vMerge/>
            <w:vAlign w:val="center"/>
            <w:hideMark/>
          </w:tcPr>
          <w:p w:rsidR="00B165C2" w:rsidRPr="00A012FE" w:rsidRDefault="00B165C2" w:rsidP="007A106C">
            <w:pPr>
              <w:rPr>
                <w:sz w:val="20"/>
                <w:szCs w:val="20"/>
              </w:rPr>
            </w:pPr>
          </w:p>
        </w:tc>
        <w:tc>
          <w:tcPr>
            <w:tcW w:w="349" w:type="pct"/>
            <w:shd w:val="clear" w:color="auto" w:fill="auto"/>
            <w:vAlign w:val="center"/>
            <w:hideMark/>
          </w:tcPr>
          <w:p w:rsidR="00B165C2" w:rsidRPr="00A012FE" w:rsidRDefault="00B165C2" w:rsidP="007A106C">
            <w:pPr>
              <w:rPr>
                <w:sz w:val="20"/>
                <w:szCs w:val="20"/>
              </w:rPr>
            </w:pPr>
            <w:r>
              <w:rPr>
                <w:sz w:val="20"/>
                <w:szCs w:val="20"/>
              </w:rPr>
              <w:t>33b</w:t>
            </w:r>
          </w:p>
        </w:tc>
        <w:tc>
          <w:tcPr>
            <w:tcW w:w="1399" w:type="pct"/>
            <w:shd w:val="clear" w:color="auto" w:fill="auto"/>
            <w:vAlign w:val="center"/>
            <w:hideMark/>
          </w:tcPr>
          <w:p w:rsidR="00B165C2" w:rsidRPr="00A012FE" w:rsidRDefault="00B165C2" w:rsidP="007A106C">
            <w:pPr>
              <w:rPr>
                <w:sz w:val="20"/>
                <w:szCs w:val="20"/>
              </w:rPr>
            </w:pPr>
            <w:r w:rsidRPr="00A012FE">
              <w:rPr>
                <w:sz w:val="20"/>
                <w:szCs w:val="20"/>
              </w:rPr>
              <w:t xml:space="preserve">Předmět zakázky je rozdělen tak, že došlo ke snížení předpokládané hodnoty pod limity stanovené ZP </w:t>
            </w:r>
            <w:r>
              <w:rPr>
                <w:sz w:val="20"/>
                <w:szCs w:val="20"/>
              </w:rPr>
              <w:t xml:space="preserve">nebo ZVZ </w:t>
            </w:r>
            <w:r w:rsidRPr="00A012FE">
              <w:rPr>
                <w:sz w:val="20"/>
                <w:szCs w:val="20"/>
              </w:rPr>
              <w:t>a tím došlo k jeho zadání v mírnějším režimu, než je stanoven pro předmět zakázky před jejím rozdělením.</w:t>
            </w:r>
          </w:p>
        </w:tc>
        <w:tc>
          <w:tcPr>
            <w:tcW w:w="625" w:type="pct"/>
            <w:shd w:val="clear" w:color="auto" w:fill="auto"/>
            <w:vAlign w:val="center"/>
            <w:hideMark/>
          </w:tcPr>
          <w:p w:rsidR="00B165C2" w:rsidRPr="00A012FE" w:rsidRDefault="00B165C2" w:rsidP="007A106C">
            <w:pPr>
              <w:rPr>
                <w:sz w:val="20"/>
                <w:szCs w:val="20"/>
              </w:rPr>
            </w:pPr>
            <w:r>
              <w:rPr>
                <w:sz w:val="20"/>
                <w:szCs w:val="20"/>
              </w:rPr>
              <w:t>0 % - 75 %</w:t>
            </w:r>
          </w:p>
        </w:tc>
        <w:tc>
          <w:tcPr>
            <w:tcW w:w="631" w:type="pct"/>
            <w:shd w:val="clear" w:color="auto" w:fill="auto"/>
            <w:vAlign w:val="center"/>
            <w:hideMark/>
          </w:tcPr>
          <w:p w:rsidR="00B165C2" w:rsidRPr="00A012FE" w:rsidRDefault="00B165C2" w:rsidP="007A106C">
            <w:pPr>
              <w:rPr>
                <w:sz w:val="20"/>
                <w:szCs w:val="20"/>
              </w:rPr>
            </w:pPr>
            <w:r w:rsidRPr="00A012FE">
              <w:rPr>
                <w:sz w:val="20"/>
                <w:szCs w:val="20"/>
              </w:rPr>
              <w:t>předložený výdaj z VŘ</w:t>
            </w:r>
          </w:p>
        </w:tc>
        <w:tc>
          <w:tcPr>
            <w:tcW w:w="1465" w:type="pct"/>
            <w:shd w:val="clear" w:color="auto" w:fill="auto"/>
            <w:vAlign w:val="center"/>
            <w:hideMark/>
          </w:tcPr>
          <w:p w:rsidR="00B165C2" w:rsidRDefault="00B165C2" w:rsidP="007A106C">
            <w:pPr>
              <w:rPr>
                <w:sz w:val="20"/>
                <w:szCs w:val="20"/>
              </w:rPr>
            </w:pPr>
            <w:r>
              <w:rPr>
                <w:sz w:val="20"/>
                <w:szCs w:val="20"/>
              </w:rPr>
              <w:t>0 %, nebo</w:t>
            </w:r>
          </w:p>
          <w:p w:rsidR="00B165C2" w:rsidRPr="00A012FE" w:rsidRDefault="00B165C2" w:rsidP="007A106C">
            <w:pPr>
              <w:rPr>
                <w:sz w:val="20"/>
                <w:szCs w:val="20"/>
              </w:rPr>
            </w:pPr>
            <w:r>
              <w:rPr>
                <w:sz w:val="20"/>
                <w:szCs w:val="20"/>
              </w:rPr>
              <w:t>max. 75 % pokud byla dodržena určitá míra uveřejnění</w:t>
            </w:r>
            <w:r>
              <w:t xml:space="preserve"> </w:t>
            </w:r>
            <w:r w:rsidRPr="003E6BDB">
              <w:rPr>
                <w:sz w:val="20"/>
                <w:szCs w:val="20"/>
              </w:rPr>
              <w:t>a zadavatel umožnil podávat nabídky i dodavatelům, které k podání nabídky nevyzval.</w:t>
            </w:r>
            <w:r>
              <w:rPr>
                <w:sz w:val="20"/>
                <w:szCs w:val="20"/>
              </w:rPr>
              <w:t xml:space="preserve"> </w:t>
            </w:r>
          </w:p>
        </w:tc>
      </w:tr>
      <w:tr w:rsidR="00B165C2" w:rsidRPr="00A012FE" w:rsidTr="007A106C">
        <w:trPr>
          <w:trHeight w:val="765"/>
        </w:trPr>
        <w:tc>
          <w:tcPr>
            <w:tcW w:w="531" w:type="pct"/>
            <w:vMerge/>
            <w:vAlign w:val="center"/>
            <w:hideMark/>
          </w:tcPr>
          <w:p w:rsidR="00B165C2" w:rsidRPr="00A012FE" w:rsidRDefault="00B165C2" w:rsidP="007A106C">
            <w:pPr>
              <w:rPr>
                <w:sz w:val="20"/>
                <w:szCs w:val="20"/>
              </w:rPr>
            </w:pPr>
          </w:p>
        </w:tc>
        <w:tc>
          <w:tcPr>
            <w:tcW w:w="349" w:type="pct"/>
            <w:vMerge w:val="restart"/>
            <w:shd w:val="clear" w:color="auto" w:fill="auto"/>
            <w:vAlign w:val="center"/>
            <w:hideMark/>
          </w:tcPr>
          <w:p w:rsidR="00B165C2" w:rsidRPr="00A012FE" w:rsidRDefault="00B165C2" w:rsidP="007A106C">
            <w:pPr>
              <w:rPr>
                <w:sz w:val="20"/>
                <w:szCs w:val="20"/>
              </w:rPr>
            </w:pPr>
            <w:r>
              <w:rPr>
                <w:sz w:val="20"/>
                <w:szCs w:val="20"/>
              </w:rPr>
              <w:t>33c</w:t>
            </w:r>
          </w:p>
        </w:tc>
        <w:tc>
          <w:tcPr>
            <w:tcW w:w="1399" w:type="pct"/>
            <w:vMerge w:val="restart"/>
            <w:shd w:val="clear" w:color="auto" w:fill="auto"/>
            <w:vAlign w:val="center"/>
            <w:hideMark/>
          </w:tcPr>
          <w:p w:rsidR="00B165C2" w:rsidRPr="00A012FE" w:rsidRDefault="00B165C2" w:rsidP="007A106C">
            <w:pPr>
              <w:rPr>
                <w:sz w:val="20"/>
                <w:szCs w:val="20"/>
              </w:rPr>
            </w:pPr>
            <w:r w:rsidRPr="00A012FE">
              <w:rPr>
                <w:sz w:val="20"/>
                <w:szCs w:val="20"/>
              </w:rPr>
              <w:t xml:space="preserve">Lhůty pro podání nabídek </w:t>
            </w:r>
            <w:r w:rsidRPr="00A012FE">
              <w:rPr>
                <w:b/>
                <w:bCs/>
                <w:sz w:val="20"/>
                <w:szCs w:val="20"/>
              </w:rPr>
              <w:t xml:space="preserve">/ </w:t>
            </w:r>
            <w:r w:rsidRPr="00A012FE">
              <w:rPr>
                <w:sz w:val="20"/>
                <w:szCs w:val="20"/>
              </w:rPr>
              <w:t>žádostí o účast byly kratší než lhůty uvedené v ZVZ nebo v ZP.</w:t>
            </w:r>
          </w:p>
        </w:tc>
        <w:tc>
          <w:tcPr>
            <w:tcW w:w="625" w:type="pct"/>
            <w:vMerge w:val="restart"/>
            <w:shd w:val="clear" w:color="auto" w:fill="auto"/>
            <w:vAlign w:val="center"/>
            <w:hideMark/>
          </w:tcPr>
          <w:p w:rsidR="00B165C2" w:rsidRPr="00A012FE" w:rsidRDefault="00B165C2" w:rsidP="007A106C">
            <w:pPr>
              <w:rPr>
                <w:sz w:val="20"/>
                <w:szCs w:val="20"/>
              </w:rPr>
            </w:pPr>
            <w:r>
              <w:rPr>
                <w:sz w:val="20"/>
                <w:szCs w:val="20"/>
              </w:rPr>
              <w:t>75 % - 98 </w:t>
            </w:r>
            <w:r w:rsidRPr="00A012FE">
              <w:rPr>
                <w:sz w:val="20"/>
                <w:szCs w:val="20"/>
              </w:rPr>
              <w:t>%</w:t>
            </w:r>
          </w:p>
        </w:tc>
        <w:tc>
          <w:tcPr>
            <w:tcW w:w="631" w:type="pct"/>
            <w:vMerge w:val="restart"/>
            <w:shd w:val="clear" w:color="auto" w:fill="auto"/>
            <w:noWrap/>
            <w:vAlign w:val="center"/>
            <w:hideMark/>
          </w:tcPr>
          <w:p w:rsidR="00B165C2" w:rsidRPr="00A012FE" w:rsidRDefault="00B165C2" w:rsidP="007A106C">
            <w:pPr>
              <w:rPr>
                <w:sz w:val="20"/>
                <w:szCs w:val="20"/>
              </w:rPr>
            </w:pPr>
            <w:r w:rsidRPr="00A012FE">
              <w:rPr>
                <w:sz w:val="20"/>
                <w:szCs w:val="20"/>
              </w:rPr>
              <w:t>předložený výdaj z VŘ</w:t>
            </w:r>
          </w:p>
        </w:tc>
        <w:tc>
          <w:tcPr>
            <w:tcW w:w="1465" w:type="pct"/>
            <w:shd w:val="clear" w:color="auto" w:fill="auto"/>
            <w:vAlign w:val="center"/>
            <w:hideMark/>
          </w:tcPr>
          <w:p w:rsidR="00B165C2" w:rsidRPr="00A012FE" w:rsidRDefault="00B165C2" w:rsidP="007A106C">
            <w:pPr>
              <w:rPr>
                <w:sz w:val="20"/>
                <w:szCs w:val="20"/>
              </w:rPr>
            </w:pPr>
            <w:r>
              <w:rPr>
                <w:sz w:val="20"/>
                <w:szCs w:val="20"/>
              </w:rPr>
              <w:t xml:space="preserve">75 %, </w:t>
            </w:r>
            <w:r w:rsidRPr="00A012FE">
              <w:rPr>
                <w:sz w:val="20"/>
                <w:szCs w:val="20"/>
              </w:rPr>
              <w:t>pokud je délka lhůty kratší alespoň o 50</w:t>
            </w:r>
            <w:r>
              <w:rPr>
                <w:sz w:val="20"/>
                <w:szCs w:val="20"/>
              </w:rPr>
              <w:t> </w:t>
            </w:r>
            <w:r w:rsidRPr="00A012FE">
              <w:rPr>
                <w:sz w:val="20"/>
                <w:szCs w:val="20"/>
              </w:rPr>
              <w:t>% její stanovené délky, nebo</w:t>
            </w:r>
          </w:p>
        </w:tc>
      </w:tr>
      <w:tr w:rsidR="00B165C2" w:rsidRPr="00A012FE" w:rsidTr="007A106C">
        <w:trPr>
          <w:trHeight w:val="765"/>
        </w:trPr>
        <w:tc>
          <w:tcPr>
            <w:tcW w:w="531" w:type="pct"/>
            <w:vMerge/>
            <w:vAlign w:val="center"/>
            <w:hideMark/>
          </w:tcPr>
          <w:p w:rsidR="00B165C2" w:rsidRPr="00A012FE" w:rsidRDefault="00B165C2" w:rsidP="007A106C">
            <w:pPr>
              <w:rPr>
                <w:sz w:val="20"/>
                <w:szCs w:val="20"/>
              </w:rPr>
            </w:pPr>
          </w:p>
        </w:tc>
        <w:tc>
          <w:tcPr>
            <w:tcW w:w="349" w:type="pct"/>
            <w:vMerge/>
            <w:vAlign w:val="center"/>
            <w:hideMark/>
          </w:tcPr>
          <w:p w:rsidR="00B165C2" w:rsidRPr="00A012FE" w:rsidRDefault="00B165C2" w:rsidP="007A106C">
            <w:pPr>
              <w:rPr>
                <w:sz w:val="20"/>
                <w:szCs w:val="20"/>
              </w:rPr>
            </w:pPr>
          </w:p>
        </w:tc>
        <w:tc>
          <w:tcPr>
            <w:tcW w:w="1399" w:type="pct"/>
            <w:vMerge/>
            <w:vAlign w:val="center"/>
            <w:hideMark/>
          </w:tcPr>
          <w:p w:rsidR="00B165C2" w:rsidRPr="00A012FE" w:rsidRDefault="00B165C2" w:rsidP="007A106C">
            <w:pPr>
              <w:rPr>
                <w:sz w:val="20"/>
                <w:szCs w:val="20"/>
              </w:rPr>
            </w:pPr>
          </w:p>
        </w:tc>
        <w:tc>
          <w:tcPr>
            <w:tcW w:w="625" w:type="pct"/>
            <w:vMerge/>
            <w:shd w:val="clear" w:color="auto" w:fill="auto"/>
            <w:vAlign w:val="center"/>
            <w:hideMark/>
          </w:tcPr>
          <w:p w:rsidR="00B165C2" w:rsidRPr="00A012FE" w:rsidRDefault="00B165C2" w:rsidP="007A106C">
            <w:pPr>
              <w:rPr>
                <w:sz w:val="20"/>
                <w:szCs w:val="20"/>
              </w:rPr>
            </w:pPr>
          </w:p>
        </w:tc>
        <w:tc>
          <w:tcPr>
            <w:tcW w:w="631" w:type="pct"/>
            <w:vMerge/>
            <w:shd w:val="clear" w:color="auto" w:fill="auto"/>
            <w:noWrap/>
            <w:vAlign w:val="center"/>
            <w:hideMark/>
          </w:tcPr>
          <w:p w:rsidR="00B165C2" w:rsidRPr="00A012FE" w:rsidRDefault="00B165C2" w:rsidP="007A106C">
            <w:pPr>
              <w:rPr>
                <w:sz w:val="20"/>
                <w:szCs w:val="20"/>
              </w:rPr>
            </w:pPr>
          </w:p>
        </w:tc>
        <w:tc>
          <w:tcPr>
            <w:tcW w:w="1465" w:type="pct"/>
            <w:shd w:val="clear" w:color="auto" w:fill="auto"/>
            <w:vAlign w:val="center"/>
            <w:hideMark/>
          </w:tcPr>
          <w:p w:rsidR="00B165C2" w:rsidRPr="00A012FE" w:rsidRDefault="00B165C2" w:rsidP="007A106C">
            <w:pPr>
              <w:rPr>
                <w:sz w:val="20"/>
                <w:szCs w:val="20"/>
              </w:rPr>
            </w:pPr>
            <w:r>
              <w:rPr>
                <w:sz w:val="20"/>
                <w:szCs w:val="20"/>
              </w:rPr>
              <w:t xml:space="preserve">max. 90 %, </w:t>
            </w:r>
            <w:r w:rsidRPr="00A012FE">
              <w:rPr>
                <w:sz w:val="20"/>
                <w:szCs w:val="20"/>
              </w:rPr>
              <w:t xml:space="preserve">pokud je </w:t>
            </w:r>
            <w:r>
              <w:rPr>
                <w:sz w:val="20"/>
                <w:szCs w:val="20"/>
              </w:rPr>
              <w:t>délka lhůty kratší alespoň o 30 </w:t>
            </w:r>
            <w:r w:rsidRPr="00A012FE">
              <w:rPr>
                <w:sz w:val="20"/>
                <w:szCs w:val="20"/>
              </w:rPr>
              <w:t>% její stanovené délky, nebo</w:t>
            </w:r>
          </w:p>
        </w:tc>
      </w:tr>
      <w:tr w:rsidR="00B165C2" w:rsidRPr="00A012FE" w:rsidTr="007A106C">
        <w:trPr>
          <w:trHeight w:val="765"/>
        </w:trPr>
        <w:tc>
          <w:tcPr>
            <w:tcW w:w="531" w:type="pct"/>
            <w:vMerge/>
            <w:vAlign w:val="center"/>
            <w:hideMark/>
          </w:tcPr>
          <w:p w:rsidR="00B165C2" w:rsidRPr="00A012FE" w:rsidRDefault="00B165C2" w:rsidP="007A106C">
            <w:pPr>
              <w:rPr>
                <w:sz w:val="20"/>
                <w:szCs w:val="20"/>
              </w:rPr>
            </w:pPr>
          </w:p>
        </w:tc>
        <w:tc>
          <w:tcPr>
            <w:tcW w:w="349" w:type="pct"/>
            <w:vMerge/>
            <w:vAlign w:val="center"/>
            <w:hideMark/>
          </w:tcPr>
          <w:p w:rsidR="00B165C2" w:rsidRPr="00A012FE" w:rsidRDefault="00B165C2" w:rsidP="007A106C">
            <w:pPr>
              <w:rPr>
                <w:sz w:val="20"/>
                <w:szCs w:val="20"/>
              </w:rPr>
            </w:pPr>
          </w:p>
        </w:tc>
        <w:tc>
          <w:tcPr>
            <w:tcW w:w="1399" w:type="pct"/>
            <w:vMerge/>
            <w:vAlign w:val="center"/>
            <w:hideMark/>
          </w:tcPr>
          <w:p w:rsidR="00B165C2" w:rsidRPr="00A012FE" w:rsidRDefault="00B165C2" w:rsidP="007A106C">
            <w:pPr>
              <w:rPr>
                <w:sz w:val="20"/>
                <w:szCs w:val="20"/>
              </w:rPr>
            </w:pPr>
          </w:p>
        </w:tc>
        <w:tc>
          <w:tcPr>
            <w:tcW w:w="625" w:type="pct"/>
            <w:vMerge/>
            <w:shd w:val="clear" w:color="auto" w:fill="auto"/>
            <w:vAlign w:val="center"/>
            <w:hideMark/>
          </w:tcPr>
          <w:p w:rsidR="00B165C2" w:rsidRPr="00A012FE" w:rsidRDefault="00B165C2" w:rsidP="007A106C">
            <w:pPr>
              <w:rPr>
                <w:sz w:val="20"/>
                <w:szCs w:val="20"/>
              </w:rPr>
            </w:pPr>
          </w:p>
        </w:tc>
        <w:tc>
          <w:tcPr>
            <w:tcW w:w="631" w:type="pct"/>
            <w:vMerge/>
            <w:shd w:val="clear" w:color="auto" w:fill="auto"/>
            <w:noWrap/>
            <w:vAlign w:val="center"/>
            <w:hideMark/>
          </w:tcPr>
          <w:p w:rsidR="00B165C2" w:rsidRPr="00A012FE" w:rsidRDefault="00B165C2" w:rsidP="007A106C">
            <w:pPr>
              <w:rPr>
                <w:sz w:val="20"/>
                <w:szCs w:val="20"/>
              </w:rPr>
            </w:pPr>
          </w:p>
        </w:tc>
        <w:tc>
          <w:tcPr>
            <w:tcW w:w="1465" w:type="pct"/>
            <w:shd w:val="clear" w:color="auto" w:fill="auto"/>
            <w:vAlign w:val="center"/>
            <w:hideMark/>
          </w:tcPr>
          <w:p w:rsidR="00B165C2" w:rsidRPr="00A012FE" w:rsidRDefault="00B165C2" w:rsidP="007A106C">
            <w:pPr>
              <w:rPr>
                <w:sz w:val="20"/>
                <w:szCs w:val="20"/>
              </w:rPr>
            </w:pPr>
            <w:r>
              <w:rPr>
                <w:sz w:val="20"/>
                <w:szCs w:val="20"/>
              </w:rPr>
              <w:t xml:space="preserve">95 - 98 %, </w:t>
            </w:r>
            <w:r w:rsidRPr="00A012FE">
              <w:rPr>
                <w:sz w:val="20"/>
                <w:szCs w:val="20"/>
              </w:rPr>
              <w:t xml:space="preserve">v případě jiného zkrácení lhůty pro podání nabídek/žádosti o účast. </w:t>
            </w:r>
          </w:p>
        </w:tc>
      </w:tr>
      <w:tr w:rsidR="00B165C2" w:rsidRPr="00A012FE" w:rsidTr="007A106C">
        <w:trPr>
          <w:trHeight w:val="765"/>
        </w:trPr>
        <w:tc>
          <w:tcPr>
            <w:tcW w:w="531" w:type="pct"/>
            <w:vMerge/>
            <w:vAlign w:val="center"/>
          </w:tcPr>
          <w:p w:rsidR="00B165C2" w:rsidRPr="00A012FE" w:rsidRDefault="00B165C2" w:rsidP="007A106C">
            <w:pPr>
              <w:rPr>
                <w:sz w:val="20"/>
                <w:szCs w:val="20"/>
              </w:rPr>
            </w:pPr>
          </w:p>
        </w:tc>
        <w:tc>
          <w:tcPr>
            <w:tcW w:w="349" w:type="pct"/>
            <w:vMerge w:val="restart"/>
            <w:vAlign w:val="center"/>
          </w:tcPr>
          <w:p w:rsidR="00B165C2" w:rsidRPr="003769AD" w:rsidRDefault="00B165C2" w:rsidP="007A106C">
            <w:pPr>
              <w:rPr>
                <w:sz w:val="20"/>
                <w:szCs w:val="20"/>
                <w:highlight w:val="lightGray"/>
              </w:rPr>
            </w:pPr>
            <w:r w:rsidRPr="003769AD">
              <w:rPr>
                <w:sz w:val="20"/>
                <w:szCs w:val="20"/>
                <w:highlight w:val="lightGray"/>
              </w:rPr>
              <w:t>33d</w:t>
            </w:r>
          </w:p>
        </w:tc>
        <w:tc>
          <w:tcPr>
            <w:tcW w:w="1399" w:type="pct"/>
            <w:vMerge w:val="restart"/>
            <w:vAlign w:val="center"/>
          </w:tcPr>
          <w:p w:rsidR="00B165C2" w:rsidRPr="003769AD" w:rsidRDefault="00B165C2" w:rsidP="007A106C">
            <w:pPr>
              <w:rPr>
                <w:color w:val="000000"/>
                <w:sz w:val="20"/>
                <w:szCs w:val="20"/>
                <w:highlight w:val="lightGray"/>
              </w:rPr>
            </w:pPr>
            <w:r w:rsidRPr="003769AD">
              <w:rPr>
                <w:color w:val="000000"/>
                <w:sz w:val="20"/>
                <w:szCs w:val="20"/>
                <w:highlight w:val="lightGray"/>
              </w:rPr>
              <w:t>Doba k tomu, aby si potenciální uchazeči opatřili zadávací dokumentaci, je příliš krátká, a vytváří tak neodůvodněnou překážku pro otevření zakázky hospodářské soutěži.</w:t>
            </w:r>
          </w:p>
        </w:tc>
        <w:tc>
          <w:tcPr>
            <w:tcW w:w="625" w:type="pct"/>
            <w:vMerge w:val="restart"/>
            <w:shd w:val="clear" w:color="auto" w:fill="auto"/>
            <w:vAlign w:val="center"/>
          </w:tcPr>
          <w:p w:rsidR="00B165C2" w:rsidRPr="003769AD" w:rsidRDefault="00B165C2" w:rsidP="007A106C">
            <w:pPr>
              <w:rPr>
                <w:color w:val="000000"/>
                <w:sz w:val="20"/>
                <w:szCs w:val="20"/>
                <w:highlight w:val="lightGray"/>
              </w:rPr>
            </w:pPr>
            <w:r w:rsidRPr="003769AD">
              <w:rPr>
                <w:color w:val="000000"/>
                <w:sz w:val="20"/>
                <w:szCs w:val="20"/>
                <w:highlight w:val="lightGray"/>
              </w:rPr>
              <w:t>75 % - 95 %</w:t>
            </w:r>
          </w:p>
        </w:tc>
        <w:tc>
          <w:tcPr>
            <w:tcW w:w="631" w:type="pct"/>
            <w:vMerge w:val="restart"/>
            <w:shd w:val="clear" w:color="auto" w:fill="auto"/>
            <w:noWrap/>
            <w:vAlign w:val="center"/>
          </w:tcPr>
          <w:p w:rsidR="00B165C2" w:rsidRPr="003769AD" w:rsidRDefault="00B165C2" w:rsidP="007A106C">
            <w:pPr>
              <w:rPr>
                <w:color w:val="000000"/>
                <w:sz w:val="20"/>
                <w:szCs w:val="20"/>
                <w:highlight w:val="lightGray"/>
              </w:rPr>
            </w:pPr>
            <w:r w:rsidRPr="003769AD">
              <w:rPr>
                <w:color w:val="000000"/>
                <w:sz w:val="20"/>
                <w:szCs w:val="20"/>
                <w:highlight w:val="lightGray"/>
              </w:rPr>
              <w:t>předložený výdaj z VŘ</w:t>
            </w:r>
          </w:p>
        </w:tc>
        <w:tc>
          <w:tcPr>
            <w:tcW w:w="1465" w:type="pct"/>
            <w:shd w:val="clear" w:color="auto" w:fill="auto"/>
            <w:vAlign w:val="center"/>
          </w:tcPr>
          <w:p w:rsidR="00B165C2" w:rsidRPr="003769AD" w:rsidRDefault="00B165C2" w:rsidP="007A106C">
            <w:pPr>
              <w:rPr>
                <w:sz w:val="20"/>
                <w:szCs w:val="20"/>
                <w:highlight w:val="lightGray"/>
              </w:rPr>
            </w:pPr>
            <w:r w:rsidRPr="003769AD">
              <w:rPr>
                <w:sz w:val="20"/>
                <w:szCs w:val="20"/>
                <w:highlight w:val="lightGray"/>
              </w:rPr>
              <w:t>75 %, pokud je doba, ve které potenciální uchazeči musí získat zadávací dokumentaci, kratší než 50 % časové lhůty pro doručení nabídek (v souladu s příslušnými ustanoveními), nebo</w:t>
            </w:r>
          </w:p>
        </w:tc>
      </w:tr>
      <w:tr w:rsidR="00B165C2" w:rsidRPr="00A012FE" w:rsidTr="007A106C">
        <w:trPr>
          <w:trHeight w:val="2040"/>
        </w:trPr>
        <w:tc>
          <w:tcPr>
            <w:tcW w:w="531" w:type="pct"/>
            <w:vMerge/>
            <w:vAlign w:val="center"/>
            <w:hideMark/>
          </w:tcPr>
          <w:p w:rsidR="00B165C2" w:rsidRPr="00A012FE" w:rsidRDefault="00B165C2" w:rsidP="007A106C">
            <w:pPr>
              <w:rPr>
                <w:sz w:val="20"/>
                <w:szCs w:val="20"/>
              </w:rPr>
            </w:pPr>
          </w:p>
        </w:tc>
        <w:tc>
          <w:tcPr>
            <w:tcW w:w="349" w:type="pct"/>
            <w:vMerge/>
            <w:vAlign w:val="center"/>
            <w:hideMark/>
          </w:tcPr>
          <w:p w:rsidR="00B165C2" w:rsidRPr="003769AD" w:rsidRDefault="00B165C2" w:rsidP="007A106C">
            <w:pPr>
              <w:rPr>
                <w:sz w:val="20"/>
                <w:szCs w:val="20"/>
                <w:highlight w:val="lightGray"/>
              </w:rPr>
            </w:pPr>
          </w:p>
        </w:tc>
        <w:tc>
          <w:tcPr>
            <w:tcW w:w="1399" w:type="pct"/>
            <w:vMerge/>
            <w:vAlign w:val="center"/>
            <w:hideMark/>
          </w:tcPr>
          <w:p w:rsidR="00B165C2" w:rsidRPr="003769AD" w:rsidRDefault="00B165C2" w:rsidP="007A106C">
            <w:pPr>
              <w:rPr>
                <w:sz w:val="20"/>
                <w:szCs w:val="20"/>
                <w:highlight w:val="lightGray"/>
              </w:rPr>
            </w:pPr>
          </w:p>
        </w:tc>
        <w:tc>
          <w:tcPr>
            <w:tcW w:w="625" w:type="pct"/>
            <w:vMerge/>
            <w:shd w:val="clear" w:color="auto" w:fill="auto"/>
            <w:vAlign w:val="center"/>
            <w:hideMark/>
          </w:tcPr>
          <w:p w:rsidR="00B165C2" w:rsidRPr="003769AD" w:rsidRDefault="00B165C2" w:rsidP="007A106C">
            <w:pPr>
              <w:rPr>
                <w:sz w:val="20"/>
                <w:szCs w:val="20"/>
                <w:highlight w:val="lightGray"/>
              </w:rPr>
            </w:pPr>
          </w:p>
        </w:tc>
        <w:tc>
          <w:tcPr>
            <w:tcW w:w="631" w:type="pct"/>
            <w:vMerge/>
            <w:shd w:val="clear" w:color="auto" w:fill="auto"/>
            <w:noWrap/>
            <w:vAlign w:val="center"/>
            <w:hideMark/>
          </w:tcPr>
          <w:p w:rsidR="00B165C2" w:rsidRPr="003769AD" w:rsidRDefault="00B165C2" w:rsidP="007A106C">
            <w:pPr>
              <w:rPr>
                <w:sz w:val="20"/>
                <w:szCs w:val="20"/>
                <w:highlight w:val="lightGray"/>
              </w:rPr>
            </w:pPr>
          </w:p>
        </w:tc>
        <w:tc>
          <w:tcPr>
            <w:tcW w:w="1465" w:type="pct"/>
            <w:shd w:val="clear" w:color="auto" w:fill="auto"/>
            <w:vAlign w:val="center"/>
            <w:hideMark/>
          </w:tcPr>
          <w:p w:rsidR="00B165C2" w:rsidRPr="003769AD" w:rsidRDefault="00B165C2" w:rsidP="007A106C">
            <w:pPr>
              <w:rPr>
                <w:sz w:val="20"/>
                <w:szCs w:val="20"/>
                <w:highlight w:val="lightGray"/>
              </w:rPr>
            </w:pPr>
            <w:r w:rsidRPr="003769AD">
              <w:rPr>
                <w:sz w:val="20"/>
                <w:szCs w:val="20"/>
                <w:highlight w:val="lightGray"/>
              </w:rPr>
              <w:t>max. 90 %, pokud je doba, ve které potenciální uchazeči musí získat zadávací dokumentaci, kratší než 60 % časové lhůty pro doručení nabídek, nebo</w:t>
            </w:r>
          </w:p>
        </w:tc>
      </w:tr>
      <w:tr w:rsidR="00B165C2" w:rsidRPr="00A012FE" w:rsidTr="007A106C">
        <w:trPr>
          <w:trHeight w:val="1785"/>
        </w:trPr>
        <w:tc>
          <w:tcPr>
            <w:tcW w:w="531" w:type="pct"/>
            <w:vMerge/>
            <w:vAlign w:val="center"/>
            <w:hideMark/>
          </w:tcPr>
          <w:p w:rsidR="00B165C2" w:rsidRPr="00A012FE" w:rsidRDefault="00B165C2" w:rsidP="007A106C">
            <w:pPr>
              <w:rPr>
                <w:sz w:val="20"/>
                <w:szCs w:val="20"/>
              </w:rPr>
            </w:pPr>
          </w:p>
        </w:tc>
        <w:tc>
          <w:tcPr>
            <w:tcW w:w="349" w:type="pct"/>
            <w:vMerge/>
            <w:vAlign w:val="center"/>
            <w:hideMark/>
          </w:tcPr>
          <w:p w:rsidR="00B165C2" w:rsidRPr="00A012FE" w:rsidRDefault="00B165C2" w:rsidP="007A106C">
            <w:pPr>
              <w:rPr>
                <w:sz w:val="20"/>
                <w:szCs w:val="20"/>
              </w:rPr>
            </w:pPr>
          </w:p>
        </w:tc>
        <w:tc>
          <w:tcPr>
            <w:tcW w:w="1399" w:type="pct"/>
            <w:vMerge/>
            <w:vAlign w:val="center"/>
            <w:hideMark/>
          </w:tcPr>
          <w:p w:rsidR="00B165C2" w:rsidRPr="003769AD" w:rsidRDefault="00B165C2" w:rsidP="007A106C">
            <w:pPr>
              <w:rPr>
                <w:sz w:val="20"/>
                <w:szCs w:val="20"/>
                <w:highlight w:val="green"/>
              </w:rPr>
            </w:pPr>
          </w:p>
        </w:tc>
        <w:tc>
          <w:tcPr>
            <w:tcW w:w="625" w:type="pct"/>
            <w:vMerge/>
            <w:shd w:val="clear" w:color="auto" w:fill="auto"/>
            <w:vAlign w:val="center"/>
            <w:hideMark/>
          </w:tcPr>
          <w:p w:rsidR="00B165C2" w:rsidRPr="003769AD" w:rsidRDefault="00B165C2" w:rsidP="007A106C">
            <w:pPr>
              <w:rPr>
                <w:sz w:val="20"/>
                <w:szCs w:val="20"/>
                <w:highlight w:val="green"/>
              </w:rPr>
            </w:pPr>
          </w:p>
        </w:tc>
        <w:tc>
          <w:tcPr>
            <w:tcW w:w="631" w:type="pct"/>
            <w:vMerge/>
            <w:shd w:val="clear" w:color="auto" w:fill="auto"/>
            <w:noWrap/>
            <w:vAlign w:val="center"/>
            <w:hideMark/>
          </w:tcPr>
          <w:p w:rsidR="00B165C2" w:rsidRPr="003769AD" w:rsidRDefault="00B165C2" w:rsidP="007A106C">
            <w:pPr>
              <w:rPr>
                <w:sz w:val="20"/>
                <w:szCs w:val="20"/>
                <w:highlight w:val="green"/>
              </w:rPr>
            </w:pPr>
          </w:p>
        </w:tc>
        <w:tc>
          <w:tcPr>
            <w:tcW w:w="1465" w:type="pct"/>
            <w:shd w:val="clear" w:color="auto" w:fill="auto"/>
            <w:vAlign w:val="center"/>
            <w:hideMark/>
          </w:tcPr>
          <w:p w:rsidR="00B165C2" w:rsidRPr="003769AD" w:rsidRDefault="00B165C2" w:rsidP="007A106C">
            <w:pPr>
              <w:rPr>
                <w:sz w:val="20"/>
                <w:szCs w:val="20"/>
                <w:highlight w:val="green"/>
              </w:rPr>
            </w:pPr>
            <w:r w:rsidRPr="003769AD">
              <w:rPr>
                <w:sz w:val="20"/>
                <w:szCs w:val="20"/>
                <w:highlight w:val="lightGray"/>
              </w:rPr>
              <w:t>max. 95 %, pokud je doba, ve které potenciální uchazeči musí získat zadávací dokumentaci, kratší než 80 % časového lhůty pro doručení nabídek.</w:t>
            </w:r>
          </w:p>
        </w:tc>
      </w:tr>
      <w:tr w:rsidR="00B165C2" w:rsidRPr="00A012FE" w:rsidTr="007A106C">
        <w:trPr>
          <w:trHeight w:val="255"/>
        </w:trPr>
        <w:tc>
          <w:tcPr>
            <w:tcW w:w="531" w:type="pct"/>
            <w:vMerge/>
            <w:vAlign w:val="center"/>
            <w:hideMark/>
          </w:tcPr>
          <w:p w:rsidR="00B165C2" w:rsidRPr="00A012FE" w:rsidRDefault="00B165C2" w:rsidP="007A106C">
            <w:pPr>
              <w:rPr>
                <w:sz w:val="20"/>
                <w:szCs w:val="20"/>
              </w:rPr>
            </w:pPr>
          </w:p>
        </w:tc>
        <w:tc>
          <w:tcPr>
            <w:tcW w:w="349" w:type="pct"/>
            <w:shd w:val="clear" w:color="auto" w:fill="auto"/>
            <w:vAlign w:val="center"/>
            <w:hideMark/>
          </w:tcPr>
          <w:p w:rsidR="00B165C2" w:rsidRPr="00A012FE" w:rsidRDefault="00B165C2" w:rsidP="007A106C">
            <w:pPr>
              <w:rPr>
                <w:sz w:val="20"/>
                <w:szCs w:val="20"/>
              </w:rPr>
            </w:pPr>
            <w:r>
              <w:rPr>
                <w:sz w:val="20"/>
                <w:szCs w:val="20"/>
              </w:rPr>
              <w:t>33e</w:t>
            </w:r>
          </w:p>
        </w:tc>
        <w:tc>
          <w:tcPr>
            <w:tcW w:w="1399" w:type="pct"/>
            <w:shd w:val="clear" w:color="auto" w:fill="auto"/>
            <w:vAlign w:val="center"/>
            <w:hideMark/>
          </w:tcPr>
          <w:p w:rsidR="00B165C2" w:rsidRPr="00A012FE" w:rsidRDefault="00B165C2" w:rsidP="007A106C">
            <w:pPr>
              <w:rPr>
                <w:sz w:val="20"/>
                <w:szCs w:val="20"/>
              </w:rPr>
            </w:pPr>
            <w:r w:rsidRPr="00A012FE">
              <w:rPr>
                <w:sz w:val="20"/>
                <w:szCs w:val="20"/>
              </w:rPr>
              <w:t>Došlo k prodloužení lhůty pro podání nabídek, ale toto prodloužení nebylo uveřejněno</w:t>
            </w:r>
            <w:r>
              <w:rPr>
                <w:sz w:val="20"/>
                <w:szCs w:val="20"/>
              </w:rPr>
              <w:t> </w:t>
            </w:r>
            <w:r w:rsidRPr="00A012FE">
              <w:rPr>
                <w:sz w:val="20"/>
                <w:szCs w:val="20"/>
              </w:rPr>
              <w:t>/</w:t>
            </w:r>
            <w:r>
              <w:rPr>
                <w:sz w:val="20"/>
                <w:szCs w:val="20"/>
              </w:rPr>
              <w:t> </w:t>
            </w:r>
            <w:r w:rsidRPr="00A012FE">
              <w:rPr>
                <w:sz w:val="20"/>
                <w:szCs w:val="20"/>
              </w:rPr>
              <w:t>odesláno stejným způsobem, jakým bylo zahájeno výběrové/zadávací  řízení.</w:t>
            </w:r>
          </w:p>
        </w:tc>
        <w:tc>
          <w:tcPr>
            <w:tcW w:w="625" w:type="pct"/>
            <w:shd w:val="clear" w:color="auto" w:fill="auto"/>
            <w:vAlign w:val="center"/>
            <w:hideMark/>
          </w:tcPr>
          <w:p w:rsidR="00B165C2" w:rsidRPr="00A012FE" w:rsidRDefault="00B165C2" w:rsidP="007A106C">
            <w:pPr>
              <w:rPr>
                <w:sz w:val="20"/>
                <w:szCs w:val="20"/>
              </w:rPr>
            </w:pPr>
            <w:r w:rsidRPr="00A012FE">
              <w:rPr>
                <w:sz w:val="20"/>
                <w:szCs w:val="20"/>
              </w:rPr>
              <w:t xml:space="preserve">90 </w:t>
            </w:r>
            <w:r>
              <w:rPr>
                <w:sz w:val="20"/>
                <w:szCs w:val="20"/>
              </w:rPr>
              <w:t>-</w:t>
            </w:r>
            <w:r w:rsidRPr="00A012FE">
              <w:rPr>
                <w:sz w:val="20"/>
                <w:szCs w:val="20"/>
              </w:rPr>
              <w:t xml:space="preserve"> 9</w:t>
            </w:r>
            <w:r>
              <w:rPr>
                <w:sz w:val="20"/>
                <w:szCs w:val="20"/>
              </w:rPr>
              <w:t>5</w:t>
            </w:r>
            <w:r w:rsidRPr="00A012FE">
              <w:rPr>
                <w:sz w:val="20"/>
                <w:szCs w:val="20"/>
              </w:rPr>
              <w:t xml:space="preserve"> %</w:t>
            </w:r>
          </w:p>
        </w:tc>
        <w:tc>
          <w:tcPr>
            <w:tcW w:w="631" w:type="pct"/>
            <w:shd w:val="clear" w:color="auto" w:fill="auto"/>
            <w:noWrap/>
            <w:vAlign w:val="center"/>
            <w:hideMark/>
          </w:tcPr>
          <w:p w:rsidR="00B165C2" w:rsidRPr="00A012FE" w:rsidRDefault="00B165C2" w:rsidP="007A106C">
            <w:pPr>
              <w:rPr>
                <w:sz w:val="20"/>
                <w:szCs w:val="20"/>
              </w:rPr>
            </w:pPr>
            <w:r w:rsidRPr="00A012FE">
              <w:rPr>
                <w:sz w:val="20"/>
                <w:szCs w:val="20"/>
              </w:rPr>
              <w:t>předložený výdaj z VŘ</w:t>
            </w:r>
          </w:p>
        </w:tc>
        <w:tc>
          <w:tcPr>
            <w:tcW w:w="1465" w:type="pct"/>
            <w:shd w:val="clear" w:color="auto" w:fill="auto"/>
            <w:vAlign w:val="center"/>
            <w:hideMark/>
          </w:tcPr>
          <w:p w:rsidR="00B165C2" w:rsidRPr="00A012FE" w:rsidRDefault="00B165C2" w:rsidP="007A106C">
            <w:pPr>
              <w:rPr>
                <w:sz w:val="20"/>
                <w:szCs w:val="20"/>
              </w:rPr>
            </w:pPr>
            <w:r>
              <w:rPr>
                <w:sz w:val="20"/>
                <w:szCs w:val="20"/>
              </w:rPr>
              <w:t>90 %, nebo max. 95 % s </w:t>
            </w:r>
            <w:r w:rsidRPr="00A012FE">
              <w:rPr>
                <w:sz w:val="20"/>
                <w:szCs w:val="20"/>
              </w:rPr>
              <w:t>ohledem na závažnost porušení</w:t>
            </w:r>
            <w:r>
              <w:rPr>
                <w:sz w:val="20"/>
                <w:szCs w:val="20"/>
              </w:rPr>
              <w:t>.</w:t>
            </w:r>
          </w:p>
        </w:tc>
      </w:tr>
      <w:tr w:rsidR="00B165C2" w:rsidRPr="00A012FE" w:rsidTr="007A106C">
        <w:trPr>
          <w:trHeight w:val="255"/>
        </w:trPr>
        <w:tc>
          <w:tcPr>
            <w:tcW w:w="531" w:type="pct"/>
            <w:vMerge/>
            <w:vAlign w:val="center"/>
            <w:hideMark/>
          </w:tcPr>
          <w:p w:rsidR="00B165C2" w:rsidRPr="00A012FE" w:rsidRDefault="00B165C2" w:rsidP="007A106C">
            <w:pPr>
              <w:rPr>
                <w:sz w:val="20"/>
                <w:szCs w:val="20"/>
              </w:rPr>
            </w:pPr>
          </w:p>
        </w:tc>
        <w:tc>
          <w:tcPr>
            <w:tcW w:w="349" w:type="pct"/>
            <w:vMerge w:val="restart"/>
            <w:shd w:val="clear" w:color="auto" w:fill="auto"/>
            <w:vAlign w:val="center"/>
            <w:hideMark/>
          </w:tcPr>
          <w:p w:rsidR="00B165C2" w:rsidRPr="00A012FE" w:rsidRDefault="00B165C2" w:rsidP="007A106C">
            <w:pPr>
              <w:rPr>
                <w:sz w:val="20"/>
                <w:szCs w:val="20"/>
              </w:rPr>
            </w:pPr>
            <w:r>
              <w:rPr>
                <w:sz w:val="20"/>
                <w:szCs w:val="20"/>
              </w:rPr>
              <w:t>33f</w:t>
            </w:r>
          </w:p>
        </w:tc>
        <w:tc>
          <w:tcPr>
            <w:tcW w:w="1399" w:type="pct"/>
            <w:vMerge w:val="restart"/>
            <w:shd w:val="clear" w:color="auto" w:fill="auto"/>
            <w:vAlign w:val="center"/>
            <w:hideMark/>
          </w:tcPr>
          <w:p w:rsidR="00B165C2" w:rsidRPr="00A012FE" w:rsidRDefault="00B165C2" w:rsidP="007A106C">
            <w:pPr>
              <w:rPr>
                <w:sz w:val="20"/>
                <w:szCs w:val="20"/>
              </w:rPr>
            </w:pPr>
            <w:r w:rsidRPr="00A012FE">
              <w:rPr>
                <w:sz w:val="20"/>
                <w:szCs w:val="20"/>
              </w:rPr>
              <w:t xml:space="preserve">Hodnotící kritéria, případně jejich podrobná specifikace nejsou uvedena v zadávacích podmínkách. </w:t>
            </w:r>
          </w:p>
        </w:tc>
        <w:tc>
          <w:tcPr>
            <w:tcW w:w="625" w:type="pct"/>
            <w:vMerge w:val="restart"/>
            <w:shd w:val="clear" w:color="auto" w:fill="auto"/>
            <w:vAlign w:val="center"/>
            <w:hideMark/>
          </w:tcPr>
          <w:p w:rsidR="00B165C2" w:rsidRPr="00A012FE" w:rsidRDefault="00B165C2" w:rsidP="007A106C">
            <w:pPr>
              <w:rPr>
                <w:sz w:val="20"/>
                <w:szCs w:val="20"/>
              </w:rPr>
            </w:pPr>
            <w:r>
              <w:rPr>
                <w:sz w:val="20"/>
                <w:szCs w:val="20"/>
              </w:rPr>
              <w:t>75 % - 95 %</w:t>
            </w:r>
          </w:p>
        </w:tc>
        <w:tc>
          <w:tcPr>
            <w:tcW w:w="631" w:type="pct"/>
            <w:vMerge w:val="restart"/>
            <w:shd w:val="clear" w:color="auto" w:fill="auto"/>
            <w:noWrap/>
            <w:vAlign w:val="center"/>
            <w:hideMark/>
          </w:tcPr>
          <w:p w:rsidR="00B165C2" w:rsidRPr="00A012FE" w:rsidRDefault="00B165C2" w:rsidP="007A106C">
            <w:pPr>
              <w:rPr>
                <w:sz w:val="20"/>
                <w:szCs w:val="20"/>
              </w:rPr>
            </w:pPr>
            <w:r w:rsidRPr="00A012FE">
              <w:rPr>
                <w:sz w:val="20"/>
                <w:szCs w:val="20"/>
              </w:rPr>
              <w:t>předložený výdaj z VŘ</w:t>
            </w:r>
          </w:p>
        </w:tc>
        <w:tc>
          <w:tcPr>
            <w:tcW w:w="1465" w:type="pct"/>
            <w:shd w:val="clear" w:color="auto" w:fill="auto"/>
            <w:vAlign w:val="center"/>
            <w:hideMark/>
          </w:tcPr>
          <w:p w:rsidR="00B165C2" w:rsidRPr="00A012FE" w:rsidRDefault="00B165C2" w:rsidP="007A106C">
            <w:pPr>
              <w:rPr>
                <w:sz w:val="20"/>
                <w:szCs w:val="20"/>
              </w:rPr>
            </w:pPr>
            <w:r>
              <w:rPr>
                <w:sz w:val="20"/>
                <w:szCs w:val="20"/>
              </w:rPr>
              <w:t>75</w:t>
            </w:r>
            <w:r>
              <w:t> </w:t>
            </w:r>
            <w:r>
              <w:rPr>
                <w:sz w:val="20"/>
                <w:szCs w:val="20"/>
              </w:rPr>
              <w:t>%, nebo</w:t>
            </w:r>
          </w:p>
        </w:tc>
      </w:tr>
      <w:tr w:rsidR="00B165C2" w:rsidRPr="00A012FE" w:rsidTr="007A106C">
        <w:trPr>
          <w:trHeight w:val="1275"/>
        </w:trPr>
        <w:tc>
          <w:tcPr>
            <w:tcW w:w="531" w:type="pct"/>
            <w:vMerge/>
            <w:vAlign w:val="center"/>
            <w:hideMark/>
          </w:tcPr>
          <w:p w:rsidR="00B165C2" w:rsidRPr="00A012FE" w:rsidRDefault="00B165C2" w:rsidP="007A106C">
            <w:pPr>
              <w:rPr>
                <w:sz w:val="20"/>
                <w:szCs w:val="20"/>
              </w:rPr>
            </w:pPr>
          </w:p>
        </w:tc>
        <w:tc>
          <w:tcPr>
            <w:tcW w:w="349" w:type="pct"/>
            <w:vMerge/>
            <w:vAlign w:val="center"/>
            <w:hideMark/>
          </w:tcPr>
          <w:p w:rsidR="00B165C2" w:rsidRPr="00A012FE" w:rsidRDefault="00B165C2" w:rsidP="007A106C">
            <w:pPr>
              <w:rPr>
                <w:sz w:val="20"/>
                <w:szCs w:val="20"/>
              </w:rPr>
            </w:pPr>
          </w:p>
        </w:tc>
        <w:tc>
          <w:tcPr>
            <w:tcW w:w="1399" w:type="pct"/>
            <w:vMerge/>
            <w:vAlign w:val="center"/>
            <w:hideMark/>
          </w:tcPr>
          <w:p w:rsidR="00B165C2" w:rsidRPr="00A012FE" w:rsidRDefault="00B165C2" w:rsidP="007A106C">
            <w:pPr>
              <w:rPr>
                <w:sz w:val="20"/>
                <w:szCs w:val="20"/>
              </w:rPr>
            </w:pPr>
          </w:p>
        </w:tc>
        <w:tc>
          <w:tcPr>
            <w:tcW w:w="625" w:type="pct"/>
            <w:vMerge/>
            <w:shd w:val="clear" w:color="auto" w:fill="auto"/>
            <w:vAlign w:val="center"/>
            <w:hideMark/>
          </w:tcPr>
          <w:p w:rsidR="00B165C2" w:rsidRPr="00A012FE" w:rsidRDefault="00B165C2" w:rsidP="007A106C">
            <w:pPr>
              <w:rPr>
                <w:sz w:val="20"/>
                <w:szCs w:val="20"/>
              </w:rPr>
            </w:pPr>
          </w:p>
        </w:tc>
        <w:tc>
          <w:tcPr>
            <w:tcW w:w="631" w:type="pct"/>
            <w:vMerge/>
            <w:shd w:val="clear" w:color="auto" w:fill="auto"/>
            <w:noWrap/>
            <w:vAlign w:val="center"/>
            <w:hideMark/>
          </w:tcPr>
          <w:p w:rsidR="00B165C2" w:rsidRPr="00A012FE" w:rsidRDefault="00B165C2" w:rsidP="007A106C">
            <w:pPr>
              <w:rPr>
                <w:sz w:val="20"/>
                <w:szCs w:val="20"/>
              </w:rPr>
            </w:pPr>
          </w:p>
        </w:tc>
        <w:tc>
          <w:tcPr>
            <w:tcW w:w="1465" w:type="pct"/>
            <w:shd w:val="clear" w:color="auto" w:fill="auto"/>
            <w:vAlign w:val="center"/>
            <w:hideMark/>
          </w:tcPr>
          <w:p w:rsidR="00B165C2" w:rsidRPr="00A012FE" w:rsidRDefault="00B165C2" w:rsidP="007A106C">
            <w:pPr>
              <w:rPr>
                <w:sz w:val="20"/>
                <w:szCs w:val="20"/>
              </w:rPr>
            </w:pPr>
            <w:r>
              <w:rPr>
                <w:sz w:val="20"/>
                <w:szCs w:val="20"/>
              </w:rPr>
              <w:t>max. 90 % nebo  95 %, p</w:t>
            </w:r>
            <w:r w:rsidRPr="00A012FE">
              <w:rPr>
                <w:sz w:val="20"/>
                <w:szCs w:val="20"/>
              </w:rPr>
              <w:t>okud byla hodnotící kritéria v zadávacích podmínkách uvedena, ale nedostatečně podrobně popsána.</w:t>
            </w:r>
          </w:p>
        </w:tc>
      </w:tr>
      <w:tr w:rsidR="00B165C2" w:rsidRPr="00A012FE" w:rsidTr="007A106C">
        <w:trPr>
          <w:trHeight w:val="638"/>
        </w:trPr>
        <w:tc>
          <w:tcPr>
            <w:tcW w:w="531" w:type="pct"/>
            <w:vMerge/>
            <w:vAlign w:val="center"/>
          </w:tcPr>
          <w:p w:rsidR="00B165C2" w:rsidRPr="00A012FE" w:rsidRDefault="00B165C2" w:rsidP="007A106C">
            <w:pPr>
              <w:rPr>
                <w:sz w:val="20"/>
                <w:szCs w:val="20"/>
              </w:rPr>
            </w:pPr>
          </w:p>
        </w:tc>
        <w:tc>
          <w:tcPr>
            <w:tcW w:w="349" w:type="pct"/>
            <w:vMerge w:val="restart"/>
            <w:vAlign w:val="center"/>
          </w:tcPr>
          <w:p w:rsidR="00B165C2" w:rsidRPr="003769AD" w:rsidRDefault="00B165C2" w:rsidP="007A106C">
            <w:pPr>
              <w:rPr>
                <w:sz w:val="20"/>
                <w:szCs w:val="20"/>
                <w:highlight w:val="lightGray"/>
              </w:rPr>
            </w:pPr>
            <w:r w:rsidRPr="003769AD">
              <w:rPr>
                <w:sz w:val="20"/>
                <w:szCs w:val="20"/>
                <w:highlight w:val="lightGray"/>
              </w:rPr>
              <w:t>33g</w:t>
            </w:r>
          </w:p>
        </w:tc>
        <w:tc>
          <w:tcPr>
            <w:tcW w:w="1399" w:type="pct"/>
            <w:vMerge w:val="restart"/>
            <w:vAlign w:val="center"/>
          </w:tcPr>
          <w:p w:rsidR="00B165C2" w:rsidRPr="003769AD" w:rsidRDefault="00B165C2" w:rsidP="007A106C">
            <w:pPr>
              <w:rPr>
                <w:sz w:val="20"/>
                <w:szCs w:val="20"/>
                <w:highlight w:val="lightGray"/>
              </w:rPr>
            </w:pPr>
            <w:r w:rsidRPr="003769AD">
              <w:rPr>
                <w:sz w:val="20"/>
                <w:szCs w:val="20"/>
                <w:highlight w:val="lightGray"/>
              </w:rPr>
              <w:t>Zadavatel zadává zakázky v jednacím řízení s uveřejněním, ale takový postup není odůvodněn příslušnými ustanoveními ZVZ.</w:t>
            </w:r>
          </w:p>
        </w:tc>
        <w:tc>
          <w:tcPr>
            <w:tcW w:w="625" w:type="pct"/>
            <w:vMerge w:val="restart"/>
            <w:shd w:val="clear" w:color="auto" w:fill="auto"/>
            <w:vAlign w:val="center"/>
          </w:tcPr>
          <w:p w:rsidR="00B165C2" w:rsidRPr="003769AD" w:rsidRDefault="00B165C2" w:rsidP="007A106C">
            <w:pPr>
              <w:rPr>
                <w:sz w:val="20"/>
                <w:szCs w:val="20"/>
                <w:highlight w:val="lightGray"/>
              </w:rPr>
            </w:pPr>
            <w:r w:rsidRPr="003769AD">
              <w:rPr>
                <w:sz w:val="20"/>
                <w:szCs w:val="20"/>
                <w:highlight w:val="lightGray"/>
              </w:rPr>
              <w:t>75 % - 95 %</w:t>
            </w:r>
          </w:p>
        </w:tc>
        <w:tc>
          <w:tcPr>
            <w:tcW w:w="631" w:type="pct"/>
            <w:vMerge w:val="restart"/>
            <w:shd w:val="clear" w:color="auto" w:fill="auto"/>
            <w:noWrap/>
            <w:vAlign w:val="center"/>
          </w:tcPr>
          <w:p w:rsidR="00B165C2" w:rsidRPr="003769AD" w:rsidRDefault="00B165C2" w:rsidP="007A106C">
            <w:pPr>
              <w:rPr>
                <w:sz w:val="20"/>
                <w:szCs w:val="20"/>
                <w:highlight w:val="lightGray"/>
              </w:rPr>
            </w:pPr>
            <w:r w:rsidRPr="003769AD">
              <w:rPr>
                <w:sz w:val="20"/>
                <w:szCs w:val="20"/>
                <w:highlight w:val="lightGray"/>
              </w:rPr>
              <w:t>předložený výdaj z VŘ</w:t>
            </w:r>
          </w:p>
        </w:tc>
        <w:tc>
          <w:tcPr>
            <w:tcW w:w="1465" w:type="pct"/>
            <w:shd w:val="clear" w:color="auto" w:fill="auto"/>
            <w:vAlign w:val="center"/>
          </w:tcPr>
          <w:p w:rsidR="00B165C2" w:rsidRPr="003769AD" w:rsidRDefault="00B165C2" w:rsidP="007A106C">
            <w:pPr>
              <w:rPr>
                <w:sz w:val="20"/>
                <w:szCs w:val="20"/>
                <w:highlight w:val="lightGray"/>
              </w:rPr>
            </w:pPr>
            <w:r w:rsidRPr="003769AD">
              <w:rPr>
                <w:sz w:val="20"/>
                <w:szCs w:val="20"/>
                <w:highlight w:val="lightGray"/>
              </w:rPr>
              <w:t>75</w:t>
            </w:r>
            <w:r w:rsidRPr="003769AD">
              <w:rPr>
                <w:highlight w:val="lightGray"/>
              </w:rPr>
              <w:t> </w:t>
            </w:r>
            <w:r w:rsidRPr="003769AD">
              <w:rPr>
                <w:sz w:val="20"/>
                <w:szCs w:val="20"/>
                <w:highlight w:val="lightGray"/>
              </w:rPr>
              <w:t>%, nebo</w:t>
            </w:r>
          </w:p>
        </w:tc>
      </w:tr>
      <w:tr w:rsidR="00B165C2" w:rsidRPr="00A012FE" w:rsidTr="007A106C">
        <w:trPr>
          <w:trHeight w:val="637"/>
        </w:trPr>
        <w:tc>
          <w:tcPr>
            <w:tcW w:w="531" w:type="pct"/>
            <w:vMerge/>
            <w:vAlign w:val="center"/>
          </w:tcPr>
          <w:p w:rsidR="00B165C2" w:rsidRPr="00A012FE" w:rsidRDefault="00B165C2" w:rsidP="007A106C">
            <w:pPr>
              <w:rPr>
                <w:sz w:val="20"/>
                <w:szCs w:val="20"/>
              </w:rPr>
            </w:pPr>
          </w:p>
        </w:tc>
        <w:tc>
          <w:tcPr>
            <w:tcW w:w="349" w:type="pct"/>
            <w:vMerge/>
            <w:vAlign w:val="center"/>
          </w:tcPr>
          <w:p w:rsidR="00B165C2" w:rsidRPr="003769AD" w:rsidRDefault="00B165C2" w:rsidP="007A106C">
            <w:pPr>
              <w:rPr>
                <w:sz w:val="20"/>
                <w:szCs w:val="20"/>
                <w:highlight w:val="lightGray"/>
              </w:rPr>
            </w:pPr>
          </w:p>
        </w:tc>
        <w:tc>
          <w:tcPr>
            <w:tcW w:w="1399" w:type="pct"/>
            <w:vMerge/>
            <w:vAlign w:val="center"/>
          </w:tcPr>
          <w:p w:rsidR="00B165C2" w:rsidRPr="003769AD" w:rsidRDefault="00B165C2" w:rsidP="007A106C">
            <w:pPr>
              <w:rPr>
                <w:sz w:val="20"/>
                <w:szCs w:val="20"/>
                <w:highlight w:val="lightGray"/>
              </w:rPr>
            </w:pPr>
          </w:p>
        </w:tc>
        <w:tc>
          <w:tcPr>
            <w:tcW w:w="625" w:type="pct"/>
            <w:vMerge/>
            <w:shd w:val="clear" w:color="auto" w:fill="auto"/>
            <w:vAlign w:val="center"/>
          </w:tcPr>
          <w:p w:rsidR="00B165C2" w:rsidRPr="003769AD" w:rsidRDefault="00B165C2" w:rsidP="007A106C">
            <w:pPr>
              <w:rPr>
                <w:sz w:val="20"/>
                <w:szCs w:val="20"/>
                <w:highlight w:val="lightGray"/>
              </w:rPr>
            </w:pPr>
          </w:p>
        </w:tc>
        <w:tc>
          <w:tcPr>
            <w:tcW w:w="631" w:type="pct"/>
            <w:vMerge/>
            <w:shd w:val="clear" w:color="auto" w:fill="auto"/>
            <w:noWrap/>
            <w:vAlign w:val="center"/>
          </w:tcPr>
          <w:p w:rsidR="00B165C2" w:rsidRPr="003769AD" w:rsidRDefault="00B165C2" w:rsidP="007A106C">
            <w:pPr>
              <w:rPr>
                <w:sz w:val="20"/>
                <w:szCs w:val="20"/>
                <w:highlight w:val="lightGray"/>
              </w:rPr>
            </w:pPr>
          </w:p>
        </w:tc>
        <w:tc>
          <w:tcPr>
            <w:tcW w:w="1465" w:type="pct"/>
            <w:shd w:val="clear" w:color="auto" w:fill="auto"/>
            <w:vAlign w:val="center"/>
          </w:tcPr>
          <w:p w:rsidR="00B165C2" w:rsidRPr="003769AD" w:rsidRDefault="00B165C2" w:rsidP="007A106C">
            <w:pPr>
              <w:rPr>
                <w:sz w:val="20"/>
                <w:szCs w:val="20"/>
                <w:highlight w:val="lightGray"/>
              </w:rPr>
            </w:pPr>
            <w:r w:rsidRPr="003769AD">
              <w:rPr>
                <w:sz w:val="20"/>
                <w:szCs w:val="20"/>
                <w:highlight w:val="lightGray"/>
              </w:rPr>
              <w:t>max. 90 % nebo 95 % s ohledem na závažnost porušení.</w:t>
            </w:r>
          </w:p>
        </w:tc>
      </w:tr>
      <w:tr w:rsidR="00B165C2" w:rsidRPr="00A012FE" w:rsidTr="007A106C">
        <w:trPr>
          <w:trHeight w:val="255"/>
        </w:trPr>
        <w:tc>
          <w:tcPr>
            <w:tcW w:w="531" w:type="pct"/>
            <w:vMerge/>
            <w:vAlign w:val="center"/>
            <w:hideMark/>
          </w:tcPr>
          <w:p w:rsidR="00B165C2" w:rsidRPr="00A012FE" w:rsidRDefault="00B165C2" w:rsidP="007A106C">
            <w:pPr>
              <w:rPr>
                <w:sz w:val="20"/>
                <w:szCs w:val="20"/>
              </w:rPr>
            </w:pPr>
          </w:p>
        </w:tc>
        <w:tc>
          <w:tcPr>
            <w:tcW w:w="349" w:type="pct"/>
            <w:vMerge w:val="restart"/>
            <w:shd w:val="clear" w:color="auto" w:fill="auto"/>
            <w:vAlign w:val="center"/>
            <w:hideMark/>
          </w:tcPr>
          <w:p w:rsidR="00B165C2" w:rsidRPr="00A012FE" w:rsidRDefault="00B165C2" w:rsidP="007A106C">
            <w:pPr>
              <w:rPr>
                <w:sz w:val="20"/>
                <w:szCs w:val="20"/>
              </w:rPr>
            </w:pPr>
            <w:r>
              <w:rPr>
                <w:sz w:val="20"/>
                <w:szCs w:val="20"/>
              </w:rPr>
              <w:t>33h</w:t>
            </w:r>
          </w:p>
        </w:tc>
        <w:tc>
          <w:tcPr>
            <w:tcW w:w="1399" w:type="pct"/>
            <w:vMerge w:val="restart"/>
            <w:shd w:val="clear" w:color="auto" w:fill="auto"/>
            <w:vAlign w:val="center"/>
            <w:hideMark/>
          </w:tcPr>
          <w:p w:rsidR="00B165C2" w:rsidRPr="00A012FE" w:rsidRDefault="00B165C2" w:rsidP="007A106C">
            <w:pPr>
              <w:rPr>
                <w:sz w:val="20"/>
                <w:szCs w:val="20"/>
              </w:rPr>
            </w:pPr>
            <w:r w:rsidRPr="00A012FE">
              <w:rPr>
                <w:sz w:val="20"/>
                <w:szCs w:val="20"/>
              </w:rPr>
              <w:t>Stanovení diskriminačních kvalifikačních požadavků</w:t>
            </w:r>
            <w:r>
              <w:rPr>
                <w:sz w:val="20"/>
                <w:szCs w:val="20"/>
              </w:rPr>
              <w:t xml:space="preserve"> (</w:t>
            </w:r>
            <w:r w:rsidRPr="00863BB5">
              <w:rPr>
                <w:sz w:val="20"/>
                <w:szCs w:val="20"/>
              </w:rPr>
              <w:t>např. týkající se umístění provozovny či zkušenosti v dané zemi či regionu, či kvalifikační požadavky neodpovídají předmětu zakázky)</w:t>
            </w:r>
            <w:r w:rsidRPr="00A012FE">
              <w:rPr>
                <w:sz w:val="20"/>
                <w:szCs w:val="20"/>
              </w:rPr>
              <w:t>.</w:t>
            </w:r>
          </w:p>
        </w:tc>
        <w:tc>
          <w:tcPr>
            <w:tcW w:w="625" w:type="pct"/>
            <w:vMerge w:val="restart"/>
            <w:shd w:val="clear" w:color="auto" w:fill="auto"/>
            <w:vAlign w:val="center"/>
            <w:hideMark/>
          </w:tcPr>
          <w:p w:rsidR="00B165C2" w:rsidRPr="00A012FE" w:rsidRDefault="00B165C2" w:rsidP="007A106C">
            <w:pPr>
              <w:rPr>
                <w:sz w:val="20"/>
                <w:szCs w:val="20"/>
              </w:rPr>
            </w:pPr>
            <w:r w:rsidRPr="00A012FE">
              <w:rPr>
                <w:sz w:val="20"/>
                <w:szCs w:val="20"/>
              </w:rPr>
              <w:t>75 %</w:t>
            </w:r>
            <w:r>
              <w:rPr>
                <w:sz w:val="20"/>
                <w:szCs w:val="20"/>
              </w:rPr>
              <w:t xml:space="preserve"> - 95 %</w:t>
            </w:r>
          </w:p>
        </w:tc>
        <w:tc>
          <w:tcPr>
            <w:tcW w:w="631" w:type="pct"/>
            <w:vMerge w:val="restart"/>
            <w:shd w:val="clear" w:color="auto" w:fill="auto"/>
            <w:noWrap/>
            <w:vAlign w:val="center"/>
            <w:hideMark/>
          </w:tcPr>
          <w:p w:rsidR="00B165C2" w:rsidRPr="00A012FE" w:rsidRDefault="00B165C2" w:rsidP="007A106C">
            <w:pPr>
              <w:rPr>
                <w:sz w:val="20"/>
                <w:szCs w:val="20"/>
              </w:rPr>
            </w:pPr>
            <w:r w:rsidRPr="00A012FE">
              <w:rPr>
                <w:sz w:val="20"/>
                <w:szCs w:val="20"/>
              </w:rPr>
              <w:t>předložený výdaj z VŘ</w:t>
            </w:r>
          </w:p>
        </w:tc>
        <w:tc>
          <w:tcPr>
            <w:tcW w:w="1465" w:type="pct"/>
            <w:shd w:val="clear" w:color="auto" w:fill="auto"/>
            <w:vAlign w:val="center"/>
            <w:hideMark/>
          </w:tcPr>
          <w:p w:rsidR="00B165C2" w:rsidRPr="00A012FE" w:rsidRDefault="00B165C2" w:rsidP="007A106C">
            <w:pPr>
              <w:rPr>
                <w:sz w:val="20"/>
                <w:szCs w:val="20"/>
              </w:rPr>
            </w:pPr>
            <w:r>
              <w:rPr>
                <w:sz w:val="20"/>
                <w:szCs w:val="20"/>
              </w:rPr>
              <w:t>75 %, nebo</w:t>
            </w:r>
          </w:p>
        </w:tc>
      </w:tr>
      <w:tr w:rsidR="00B165C2" w:rsidRPr="00A012FE" w:rsidTr="007A106C">
        <w:trPr>
          <w:trHeight w:val="765"/>
        </w:trPr>
        <w:tc>
          <w:tcPr>
            <w:tcW w:w="531" w:type="pct"/>
            <w:vMerge/>
            <w:vAlign w:val="center"/>
            <w:hideMark/>
          </w:tcPr>
          <w:p w:rsidR="00B165C2" w:rsidRPr="00A012FE" w:rsidRDefault="00B165C2" w:rsidP="007A106C">
            <w:pPr>
              <w:rPr>
                <w:sz w:val="20"/>
                <w:szCs w:val="20"/>
              </w:rPr>
            </w:pPr>
          </w:p>
        </w:tc>
        <w:tc>
          <w:tcPr>
            <w:tcW w:w="349" w:type="pct"/>
            <w:vMerge/>
            <w:vAlign w:val="center"/>
            <w:hideMark/>
          </w:tcPr>
          <w:p w:rsidR="00B165C2" w:rsidRPr="00A012FE" w:rsidRDefault="00B165C2" w:rsidP="007A106C">
            <w:pPr>
              <w:rPr>
                <w:sz w:val="20"/>
                <w:szCs w:val="20"/>
              </w:rPr>
            </w:pPr>
          </w:p>
        </w:tc>
        <w:tc>
          <w:tcPr>
            <w:tcW w:w="1399" w:type="pct"/>
            <w:vMerge/>
            <w:vAlign w:val="center"/>
            <w:hideMark/>
          </w:tcPr>
          <w:p w:rsidR="00B165C2" w:rsidRPr="00A012FE" w:rsidRDefault="00B165C2" w:rsidP="007A106C">
            <w:pPr>
              <w:rPr>
                <w:sz w:val="20"/>
                <w:szCs w:val="20"/>
              </w:rPr>
            </w:pPr>
          </w:p>
        </w:tc>
        <w:tc>
          <w:tcPr>
            <w:tcW w:w="625" w:type="pct"/>
            <w:vMerge/>
            <w:shd w:val="clear" w:color="auto" w:fill="auto"/>
            <w:vAlign w:val="center"/>
            <w:hideMark/>
          </w:tcPr>
          <w:p w:rsidR="00B165C2" w:rsidRPr="00A012FE" w:rsidRDefault="00B165C2" w:rsidP="007A106C">
            <w:pPr>
              <w:rPr>
                <w:sz w:val="20"/>
                <w:szCs w:val="20"/>
              </w:rPr>
            </w:pPr>
          </w:p>
        </w:tc>
        <w:tc>
          <w:tcPr>
            <w:tcW w:w="631" w:type="pct"/>
            <w:vMerge/>
            <w:shd w:val="clear" w:color="auto" w:fill="auto"/>
            <w:noWrap/>
            <w:vAlign w:val="center"/>
            <w:hideMark/>
          </w:tcPr>
          <w:p w:rsidR="00B165C2" w:rsidRPr="00A012FE" w:rsidRDefault="00B165C2" w:rsidP="007A106C">
            <w:pPr>
              <w:rPr>
                <w:sz w:val="20"/>
                <w:szCs w:val="20"/>
              </w:rPr>
            </w:pPr>
          </w:p>
        </w:tc>
        <w:tc>
          <w:tcPr>
            <w:tcW w:w="1465" w:type="pct"/>
            <w:shd w:val="clear" w:color="auto" w:fill="auto"/>
            <w:vAlign w:val="center"/>
            <w:hideMark/>
          </w:tcPr>
          <w:p w:rsidR="00B165C2" w:rsidRPr="00A012FE" w:rsidRDefault="00B165C2" w:rsidP="007A106C">
            <w:pPr>
              <w:rPr>
                <w:sz w:val="20"/>
                <w:szCs w:val="20"/>
              </w:rPr>
            </w:pPr>
            <w:r>
              <w:rPr>
                <w:sz w:val="20"/>
                <w:szCs w:val="20"/>
              </w:rPr>
              <w:t xml:space="preserve">max. 90 % nebo 95 % s </w:t>
            </w:r>
            <w:r w:rsidRPr="00A012FE">
              <w:rPr>
                <w:sz w:val="20"/>
                <w:szCs w:val="20"/>
              </w:rPr>
              <w:t>ohledem na závažnost porušení.</w:t>
            </w:r>
          </w:p>
        </w:tc>
      </w:tr>
      <w:tr w:rsidR="00B165C2" w:rsidRPr="00A012FE" w:rsidTr="007A106C">
        <w:trPr>
          <w:trHeight w:val="765"/>
        </w:trPr>
        <w:tc>
          <w:tcPr>
            <w:tcW w:w="531" w:type="pct"/>
            <w:vMerge/>
            <w:vAlign w:val="center"/>
            <w:hideMark/>
          </w:tcPr>
          <w:p w:rsidR="00B165C2" w:rsidRPr="00A012FE" w:rsidRDefault="00B165C2" w:rsidP="007A106C">
            <w:pPr>
              <w:rPr>
                <w:sz w:val="20"/>
                <w:szCs w:val="20"/>
              </w:rPr>
            </w:pPr>
          </w:p>
        </w:tc>
        <w:tc>
          <w:tcPr>
            <w:tcW w:w="349" w:type="pct"/>
            <w:vMerge w:val="restart"/>
            <w:shd w:val="clear" w:color="auto" w:fill="auto"/>
            <w:vAlign w:val="center"/>
            <w:hideMark/>
          </w:tcPr>
          <w:p w:rsidR="00B165C2" w:rsidRPr="00A012FE" w:rsidRDefault="00B165C2" w:rsidP="007A106C">
            <w:pPr>
              <w:rPr>
                <w:sz w:val="20"/>
                <w:szCs w:val="20"/>
              </w:rPr>
            </w:pPr>
            <w:r>
              <w:rPr>
                <w:sz w:val="20"/>
                <w:szCs w:val="20"/>
              </w:rPr>
              <w:t>33i</w:t>
            </w:r>
          </w:p>
        </w:tc>
        <w:tc>
          <w:tcPr>
            <w:tcW w:w="1399" w:type="pct"/>
            <w:vMerge w:val="restart"/>
            <w:shd w:val="clear" w:color="auto" w:fill="auto"/>
            <w:vAlign w:val="center"/>
            <w:hideMark/>
          </w:tcPr>
          <w:p w:rsidR="00B165C2" w:rsidRPr="00A012FE" w:rsidRDefault="00B165C2" w:rsidP="007A106C">
            <w:pPr>
              <w:rPr>
                <w:sz w:val="20"/>
                <w:szCs w:val="20"/>
              </w:rPr>
            </w:pPr>
            <w:r w:rsidRPr="00A012FE">
              <w:rPr>
                <w:sz w:val="20"/>
                <w:szCs w:val="20"/>
              </w:rPr>
              <w:t>Stanovení hodnotících kritérií, která nevyjadřují vztah užitné hodnoty a ceny</w:t>
            </w:r>
            <w:r>
              <w:rPr>
                <w:sz w:val="20"/>
                <w:szCs w:val="20"/>
              </w:rPr>
              <w:t xml:space="preserve">, </w:t>
            </w:r>
            <w:r w:rsidRPr="00863BB5">
              <w:rPr>
                <w:sz w:val="20"/>
                <w:szCs w:val="20"/>
              </w:rPr>
              <w:t>nebo která neodpovídají či nejsou úměrná předmětu zakázky</w:t>
            </w:r>
            <w:r w:rsidRPr="00A012FE">
              <w:rPr>
                <w:sz w:val="20"/>
                <w:szCs w:val="20"/>
              </w:rPr>
              <w:t>.</w:t>
            </w:r>
          </w:p>
        </w:tc>
        <w:tc>
          <w:tcPr>
            <w:tcW w:w="625" w:type="pct"/>
            <w:vMerge w:val="restart"/>
            <w:shd w:val="clear" w:color="auto" w:fill="auto"/>
            <w:vAlign w:val="center"/>
            <w:hideMark/>
          </w:tcPr>
          <w:p w:rsidR="00B165C2" w:rsidRPr="00A012FE" w:rsidRDefault="00B165C2" w:rsidP="007A106C">
            <w:pPr>
              <w:rPr>
                <w:sz w:val="20"/>
                <w:szCs w:val="20"/>
              </w:rPr>
            </w:pPr>
            <w:r w:rsidRPr="00A012FE">
              <w:rPr>
                <w:sz w:val="20"/>
                <w:szCs w:val="20"/>
              </w:rPr>
              <w:t>75 %</w:t>
            </w:r>
            <w:r>
              <w:rPr>
                <w:sz w:val="20"/>
                <w:szCs w:val="20"/>
              </w:rPr>
              <w:t xml:space="preserve"> - 95 %</w:t>
            </w:r>
          </w:p>
        </w:tc>
        <w:tc>
          <w:tcPr>
            <w:tcW w:w="631" w:type="pct"/>
            <w:vMerge w:val="restart"/>
            <w:shd w:val="clear" w:color="auto" w:fill="auto"/>
            <w:noWrap/>
            <w:vAlign w:val="center"/>
            <w:hideMark/>
          </w:tcPr>
          <w:p w:rsidR="00B165C2" w:rsidRPr="00A012FE" w:rsidRDefault="00B165C2" w:rsidP="007A106C">
            <w:pPr>
              <w:rPr>
                <w:sz w:val="20"/>
                <w:szCs w:val="20"/>
              </w:rPr>
            </w:pPr>
            <w:r w:rsidRPr="00A012FE">
              <w:rPr>
                <w:sz w:val="20"/>
                <w:szCs w:val="20"/>
              </w:rPr>
              <w:t>předložený výdaj z VŘ</w:t>
            </w:r>
          </w:p>
        </w:tc>
        <w:tc>
          <w:tcPr>
            <w:tcW w:w="1465" w:type="pct"/>
            <w:shd w:val="clear" w:color="auto" w:fill="auto"/>
            <w:vAlign w:val="center"/>
            <w:hideMark/>
          </w:tcPr>
          <w:p w:rsidR="00B165C2" w:rsidRPr="00A012FE" w:rsidRDefault="00B165C2" w:rsidP="007A106C">
            <w:pPr>
              <w:rPr>
                <w:sz w:val="20"/>
                <w:szCs w:val="20"/>
              </w:rPr>
            </w:pPr>
            <w:r>
              <w:rPr>
                <w:sz w:val="20"/>
                <w:szCs w:val="20"/>
              </w:rPr>
              <w:t>75 %, nebo</w:t>
            </w:r>
          </w:p>
        </w:tc>
      </w:tr>
      <w:tr w:rsidR="00B165C2" w:rsidRPr="00A012FE" w:rsidTr="007A106C">
        <w:trPr>
          <w:trHeight w:val="510"/>
        </w:trPr>
        <w:tc>
          <w:tcPr>
            <w:tcW w:w="531" w:type="pct"/>
            <w:vMerge/>
            <w:vAlign w:val="center"/>
            <w:hideMark/>
          </w:tcPr>
          <w:p w:rsidR="00B165C2" w:rsidRPr="00A012FE" w:rsidRDefault="00B165C2" w:rsidP="007A106C">
            <w:pPr>
              <w:rPr>
                <w:sz w:val="20"/>
                <w:szCs w:val="20"/>
              </w:rPr>
            </w:pPr>
          </w:p>
        </w:tc>
        <w:tc>
          <w:tcPr>
            <w:tcW w:w="349" w:type="pct"/>
            <w:vMerge/>
            <w:vAlign w:val="center"/>
            <w:hideMark/>
          </w:tcPr>
          <w:p w:rsidR="00B165C2" w:rsidRPr="00A012FE" w:rsidRDefault="00B165C2" w:rsidP="007A106C">
            <w:pPr>
              <w:rPr>
                <w:sz w:val="20"/>
                <w:szCs w:val="20"/>
              </w:rPr>
            </w:pPr>
          </w:p>
        </w:tc>
        <w:tc>
          <w:tcPr>
            <w:tcW w:w="1399" w:type="pct"/>
            <w:vMerge/>
            <w:vAlign w:val="center"/>
            <w:hideMark/>
          </w:tcPr>
          <w:p w:rsidR="00B165C2" w:rsidRPr="00A012FE" w:rsidRDefault="00B165C2" w:rsidP="007A106C">
            <w:pPr>
              <w:rPr>
                <w:sz w:val="20"/>
                <w:szCs w:val="20"/>
              </w:rPr>
            </w:pPr>
          </w:p>
        </w:tc>
        <w:tc>
          <w:tcPr>
            <w:tcW w:w="625" w:type="pct"/>
            <w:vMerge/>
            <w:shd w:val="clear" w:color="auto" w:fill="auto"/>
            <w:vAlign w:val="center"/>
            <w:hideMark/>
          </w:tcPr>
          <w:p w:rsidR="00B165C2" w:rsidRPr="00A012FE" w:rsidRDefault="00B165C2" w:rsidP="007A106C">
            <w:pPr>
              <w:rPr>
                <w:sz w:val="20"/>
                <w:szCs w:val="20"/>
              </w:rPr>
            </w:pPr>
          </w:p>
        </w:tc>
        <w:tc>
          <w:tcPr>
            <w:tcW w:w="631" w:type="pct"/>
            <w:vMerge/>
            <w:shd w:val="clear" w:color="auto" w:fill="auto"/>
            <w:noWrap/>
            <w:vAlign w:val="center"/>
            <w:hideMark/>
          </w:tcPr>
          <w:p w:rsidR="00B165C2" w:rsidRPr="00A012FE" w:rsidRDefault="00B165C2" w:rsidP="007A106C">
            <w:pPr>
              <w:rPr>
                <w:sz w:val="20"/>
                <w:szCs w:val="20"/>
              </w:rPr>
            </w:pPr>
          </w:p>
        </w:tc>
        <w:tc>
          <w:tcPr>
            <w:tcW w:w="1465" w:type="pct"/>
            <w:shd w:val="clear" w:color="auto" w:fill="auto"/>
            <w:vAlign w:val="center"/>
            <w:hideMark/>
          </w:tcPr>
          <w:p w:rsidR="00B165C2" w:rsidRPr="00A012FE" w:rsidRDefault="00B165C2" w:rsidP="007A106C">
            <w:pPr>
              <w:rPr>
                <w:sz w:val="20"/>
                <w:szCs w:val="20"/>
              </w:rPr>
            </w:pPr>
            <w:r>
              <w:rPr>
                <w:sz w:val="20"/>
                <w:szCs w:val="20"/>
              </w:rPr>
              <w:t>max. 90 % nebo 95 % s</w:t>
            </w:r>
            <w:r w:rsidRPr="00A012FE">
              <w:rPr>
                <w:sz w:val="20"/>
                <w:szCs w:val="20"/>
              </w:rPr>
              <w:t xml:space="preserve"> ohledem na závažnost porušení.</w:t>
            </w:r>
          </w:p>
        </w:tc>
      </w:tr>
      <w:tr w:rsidR="00B165C2" w:rsidRPr="00A012FE" w:rsidTr="007A106C">
        <w:trPr>
          <w:trHeight w:val="255"/>
        </w:trPr>
        <w:tc>
          <w:tcPr>
            <w:tcW w:w="531" w:type="pct"/>
            <w:vMerge/>
            <w:vAlign w:val="center"/>
            <w:hideMark/>
          </w:tcPr>
          <w:p w:rsidR="00B165C2" w:rsidRPr="00A012FE" w:rsidRDefault="00B165C2" w:rsidP="007A106C">
            <w:pPr>
              <w:rPr>
                <w:sz w:val="20"/>
                <w:szCs w:val="20"/>
              </w:rPr>
            </w:pPr>
          </w:p>
        </w:tc>
        <w:tc>
          <w:tcPr>
            <w:tcW w:w="349" w:type="pct"/>
            <w:vMerge w:val="restart"/>
            <w:shd w:val="clear" w:color="auto" w:fill="auto"/>
            <w:vAlign w:val="center"/>
            <w:hideMark/>
          </w:tcPr>
          <w:p w:rsidR="00B165C2" w:rsidRPr="00A012FE" w:rsidRDefault="00B165C2" w:rsidP="007A106C">
            <w:pPr>
              <w:rPr>
                <w:sz w:val="20"/>
                <w:szCs w:val="20"/>
              </w:rPr>
            </w:pPr>
            <w:r>
              <w:rPr>
                <w:sz w:val="20"/>
                <w:szCs w:val="20"/>
              </w:rPr>
              <w:t>33j</w:t>
            </w:r>
          </w:p>
        </w:tc>
        <w:tc>
          <w:tcPr>
            <w:tcW w:w="1399" w:type="pct"/>
            <w:vMerge w:val="restart"/>
            <w:shd w:val="clear" w:color="auto" w:fill="auto"/>
            <w:vAlign w:val="center"/>
            <w:hideMark/>
          </w:tcPr>
          <w:p w:rsidR="00B165C2" w:rsidRPr="00A012FE" w:rsidRDefault="00B165C2" w:rsidP="007A106C">
            <w:pPr>
              <w:rPr>
                <w:sz w:val="20"/>
                <w:szCs w:val="20"/>
              </w:rPr>
            </w:pPr>
            <w:r w:rsidRPr="00A012FE">
              <w:rPr>
                <w:sz w:val="20"/>
                <w:szCs w:val="20"/>
              </w:rPr>
              <w:t>Předmět zakázky je v zadávacích podmí</w:t>
            </w:r>
            <w:r>
              <w:rPr>
                <w:sz w:val="20"/>
                <w:szCs w:val="20"/>
              </w:rPr>
              <w:t xml:space="preserve">nkách vymezen příliš konkrétně </w:t>
            </w:r>
            <w:r w:rsidRPr="00A012FE">
              <w:rPr>
                <w:sz w:val="20"/>
                <w:szCs w:val="20"/>
              </w:rPr>
              <w:t>tak</w:t>
            </w:r>
            <w:r>
              <w:rPr>
                <w:sz w:val="20"/>
                <w:szCs w:val="20"/>
              </w:rPr>
              <w:t>,</w:t>
            </w:r>
            <w:r w:rsidRPr="00A012FE">
              <w:rPr>
                <w:sz w:val="20"/>
                <w:szCs w:val="20"/>
              </w:rPr>
              <w:t xml:space="preserve"> že není zajištěn rovný přístup k jednotlivým dodavatelům, resp. někteří dodavatelé jsou takto vymezeným předmětem zakázky zvýhodněni.</w:t>
            </w:r>
          </w:p>
        </w:tc>
        <w:tc>
          <w:tcPr>
            <w:tcW w:w="625" w:type="pct"/>
            <w:vMerge w:val="restart"/>
            <w:shd w:val="clear" w:color="auto" w:fill="auto"/>
            <w:vAlign w:val="center"/>
            <w:hideMark/>
          </w:tcPr>
          <w:p w:rsidR="00B165C2" w:rsidRPr="00A012FE" w:rsidRDefault="00B165C2" w:rsidP="007A106C">
            <w:pPr>
              <w:rPr>
                <w:sz w:val="20"/>
                <w:szCs w:val="20"/>
              </w:rPr>
            </w:pPr>
            <w:r>
              <w:rPr>
                <w:sz w:val="20"/>
                <w:szCs w:val="20"/>
              </w:rPr>
              <w:t>75 % - 95 %</w:t>
            </w:r>
          </w:p>
        </w:tc>
        <w:tc>
          <w:tcPr>
            <w:tcW w:w="631" w:type="pct"/>
            <w:vMerge w:val="restart"/>
            <w:shd w:val="clear" w:color="auto" w:fill="auto"/>
            <w:noWrap/>
            <w:vAlign w:val="center"/>
            <w:hideMark/>
          </w:tcPr>
          <w:p w:rsidR="00B165C2" w:rsidRPr="00A012FE" w:rsidRDefault="00B165C2" w:rsidP="007A106C">
            <w:pPr>
              <w:rPr>
                <w:sz w:val="20"/>
                <w:szCs w:val="20"/>
              </w:rPr>
            </w:pPr>
            <w:r w:rsidRPr="00A012FE">
              <w:rPr>
                <w:sz w:val="20"/>
                <w:szCs w:val="20"/>
              </w:rPr>
              <w:t>předložený výdaj z VŘ</w:t>
            </w:r>
          </w:p>
        </w:tc>
        <w:tc>
          <w:tcPr>
            <w:tcW w:w="1465" w:type="pct"/>
            <w:shd w:val="clear" w:color="auto" w:fill="auto"/>
            <w:vAlign w:val="center"/>
            <w:hideMark/>
          </w:tcPr>
          <w:p w:rsidR="00B165C2" w:rsidRPr="00A012FE" w:rsidRDefault="00B165C2" w:rsidP="007A106C">
            <w:pPr>
              <w:rPr>
                <w:sz w:val="20"/>
                <w:szCs w:val="20"/>
              </w:rPr>
            </w:pPr>
            <w:r>
              <w:rPr>
                <w:sz w:val="20"/>
                <w:szCs w:val="20"/>
              </w:rPr>
              <w:t>75 %, nebo</w:t>
            </w:r>
          </w:p>
        </w:tc>
      </w:tr>
      <w:tr w:rsidR="00B165C2" w:rsidRPr="00A012FE" w:rsidTr="007A106C">
        <w:trPr>
          <w:trHeight w:val="510"/>
        </w:trPr>
        <w:tc>
          <w:tcPr>
            <w:tcW w:w="531" w:type="pct"/>
            <w:vMerge/>
            <w:vAlign w:val="center"/>
            <w:hideMark/>
          </w:tcPr>
          <w:p w:rsidR="00B165C2" w:rsidRPr="00A012FE" w:rsidRDefault="00B165C2" w:rsidP="007A106C">
            <w:pPr>
              <w:rPr>
                <w:sz w:val="20"/>
                <w:szCs w:val="20"/>
              </w:rPr>
            </w:pPr>
          </w:p>
        </w:tc>
        <w:tc>
          <w:tcPr>
            <w:tcW w:w="349" w:type="pct"/>
            <w:vMerge/>
            <w:vAlign w:val="center"/>
            <w:hideMark/>
          </w:tcPr>
          <w:p w:rsidR="00B165C2" w:rsidRPr="00A012FE" w:rsidRDefault="00B165C2" w:rsidP="007A106C">
            <w:pPr>
              <w:rPr>
                <w:sz w:val="20"/>
                <w:szCs w:val="20"/>
              </w:rPr>
            </w:pPr>
          </w:p>
        </w:tc>
        <w:tc>
          <w:tcPr>
            <w:tcW w:w="1399" w:type="pct"/>
            <w:vMerge/>
            <w:vAlign w:val="center"/>
            <w:hideMark/>
          </w:tcPr>
          <w:p w:rsidR="00B165C2" w:rsidRPr="00A012FE" w:rsidRDefault="00B165C2" w:rsidP="007A106C">
            <w:pPr>
              <w:rPr>
                <w:sz w:val="20"/>
                <w:szCs w:val="20"/>
              </w:rPr>
            </w:pPr>
          </w:p>
        </w:tc>
        <w:tc>
          <w:tcPr>
            <w:tcW w:w="625" w:type="pct"/>
            <w:vMerge/>
            <w:shd w:val="clear" w:color="auto" w:fill="auto"/>
            <w:vAlign w:val="center"/>
            <w:hideMark/>
          </w:tcPr>
          <w:p w:rsidR="00B165C2" w:rsidRPr="00A012FE" w:rsidRDefault="00B165C2" w:rsidP="007A106C">
            <w:pPr>
              <w:rPr>
                <w:sz w:val="20"/>
                <w:szCs w:val="20"/>
              </w:rPr>
            </w:pPr>
          </w:p>
        </w:tc>
        <w:tc>
          <w:tcPr>
            <w:tcW w:w="631" w:type="pct"/>
            <w:vMerge/>
            <w:shd w:val="clear" w:color="auto" w:fill="auto"/>
            <w:noWrap/>
            <w:vAlign w:val="center"/>
            <w:hideMark/>
          </w:tcPr>
          <w:p w:rsidR="00B165C2" w:rsidRPr="00A012FE" w:rsidRDefault="00B165C2" w:rsidP="007A106C">
            <w:pPr>
              <w:rPr>
                <w:sz w:val="20"/>
                <w:szCs w:val="20"/>
              </w:rPr>
            </w:pPr>
          </w:p>
        </w:tc>
        <w:tc>
          <w:tcPr>
            <w:tcW w:w="1465" w:type="pct"/>
            <w:shd w:val="clear" w:color="auto" w:fill="auto"/>
            <w:vAlign w:val="center"/>
            <w:hideMark/>
          </w:tcPr>
          <w:p w:rsidR="00B165C2" w:rsidRPr="00A012FE" w:rsidRDefault="00B165C2" w:rsidP="007A106C">
            <w:pPr>
              <w:rPr>
                <w:sz w:val="20"/>
                <w:szCs w:val="20"/>
              </w:rPr>
            </w:pPr>
            <w:r>
              <w:rPr>
                <w:sz w:val="20"/>
                <w:szCs w:val="20"/>
              </w:rPr>
              <w:t>max. 90 % nebo 95 % s</w:t>
            </w:r>
            <w:r w:rsidRPr="00A012FE">
              <w:rPr>
                <w:sz w:val="20"/>
                <w:szCs w:val="20"/>
              </w:rPr>
              <w:t xml:space="preserve"> ohledem na závažnost porušení.</w:t>
            </w:r>
          </w:p>
        </w:tc>
      </w:tr>
      <w:tr w:rsidR="00B165C2" w:rsidRPr="00A012FE" w:rsidTr="007A106C">
        <w:trPr>
          <w:trHeight w:val="255"/>
        </w:trPr>
        <w:tc>
          <w:tcPr>
            <w:tcW w:w="531" w:type="pct"/>
            <w:vMerge/>
            <w:vAlign w:val="center"/>
            <w:hideMark/>
          </w:tcPr>
          <w:p w:rsidR="00B165C2" w:rsidRPr="00A012FE" w:rsidRDefault="00B165C2" w:rsidP="007A106C">
            <w:pPr>
              <w:rPr>
                <w:sz w:val="20"/>
                <w:szCs w:val="20"/>
              </w:rPr>
            </w:pPr>
          </w:p>
        </w:tc>
        <w:tc>
          <w:tcPr>
            <w:tcW w:w="349" w:type="pct"/>
            <w:vMerge w:val="restart"/>
            <w:shd w:val="clear" w:color="auto" w:fill="auto"/>
            <w:vAlign w:val="center"/>
            <w:hideMark/>
          </w:tcPr>
          <w:p w:rsidR="00B165C2" w:rsidRPr="00A012FE" w:rsidRDefault="00B165C2" w:rsidP="007A106C">
            <w:pPr>
              <w:rPr>
                <w:sz w:val="20"/>
                <w:szCs w:val="20"/>
              </w:rPr>
            </w:pPr>
            <w:r>
              <w:rPr>
                <w:sz w:val="20"/>
                <w:szCs w:val="20"/>
              </w:rPr>
              <w:t>33k</w:t>
            </w:r>
          </w:p>
        </w:tc>
        <w:tc>
          <w:tcPr>
            <w:tcW w:w="1399" w:type="pct"/>
            <w:vMerge w:val="restart"/>
            <w:shd w:val="clear" w:color="auto" w:fill="auto"/>
            <w:vAlign w:val="center"/>
            <w:hideMark/>
          </w:tcPr>
          <w:p w:rsidR="00B165C2" w:rsidRPr="00A012FE" w:rsidRDefault="00B165C2" w:rsidP="007A106C">
            <w:pPr>
              <w:rPr>
                <w:sz w:val="20"/>
                <w:szCs w:val="20"/>
              </w:rPr>
            </w:pPr>
            <w:r w:rsidRPr="00A012FE">
              <w:rPr>
                <w:sz w:val="20"/>
                <w:szCs w:val="20"/>
              </w:rPr>
              <w:t>Předmět zakázky je v zadávacích p</w:t>
            </w:r>
            <w:r>
              <w:rPr>
                <w:sz w:val="20"/>
                <w:szCs w:val="20"/>
              </w:rPr>
              <w:t xml:space="preserve">odmínkách vymezen nedostatečně </w:t>
            </w:r>
            <w:r w:rsidRPr="00A012FE">
              <w:rPr>
                <w:sz w:val="20"/>
                <w:szCs w:val="20"/>
              </w:rPr>
              <w:t>tak</w:t>
            </w:r>
            <w:r>
              <w:rPr>
                <w:sz w:val="20"/>
                <w:szCs w:val="20"/>
              </w:rPr>
              <w:t>,</w:t>
            </w:r>
            <w:r w:rsidRPr="00A012FE">
              <w:rPr>
                <w:sz w:val="20"/>
                <w:szCs w:val="20"/>
              </w:rPr>
              <w:t xml:space="preserve"> že zadávací podmínky neobsahují veškeré informace podstatné pro zpracování nabídky.</w:t>
            </w:r>
          </w:p>
        </w:tc>
        <w:tc>
          <w:tcPr>
            <w:tcW w:w="625" w:type="pct"/>
            <w:vMerge w:val="restart"/>
            <w:shd w:val="clear" w:color="auto" w:fill="auto"/>
            <w:vAlign w:val="center"/>
            <w:hideMark/>
          </w:tcPr>
          <w:p w:rsidR="00B165C2" w:rsidRPr="00A012FE" w:rsidRDefault="00B165C2" w:rsidP="007A106C">
            <w:pPr>
              <w:rPr>
                <w:sz w:val="20"/>
                <w:szCs w:val="20"/>
              </w:rPr>
            </w:pPr>
            <w:r w:rsidRPr="00A012FE">
              <w:rPr>
                <w:sz w:val="20"/>
                <w:szCs w:val="20"/>
              </w:rPr>
              <w:t>90 %</w:t>
            </w:r>
            <w:r>
              <w:rPr>
                <w:sz w:val="20"/>
                <w:szCs w:val="20"/>
              </w:rPr>
              <w:t xml:space="preserve"> - 95 %</w:t>
            </w:r>
          </w:p>
        </w:tc>
        <w:tc>
          <w:tcPr>
            <w:tcW w:w="631" w:type="pct"/>
            <w:vMerge w:val="restart"/>
            <w:shd w:val="clear" w:color="auto" w:fill="auto"/>
            <w:noWrap/>
            <w:vAlign w:val="center"/>
            <w:hideMark/>
          </w:tcPr>
          <w:p w:rsidR="00B165C2" w:rsidRPr="00A012FE" w:rsidRDefault="00B165C2" w:rsidP="007A106C">
            <w:pPr>
              <w:rPr>
                <w:sz w:val="20"/>
                <w:szCs w:val="20"/>
              </w:rPr>
            </w:pPr>
            <w:r w:rsidRPr="00A012FE">
              <w:rPr>
                <w:sz w:val="20"/>
                <w:szCs w:val="20"/>
              </w:rPr>
              <w:t>předložený výdaj z VŘ</w:t>
            </w:r>
          </w:p>
        </w:tc>
        <w:tc>
          <w:tcPr>
            <w:tcW w:w="1465" w:type="pct"/>
            <w:shd w:val="clear" w:color="auto" w:fill="auto"/>
            <w:vAlign w:val="center"/>
            <w:hideMark/>
          </w:tcPr>
          <w:p w:rsidR="00B165C2" w:rsidRPr="00A012FE" w:rsidRDefault="00B165C2" w:rsidP="007A106C">
            <w:pPr>
              <w:rPr>
                <w:sz w:val="20"/>
                <w:szCs w:val="20"/>
              </w:rPr>
            </w:pPr>
            <w:r>
              <w:rPr>
                <w:sz w:val="20"/>
                <w:szCs w:val="20"/>
              </w:rPr>
              <w:t>90</w:t>
            </w:r>
            <w:r>
              <w:t xml:space="preserve"> </w:t>
            </w:r>
            <w:r>
              <w:rPr>
                <w:sz w:val="20"/>
                <w:szCs w:val="20"/>
              </w:rPr>
              <w:t>%, nebo</w:t>
            </w:r>
          </w:p>
        </w:tc>
      </w:tr>
      <w:tr w:rsidR="00B165C2" w:rsidRPr="00A012FE" w:rsidTr="007A106C">
        <w:trPr>
          <w:trHeight w:val="510"/>
        </w:trPr>
        <w:tc>
          <w:tcPr>
            <w:tcW w:w="531" w:type="pct"/>
            <w:vMerge/>
            <w:vAlign w:val="center"/>
            <w:hideMark/>
          </w:tcPr>
          <w:p w:rsidR="00B165C2" w:rsidRPr="00A012FE" w:rsidRDefault="00B165C2" w:rsidP="007A106C">
            <w:pPr>
              <w:rPr>
                <w:sz w:val="20"/>
                <w:szCs w:val="20"/>
              </w:rPr>
            </w:pPr>
          </w:p>
        </w:tc>
        <w:tc>
          <w:tcPr>
            <w:tcW w:w="349" w:type="pct"/>
            <w:vMerge/>
            <w:vAlign w:val="center"/>
            <w:hideMark/>
          </w:tcPr>
          <w:p w:rsidR="00B165C2" w:rsidRPr="00A012FE" w:rsidRDefault="00B165C2" w:rsidP="007A106C">
            <w:pPr>
              <w:rPr>
                <w:sz w:val="20"/>
                <w:szCs w:val="20"/>
              </w:rPr>
            </w:pPr>
          </w:p>
        </w:tc>
        <w:tc>
          <w:tcPr>
            <w:tcW w:w="1399" w:type="pct"/>
            <w:vMerge/>
            <w:vAlign w:val="center"/>
            <w:hideMark/>
          </w:tcPr>
          <w:p w:rsidR="00B165C2" w:rsidRPr="00A012FE" w:rsidRDefault="00B165C2" w:rsidP="007A106C">
            <w:pPr>
              <w:rPr>
                <w:sz w:val="20"/>
                <w:szCs w:val="20"/>
              </w:rPr>
            </w:pPr>
          </w:p>
        </w:tc>
        <w:tc>
          <w:tcPr>
            <w:tcW w:w="625" w:type="pct"/>
            <w:vMerge/>
            <w:shd w:val="clear" w:color="auto" w:fill="auto"/>
            <w:vAlign w:val="center"/>
            <w:hideMark/>
          </w:tcPr>
          <w:p w:rsidR="00B165C2" w:rsidRPr="00A012FE" w:rsidRDefault="00B165C2" w:rsidP="007A106C">
            <w:pPr>
              <w:rPr>
                <w:sz w:val="20"/>
                <w:szCs w:val="20"/>
              </w:rPr>
            </w:pPr>
          </w:p>
        </w:tc>
        <w:tc>
          <w:tcPr>
            <w:tcW w:w="631" w:type="pct"/>
            <w:vMerge/>
            <w:shd w:val="clear" w:color="auto" w:fill="auto"/>
            <w:noWrap/>
            <w:vAlign w:val="center"/>
            <w:hideMark/>
          </w:tcPr>
          <w:p w:rsidR="00B165C2" w:rsidRPr="00A012FE" w:rsidRDefault="00B165C2" w:rsidP="007A106C">
            <w:pPr>
              <w:rPr>
                <w:sz w:val="20"/>
                <w:szCs w:val="20"/>
              </w:rPr>
            </w:pPr>
          </w:p>
        </w:tc>
        <w:tc>
          <w:tcPr>
            <w:tcW w:w="1465" w:type="pct"/>
            <w:shd w:val="clear" w:color="auto" w:fill="auto"/>
            <w:vAlign w:val="center"/>
            <w:hideMark/>
          </w:tcPr>
          <w:p w:rsidR="00B165C2" w:rsidRPr="00A012FE" w:rsidRDefault="00B165C2" w:rsidP="007A106C">
            <w:pPr>
              <w:rPr>
                <w:sz w:val="20"/>
                <w:szCs w:val="20"/>
              </w:rPr>
            </w:pPr>
            <w:r>
              <w:rPr>
                <w:sz w:val="20"/>
                <w:szCs w:val="20"/>
              </w:rPr>
              <w:t>max. 95 % s</w:t>
            </w:r>
            <w:r w:rsidRPr="00A012FE">
              <w:rPr>
                <w:sz w:val="20"/>
                <w:szCs w:val="20"/>
              </w:rPr>
              <w:t xml:space="preserve"> ohledem na závažnost porušení.</w:t>
            </w:r>
          </w:p>
        </w:tc>
      </w:tr>
      <w:tr w:rsidR="00B165C2" w:rsidRPr="00A012FE" w:rsidTr="007A106C">
        <w:trPr>
          <w:trHeight w:val="255"/>
        </w:trPr>
        <w:tc>
          <w:tcPr>
            <w:tcW w:w="531" w:type="pct"/>
            <w:vMerge w:val="restart"/>
            <w:shd w:val="clear" w:color="auto" w:fill="auto"/>
            <w:hideMark/>
          </w:tcPr>
          <w:p w:rsidR="00B165C2" w:rsidRPr="00A012FE" w:rsidRDefault="00B165C2" w:rsidP="007A106C">
            <w:pPr>
              <w:jc w:val="center"/>
              <w:rPr>
                <w:sz w:val="20"/>
                <w:szCs w:val="20"/>
              </w:rPr>
            </w:pPr>
            <w:r w:rsidRPr="00A012FE">
              <w:rPr>
                <w:sz w:val="20"/>
                <w:szCs w:val="20"/>
              </w:rPr>
              <w:t>2. Hodnocení nabídek</w:t>
            </w:r>
          </w:p>
        </w:tc>
        <w:tc>
          <w:tcPr>
            <w:tcW w:w="349" w:type="pct"/>
            <w:vMerge w:val="restart"/>
            <w:shd w:val="clear" w:color="auto" w:fill="auto"/>
            <w:vAlign w:val="center"/>
            <w:hideMark/>
          </w:tcPr>
          <w:p w:rsidR="00B165C2" w:rsidRPr="00A012FE" w:rsidRDefault="00B165C2" w:rsidP="007A106C">
            <w:pPr>
              <w:rPr>
                <w:sz w:val="20"/>
                <w:szCs w:val="20"/>
              </w:rPr>
            </w:pPr>
            <w:r>
              <w:rPr>
                <w:sz w:val="20"/>
                <w:szCs w:val="20"/>
              </w:rPr>
              <w:t>34a</w:t>
            </w:r>
          </w:p>
        </w:tc>
        <w:tc>
          <w:tcPr>
            <w:tcW w:w="1399" w:type="pct"/>
            <w:vMerge w:val="restart"/>
            <w:shd w:val="clear" w:color="auto" w:fill="auto"/>
            <w:vAlign w:val="center"/>
            <w:hideMark/>
          </w:tcPr>
          <w:p w:rsidR="00B165C2" w:rsidRPr="00A012FE" w:rsidRDefault="00B165C2" w:rsidP="007A106C">
            <w:pPr>
              <w:rPr>
                <w:sz w:val="20"/>
                <w:szCs w:val="20"/>
              </w:rPr>
            </w:pPr>
            <w:r w:rsidRPr="00A012FE">
              <w:rPr>
                <w:sz w:val="20"/>
                <w:szCs w:val="20"/>
              </w:rPr>
              <w:t xml:space="preserve">Kvalifikační předpoklady byly změněny ve fázi posouzení kvalifikace, což má vliv na splnění kvalifikace jednotlivými </w:t>
            </w:r>
            <w:r w:rsidRPr="00A012FE">
              <w:rPr>
                <w:sz w:val="20"/>
                <w:szCs w:val="20"/>
              </w:rPr>
              <w:lastRenderedPageBreak/>
              <w:t xml:space="preserve">dodavateli (nesplnění kvalifikace dodavateli, kteří by ji dle zadávacích podmínek splňovali nebo splnění kvalifikace dodavateli, kteří by ji dle zadávacích podmínek nesplňovali). </w:t>
            </w:r>
          </w:p>
        </w:tc>
        <w:tc>
          <w:tcPr>
            <w:tcW w:w="625" w:type="pct"/>
            <w:vMerge w:val="restart"/>
            <w:shd w:val="clear" w:color="auto" w:fill="auto"/>
            <w:vAlign w:val="center"/>
            <w:hideMark/>
          </w:tcPr>
          <w:p w:rsidR="00B165C2" w:rsidRPr="00A012FE" w:rsidRDefault="00B165C2" w:rsidP="007A106C">
            <w:pPr>
              <w:rPr>
                <w:sz w:val="20"/>
                <w:szCs w:val="20"/>
              </w:rPr>
            </w:pPr>
            <w:r w:rsidRPr="00A012FE">
              <w:rPr>
                <w:sz w:val="20"/>
                <w:szCs w:val="20"/>
              </w:rPr>
              <w:lastRenderedPageBreak/>
              <w:t>75 %</w:t>
            </w:r>
            <w:r>
              <w:rPr>
                <w:sz w:val="20"/>
                <w:szCs w:val="20"/>
              </w:rPr>
              <w:t xml:space="preserve"> - 95 %</w:t>
            </w:r>
          </w:p>
        </w:tc>
        <w:tc>
          <w:tcPr>
            <w:tcW w:w="631" w:type="pct"/>
            <w:vMerge w:val="restart"/>
            <w:shd w:val="clear" w:color="auto" w:fill="auto"/>
            <w:noWrap/>
            <w:vAlign w:val="center"/>
            <w:hideMark/>
          </w:tcPr>
          <w:p w:rsidR="00B165C2" w:rsidRPr="00A012FE" w:rsidRDefault="00B165C2" w:rsidP="007A106C">
            <w:pPr>
              <w:rPr>
                <w:sz w:val="20"/>
                <w:szCs w:val="20"/>
              </w:rPr>
            </w:pPr>
            <w:r w:rsidRPr="00A012FE">
              <w:rPr>
                <w:sz w:val="20"/>
                <w:szCs w:val="20"/>
              </w:rPr>
              <w:t>předložený výdaj z VŘ</w:t>
            </w:r>
          </w:p>
        </w:tc>
        <w:tc>
          <w:tcPr>
            <w:tcW w:w="1465" w:type="pct"/>
            <w:shd w:val="clear" w:color="auto" w:fill="auto"/>
            <w:vAlign w:val="center"/>
            <w:hideMark/>
          </w:tcPr>
          <w:p w:rsidR="00B165C2" w:rsidRPr="00A012FE" w:rsidRDefault="00B165C2" w:rsidP="007A106C">
            <w:pPr>
              <w:rPr>
                <w:sz w:val="20"/>
                <w:szCs w:val="20"/>
              </w:rPr>
            </w:pPr>
            <w:r>
              <w:rPr>
                <w:sz w:val="20"/>
                <w:szCs w:val="20"/>
              </w:rPr>
              <w:t>75 %, nebo</w:t>
            </w:r>
          </w:p>
        </w:tc>
      </w:tr>
      <w:tr w:rsidR="00B165C2" w:rsidRPr="00A012FE" w:rsidTr="007A106C">
        <w:trPr>
          <w:trHeight w:val="510"/>
        </w:trPr>
        <w:tc>
          <w:tcPr>
            <w:tcW w:w="531" w:type="pct"/>
            <w:vMerge/>
            <w:vAlign w:val="center"/>
            <w:hideMark/>
          </w:tcPr>
          <w:p w:rsidR="00B165C2" w:rsidRPr="00A012FE" w:rsidRDefault="00B165C2" w:rsidP="007A106C">
            <w:pPr>
              <w:rPr>
                <w:sz w:val="20"/>
                <w:szCs w:val="20"/>
              </w:rPr>
            </w:pPr>
          </w:p>
        </w:tc>
        <w:tc>
          <w:tcPr>
            <w:tcW w:w="349" w:type="pct"/>
            <w:vMerge/>
            <w:vAlign w:val="center"/>
            <w:hideMark/>
          </w:tcPr>
          <w:p w:rsidR="00B165C2" w:rsidRPr="00A012FE" w:rsidRDefault="00B165C2" w:rsidP="007A106C">
            <w:pPr>
              <w:rPr>
                <w:sz w:val="20"/>
                <w:szCs w:val="20"/>
              </w:rPr>
            </w:pPr>
          </w:p>
        </w:tc>
        <w:tc>
          <w:tcPr>
            <w:tcW w:w="1399" w:type="pct"/>
            <w:vMerge/>
            <w:vAlign w:val="center"/>
            <w:hideMark/>
          </w:tcPr>
          <w:p w:rsidR="00B165C2" w:rsidRPr="00A012FE" w:rsidRDefault="00B165C2" w:rsidP="007A106C">
            <w:pPr>
              <w:rPr>
                <w:sz w:val="20"/>
                <w:szCs w:val="20"/>
              </w:rPr>
            </w:pPr>
          </w:p>
        </w:tc>
        <w:tc>
          <w:tcPr>
            <w:tcW w:w="625" w:type="pct"/>
            <w:vMerge/>
            <w:shd w:val="clear" w:color="auto" w:fill="auto"/>
            <w:vAlign w:val="center"/>
            <w:hideMark/>
          </w:tcPr>
          <w:p w:rsidR="00B165C2" w:rsidRPr="00A012FE" w:rsidRDefault="00B165C2" w:rsidP="007A106C">
            <w:pPr>
              <w:rPr>
                <w:sz w:val="20"/>
                <w:szCs w:val="20"/>
              </w:rPr>
            </w:pPr>
          </w:p>
        </w:tc>
        <w:tc>
          <w:tcPr>
            <w:tcW w:w="631" w:type="pct"/>
            <w:vMerge/>
            <w:shd w:val="clear" w:color="auto" w:fill="auto"/>
            <w:noWrap/>
            <w:vAlign w:val="center"/>
            <w:hideMark/>
          </w:tcPr>
          <w:p w:rsidR="00B165C2" w:rsidRPr="00A012FE" w:rsidRDefault="00B165C2" w:rsidP="007A106C">
            <w:pPr>
              <w:rPr>
                <w:sz w:val="20"/>
                <w:szCs w:val="20"/>
              </w:rPr>
            </w:pPr>
          </w:p>
        </w:tc>
        <w:tc>
          <w:tcPr>
            <w:tcW w:w="1465" w:type="pct"/>
            <w:shd w:val="clear" w:color="auto" w:fill="auto"/>
            <w:vAlign w:val="center"/>
            <w:hideMark/>
          </w:tcPr>
          <w:p w:rsidR="00B165C2" w:rsidRPr="00A012FE" w:rsidRDefault="00B165C2" w:rsidP="007A106C">
            <w:pPr>
              <w:rPr>
                <w:sz w:val="20"/>
                <w:szCs w:val="20"/>
              </w:rPr>
            </w:pPr>
            <w:r>
              <w:rPr>
                <w:sz w:val="20"/>
                <w:szCs w:val="20"/>
              </w:rPr>
              <w:t>max. 90 % nebo 95 % s</w:t>
            </w:r>
            <w:r w:rsidRPr="00A012FE">
              <w:rPr>
                <w:sz w:val="20"/>
                <w:szCs w:val="20"/>
              </w:rPr>
              <w:t xml:space="preserve"> ohledem na závažnost porušení.</w:t>
            </w:r>
          </w:p>
        </w:tc>
      </w:tr>
      <w:tr w:rsidR="00B165C2" w:rsidRPr="00A012FE" w:rsidTr="007A106C">
        <w:trPr>
          <w:trHeight w:val="255"/>
        </w:trPr>
        <w:tc>
          <w:tcPr>
            <w:tcW w:w="531" w:type="pct"/>
            <w:vMerge/>
            <w:vAlign w:val="center"/>
            <w:hideMark/>
          </w:tcPr>
          <w:p w:rsidR="00B165C2" w:rsidRPr="00A012FE" w:rsidRDefault="00B165C2" w:rsidP="007A106C">
            <w:pPr>
              <w:rPr>
                <w:sz w:val="20"/>
                <w:szCs w:val="20"/>
              </w:rPr>
            </w:pPr>
          </w:p>
        </w:tc>
        <w:tc>
          <w:tcPr>
            <w:tcW w:w="349" w:type="pct"/>
            <w:vMerge w:val="restart"/>
            <w:shd w:val="clear" w:color="auto" w:fill="auto"/>
            <w:vAlign w:val="center"/>
            <w:hideMark/>
          </w:tcPr>
          <w:p w:rsidR="00B165C2" w:rsidRPr="00A012FE" w:rsidRDefault="00B165C2" w:rsidP="007A106C">
            <w:pPr>
              <w:rPr>
                <w:sz w:val="20"/>
                <w:szCs w:val="20"/>
              </w:rPr>
            </w:pPr>
            <w:r>
              <w:rPr>
                <w:sz w:val="20"/>
                <w:szCs w:val="20"/>
              </w:rPr>
              <w:t>34b</w:t>
            </w:r>
          </w:p>
        </w:tc>
        <w:tc>
          <w:tcPr>
            <w:tcW w:w="1399" w:type="pct"/>
            <w:vMerge w:val="restart"/>
            <w:shd w:val="clear" w:color="auto" w:fill="auto"/>
            <w:vAlign w:val="center"/>
            <w:hideMark/>
          </w:tcPr>
          <w:p w:rsidR="00B165C2" w:rsidRPr="00A012FE" w:rsidRDefault="00B165C2" w:rsidP="007A106C">
            <w:pPr>
              <w:rPr>
                <w:sz w:val="20"/>
                <w:szCs w:val="20"/>
              </w:rPr>
            </w:pPr>
            <w:r w:rsidRPr="00A012FE">
              <w:rPr>
                <w:sz w:val="20"/>
                <w:szCs w:val="20"/>
              </w:rPr>
              <w:t>Při hodnocení nabídek byla použita jiná hodnotící kritéria (případně sub</w:t>
            </w:r>
            <w:r>
              <w:rPr>
                <w:sz w:val="20"/>
                <w:szCs w:val="20"/>
              </w:rPr>
              <w:t>-</w:t>
            </w:r>
            <w:r w:rsidRPr="00A012FE">
              <w:rPr>
                <w:sz w:val="20"/>
                <w:szCs w:val="20"/>
              </w:rPr>
              <w:t xml:space="preserve">kritéria nebo jejich váhy), než byla uvedena v zadávacích podmínkách a tato skutečnost měla vliv na výběr nejvhodnější nabídky. </w:t>
            </w:r>
          </w:p>
        </w:tc>
        <w:tc>
          <w:tcPr>
            <w:tcW w:w="625" w:type="pct"/>
            <w:vMerge w:val="restart"/>
            <w:shd w:val="clear" w:color="auto" w:fill="auto"/>
            <w:vAlign w:val="center"/>
            <w:hideMark/>
          </w:tcPr>
          <w:p w:rsidR="00B165C2" w:rsidRPr="00A012FE" w:rsidRDefault="00B165C2" w:rsidP="007A106C">
            <w:pPr>
              <w:rPr>
                <w:sz w:val="20"/>
                <w:szCs w:val="20"/>
              </w:rPr>
            </w:pPr>
            <w:r>
              <w:rPr>
                <w:sz w:val="20"/>
                <w:szCs w:val="20"/>
              </w:rPr>
              <w:t>75 % - 95 %</w:t>
            </w:r>
          </w:p>
        </w:tc>
        <w:tc>
          <w:tcPr>
            <w:tcW w:w="631" w:type="pct"/>
            <w:vMerge w:val="restart"/>
            <w:shd w:val="clear" w:color="auto" w:fill="auto"/>
            <w:noWrap/>
            <w:vAlign w:val="center"/>
            <w:hideMark/>
          </w:tcPr>
          <w:p w:rsidR="00B165C2" w:rsidRPr="00A012FE" w:rsidRDefault="00B165C2" w:rsidP="007A106C">
            <w:pPr>
              <w:rPr>
                <w:sz w:val="20"/>
                <w:szCs w:val="20"/>
              </w:rPr>
            </w:pPr>
            <w:r w:rsidRPr="00A012FE">
              <w:rPr>
                <w:sz w:val="20"/>
                <w:szCs w:val="20"/>
              </w:rPr>
              <w:t>předložený výdaj z VŘ</w:t>
            </w:r>
          </w:p>
        </w:tc>
        <w:tc>
          <w:tcPr>
            <w:tcW w:w="1465" w:type="pct"/>
            <w:shd w:val="clear" w:color="auto" w:fill="auto"/>
            <w:vAlign w:val="center"/>
            <w:hideMark/>
          </w:tcPr>
          <w:p w:rsidR="00B165C2" w:rsidRPr="00A012FE" w:rsidRDefault="00B165C2" w:rsidP="007A106C">
            <w:pPr>
              <w:rPr>
                <w:sz w:val="20"/>
                <w:szCs w:val="20"/>
              </w:rPr>
            </w:pPr>
            <w:r>
              <w:rPr>
                <w:sz w:val="20"/>
                <w:szCs w:val="20"/>
              </w:rPr>
              <w:t>75 %, nebo</w:t>
            </w:r>
          </w:p>
        </w:tc>
      </w:tr>
      <w:tr w:rsidR="00B165C2" w:rsidRPr="00A012FE" w:rsidTr="007A106C">
        <w:trPr>
          <w:trHeight w:val="510"/>
        </w:trPr>
        <w:tc>
          <w:tcPr>
            <w:tcW w:w="531" w:type="pct"/>
            <w:vMerge/>
            <w:vAlign w:val="center"/>
            <w:hideMark/>
          </w:tcPr>
          <w:p w:rsidR="00B165C2" w:rsidRPr="00A012FE" w:rsidRDefault="00B165C2" w:rsidP="007A106C">
            <w:pPr>
              <w:rPr>
                <w:sz w:val="20"/>
                <w:szCs w:val="20"/>
              </w:rPr>
            </w:pPr>
          </w:p>
        </w:tc>
        <w:tc>
          <w:tcPr>
            <w:tcW w:w="349" w:type="pct"/>
            <w:vMerge/>
            <w:vAlign w:val="center"/>
            <w:hideMark/>
          </w:tcPr>
          <w:p w:rsidR="00B165C2" w:rsidRPr="00A012FE" w:rsidRDefault="00B165C2" w:rsidP="007A106C">
            <w:pPr>
              <w:rPr>
                <w:sz w:val="20"/>
                <w:szCs w:val="20"/>
              </w:rPr>
            </w:pPr>
          </w:p>
        </w:tc>
        <w:tc>
          <w:tcPr>
            <w:tcW w:w="1399" w:type="pct"/>
            <w:vMerge/>
            <w:vAlign w:val="center"/>
            <w:hideMark/>
          </w:tcPr>
          <w:p w:rsidR="00B165C2" w:rsidRPr="00A012FE" w:rsidRDefault="00B165C2" w:rsidP="007A106C">
            <w:pPr>
              <w:rPr>
                <w:sz w:val="20"/>
                <w:szCs w:val="20"/>
              </w:rPr>
            </w:pPr>
          </w:p>
        </w:tc>
        <w:tc>
          <w:tcPr>
            <w:tcW w:w="625" w:type="pct"/>
            <w:vMerge/>
            <w:shd w:val="clear" w:color="auto" w:fill="auto"/>
            <w:vAlign w:val="center"/>
            <w:hideMark/>
          </w:tcPr>
          <w:p w:rsidR="00B165C2" w:rsidRPr="00A012FE" w:rsidRDefault="00B165C2" w:rsidP="007A106C">
            <w:pPr>
              <w:rPr>
                <w:sz w:val="20"/>
                <w:szCs w:val="20"/>
              </w:rPr>
            </w:pPr>
          </w:p>
        </w:tc>
        <w:tc>
          <w:tcPr>
            <w:tcW w:w="631" w:type="pct"/>
            <w:vMerge/>
            <w:shd w:val="clear" w:color="auto" w:fill="auto"/>
            <w:noWrap/>
            <w:vAlign w:val="center"/>
            <w:hideMark/>
          </w:tcPr>
          <w:p w:rsidR="00B165C2" w:rsidRPr="00A012FE" w:rsidRDefault="00B165C2" w:rsidP="007A106C">
            <w:pPr>
              <w:rPr>
                <w:sz w:val="20"/>
                <w:szCs w:val="20"/>
              </w:rPr>
            </w:pPr>
          </w:p>
        </w:tc>
        <w:tc>
          <w:tcPr>
            <w:tcW w:w="1465" w:type="pct"/>
            <w:shd w:val="clear" w:color="auto" w:fill="auto"/>
            <w:vAlign w:val="center"/>
            <w:hideMark/>
          </w:tcPr>
          <w:p w:rsidR="00B165C2" w:rsidRPr="00A012FE" w:rsidRDefault="00B165C2" w:rsidP="007A106C">
            <w:pPr>
              <w:rPr>
                <w:sz w:val="20"/>
                <w:szCs w:val="20"/>
              </w:rPr>
            </w:pPr>
            <w:r>
              <w:rPr>
                <w:sz w:val="20"/>
                <w:szCs w:val="20"/>
              </w:rPr>
              <w:t>max. 90 % nebo 95 % s</w:t>
            </w:r>
            <w:r w:rsidRPr="00A012FE">
              <w:rPr>
                <w:sz w:val="20"/>
                <w:szCs w:val="20"/>
              </w:rPr>
              <w:t xml:space="preserve"> ohledem na závažnost porušení.</w:t>
            </w:r>
          </w:p>
        </w:tc>
      </w:tr>
      <w:tr w:rsidR="00B165C2" w:rsidRPr="00A012FE" w:rsidTr="007A106C">
        <w:trPr>
          <w:trHeight w:val="255"/>
        </w:trPr>
        <w:tc>
          <w:tcPr>
            <w:tcW w:w="531" w:type="pct"/>
            <w:vMerge/>
            <w:vAlign w:val="center"/>
            <w:hideMark/>
          </w:tcPr>
          <w:p w:rsidR="00B165C2" w:rsidRPr="00A012FE" w:rsidRDefault="00B165C2" w:rsidP="007A106C">
            <w:pPr>
              <w:rPr>
                <w:sz w:val="20"/>
                <w:szCs w:val="20"/>
              </w:rPr>
            </w:pPr>
          </w:p>
        </w:tc>
        <w:tc>
          <w:tcPr>
            <w:tcW w:w="349" w:type="pct"/>
            <w:vMerge w:val="restart"/>
            <w:shd w:val="clear" w:color="auto" w:fill="auto"/>
            <w:vAlign w:val="center"/>
            <w:hideMark/>
          </w:tcPr>
          <w:p w:rsidR="00B165C2" w:rsidRPr="00A012FE" w:rsidRDefault="00B165C2" w:rsidP="007A106C">
            <w:pPr>
              <w:rPr>
                <w:sz w:val="20"/>
                <w:szCs w:val="20"/>
              </w:rPr>
            </w:pPr>
            <w:r>
              <w:rPr>
                <w:sz w:val="20"/>
                <w:szCs w:val="20"/>
              </w:rPr>
              <w:t>34c</w:t>
            </w:r>
          </w:p>
        </w:tc>
        <w:tc>
          <w:tcPr>
            <w:tcW w:w="1399" w:type="pct"/>
            <w:vMerge w:val="restart"/>
            <w:shd w:val="clear" w:color="auto" w:fill="auto"/>
            <w:vAlign w:val="center"/>
            <w:hideMark/>
          </w:tcPr>
          <w:p w:rsidR="00B165C2" w:rsidRPr="00A012FE" w:rsidRDefault="00B165C2" w:rsidP="007A106C">
            <w:pPr>
              <w:rPr>
                <w:sz w:val="20"/>
                <w:szCs w:val="20"/>
              </w:rPr>
            </w:pPr>
            <w:r w:rsidRPr="00A012FE">
              <w:rPr>
                <w:sz w:val="20"/>
                <w:szCs w:val="20"/>
              </w:rPr>
              <w:t>Protokol/zápis o</w:t>
            </w:r>
            <w:r>
              <w:rPr>
                <w:sz w:val="20"/>
                <w:szCs w:val="20"/>
              </w:rPr>
              <w:t xml:space="preserve"> hodnocení nabídek je nejasný, </w:t>
            </w:r>
            <w:r w:rsidRPr="00A012FE">
              <w:rPr>
                <w:sz w:val="20"/>
                <w:szCs w:val="20"/>
              </w:rPr>
              <w:t>neexistuje nebo neobsahuje všechny povinné náležitosti dle ZVZ nebo ZP</w:t>
            </w:r>
            <w:r>
              <w:rPr>
                <w:sz w:val="20"/>
                <w:szCs w:val="20"/>
              </w:rPr>
              <w:t xml:space="preserve"> </w:t>
            </w:r>
            <w:r w:rsidRPr="00222FEB">
              <w:rPr>
                <w:sz w:val="20"/>
                <w:szCs w:val="20"/>
              </w:rPr>
              <w:t>(např. bodové hodnocení nabídky je neodůvodněné)</w:t>
            </w:r>
            <w:r w:rsidRPr="00A012FE">
              <w:rPr>
                <w:sz w:val="20"/>
                <w:szCs w:val="20"/>
              </w:rPr>
              <w:t xml:space="preserve">. </w:t>
            </w:r>
          </w:p>
        </w:tc>
        <w:tc>
          <w:tcPr>
            <w:tcW w:w="625" w:type="pct"/>
            <w:vMerge w:val="restart"/>
            <w:shd w:val="clear" w:color="auto" w:fill="auto"/>
            <w:vAlign w:val="center"/>
            <w:hideMark/>
          </w:tcPr>
          <w:p w:rsidR="00B165C2" w:rsidRPr="00A012FE" w:rsidRDefault="00B165C2" w:rsidP="007A106C">
            <w:pPr>
              <w:rPr>
                <w:sz w:val="20"/>
                <w:szCs w:val="20"/>
              </w:rPr>
            </w:pPr>
            <w:r>
              <w:rPr>
                <w:sz w:val="20"/>
                <w:szCs w:val="20"/>
              </w:rPr>
              <w:t>75 % - 95 %</w:t>
            </w:r>
          </w:p>
        </w:tc>
        <w:tc>
          <w:tcPr>
            <w:tcW w:w="631" w:type="pct"/>
            <w:vMerge w:val="restart"/>
            <w:shd w:val="clear" w:color="auto" w:fill="auto"/>
            <w:noWrap/>
            <w:vAlign w:val="center"/>
            <w:hideMark/>
          </w:tcPr>
          <w:p w:rsidR="00B165C2" w:rsidRPr="00A012FE" w:rsidRDefault="00B165C2" w:rsidP="007A106C">
            <w:pPr>
              <w:rPr>
                <w:sz w:val="20"/>
                <w:szCs w:val="20"/>
              </w:rPr>
            </w:pPr>
            <w:r w:rsidRPr="00A012FE">
              <w:rPr>
                <w:sz w:val="20"/>
                <w:szCs w:val="20"/>
              </w:rPr>
              <w:t>předložený výdaj z VŘ</w:t>
            </w:r>
          </w:p>
        </w:tc>
        <w:tc>
          <w:tcPr>
            <w:tcW w:w="1465" w:type="pct"/>
            <w:shd w:val="clear" w:color="auto" w:fill="auto"/>
            <w:vAlign w:val="center"/>
            <w:hideMark/>
          </w:tcPr>
          <w:p w:rsidR="00B165C2" w:rsidRPr="00A012FE" w:rsidRDefault="00B165C2" w:rsidP="007A106C">
            <w:pPr>
              <w:rPr>
                <w:sz w:val="20"/>
                <w:szCs w:val="20"/>
              </w:rPr>
            </w:pPr>
            <w:r>
              <w:rPr>
                <w:sz w:val="20"/>
                <w:szCs w:val="20"/>
              </w:rPr>
              <w:t>75 %, nebo</w:t>
            </w:r>
          </w:p>
        </w:tc>
      </w:tr>
      <w:tr w:rsidR="00B165C2" w:rsidRPr="00A012FE" w:rsidTr="007A106C">
        <w:trPr>
          <w:trHeight w:val="510"/>
        </w:trPr>
        <w:tc>
          <w:tcPr>
            <w:tcW w:w="531" w:type="pct"/>
            <w:vMerge/>
            <w:vAlign w:val="center"/>
            <w:hideMark/>
          </w:tcPr>
          <w:p w:rsidR="00B165C2" w:rsidRPr="00A012FE" w:rsidRDefault="00B165C2" w:rsidP="007A106C">
            <w:pPr>
              <w:rPr>
                <w:sz w:val="20"/>
                <w:szCs w:val="20"/>
              </w:rPr>
            </w:pPr>
          </w:p>
        </w:tc>
        <w:tc>
          <w:tcPr>
            <w:tcW w:w="349" w:type="pct"/>
            <w:vMerge/>
            <w:vAlign w:val="center"/>
            <w:hideMark/>
          </w:tcPr>
          <w:p w:rsidR="00B165C2" w:rsidRPr="00A012FE" w:rsidRDefault="00B165C2" w:rsidP="007A106C">
            <w:pPr>
              <w:rPr>
                <w:sz w:val="20"/>
                <w:szCs w:val="20"/>
              </w:rPr>
            </w:pPr>
          </w:p>
        </w:tc>
        <w:tc>
          <w:tcPr>
            <w:tcW w:w="1399" w:type="pct"/>
            <w:vMerge/>
            <w:vAlign w:val="center"/>
            <w:hideMark/>
          </w:tcPr>
          <w:p w:rsidR="00B165C2" w:rsidRPr="00A012FE" w:rsidRDefault="00B165C2" w:rsidP="007A106C">
            <w:pPr>
              <w:rPr>
                <w:sz w:val="20"/>
                <w:szCs w:val="20"/>
              </w:rPr>
            </w:pPr>
          </w:p>
        </w:tc>
        <w:tc>
          <w:tcPr>
            <w:tcW w:w="625" w:type="pct"/>
            <w:vMerge/>
            <w:shd w:val="clear" w:color="auto" w:fill="auto"/>
            <w:vAlign w:val="center"/>
            <w:hideMark/>
          </w:tcPr>
          <w:p w:rsidR="00B165C2" w:rsidRPr="00A012FE" w:rsidRDefault="00B165C2" w:rsidP="007A106C">
            <w:pPr>
              <w:rPr>
                <w:sz w:val="20"/>
                <w:szCs w:val="20"/>
              </w:rPr>
            </w:pPr>
          </w:p>
        </w:tc>
        <w:tc>
          <w:tcPr>
            <w:tcW w:w="631" w:type="pct"/>
            <w:vMerge/>
            <w:shd w:val="clear" w:color="auto" w:fill="auto"/>
            <w:noWrap/>
            <w:vAlign w:val="center"/>
            <w:hideMark/>
          </w:tcPr>
          <w:p w:rsidR="00B165C2" w:rsidRPr="00A012FE" w:rsidRDefault="00B165C2" w:rsidP="007A106C">
            <w:pPr>
              <w:rPr>
                <w:sz w:val="20"/>
                <w:szCs w:val="20"/>
              </w:rPr>
            </w:pPr>
          </w:p>
        </w:tc>
        <w:tc>
          <w:tcPr>
            <w:tcW w:w="1465" w:type="pct"/>
            <w:shd w:val="clear" w:color="auto" w:fill="auto"/>
            <w:vAlign w:val="center"/>
            <w:hideMark/>
          </w:tcPr>
          <w:p w:rsidR="00B165C2" w:rsidRPr="00A012FE" w:rsidRDefault="00B165C2" w:rsidP="007A106C">
            <w:pPr>
              <w:rPr>
                <w:sz w:val="20"/>
                <w:szCs w:val="20"/>
              </w:rPr>
            </w:pPr>
            <w:r>
              <w:rPr>
                <w:sz w:val="20"/>
                <w:szCs w:val="20"/>
              </w:rPr>
              <w:t>max. 90 % nebo 95 % s</w:t>
            </w:r>
            <w:r w:rsidRPr="00A012FE">
              <w:rPr>
                <w:sz w:val="20"/>
                <w:szCs w:val="20"/>
              </w:rPr>
              <w:t xml:space="preserve"> ohledem na závažnost porušení.</w:t>
            </w:r>
          </w:p>
        </w:tc>
      </w:tr>
      <w:tr w:rsidR="00B165C2" w:rsidRPr="00A012FE" w:rsidTr="007A106C">
        <w:trPr>
          <w:trHeight w:val="255"/>
        </w:trPr>
        <w:tc>
          <w:tcPr>
            <w:tcW w:w="531" w:type="pct"/>
            <w:vMerge/>
            <w:vAlign w:val="center"/>
            <w:hideMark/>
          </w:tcPr>
          <w:p w:rsidR="00B165C2" w:rsidRPr="00A012FE" w:rsidRDefault="00B165C2" w:rsidP="007A106C">
            <w:pPr>
              <w:rPr>
                <w:sz w:val="20"/>
                <w:szCs w:val="20"/>
              </w:rPr>
            </w:pPr>
          </w:p>
        </w:tc>
        <w:tc>
          <w:tcPr>
            <w:tcW w:w="349" w:type="pct"/>
            <w:vMerge w:val="restart"/>
            <w:shd w:val="clear" w:color="auto" w:fill="auto"/>
            <w:vAlign w:val="center"/>
            <w:hideMark/>
          </w:tcPr>
          <w:p w:rsidR="00B165C2" w:rsidRPr="00A012FE" w:rsidRDefault="00B165C2" w:rsidP="007A106C">
            <w:pPr>
              <w:rPr>
                <w:sz w:val="20"/>
                <w:szCs w:val="20"/>
              </w:rPr>
            </w:pPr>
            <w:r>
              <w:rPr>
                <w:sz w:val="20"/>
                <w:szCs w:val="20"/>
              </w:rPr>
              <w:t>34d</w:t>
            </w:r>
          </w:p>
        </w:tc>
        <w:tc>
          <w:tcPr>
            <w:tcW w:w="1399" w:type="pct"/>
            <w:vMerge w:val="restart"/>
            <w:shd w:val="clear" w:color="auto" w:fill="auto"/>
            <w:vAlign w:val="center"/>
            <w:hideMark/>
          </w:tcPr>
          <w:p w:rsidR="00B165C2" w:rsidRPr="00A012FE" w:rsidRDefault="00B165C2" w:rsidP="007A106C">
            <w:pPr>
              <w:rPr>
                <w:sz w:val="20"/>
                <w:szCs w:val="20"/>
              </w:rPr>
            </w:pPr>
            <w:r w:rsidRPr="00A012FE">
              <w:rPr>
                <w:sz w:val="20"/>
                <w:szCs w:val="20"/>
              </w:rPr>
              <w:t xml:space="preserve">V průběhu lhůty pro podání nabídek jsou některému dodavateli nebo některým dodavatelům poskytnuty informace, které nejsou poskytnuty jiným, případně je některý dodavatel (nebo někteří dodavatelé) jiným způsobem zvýhodněn a tyto skutečnosti mají vliv/mohou mít vliv na výběr nejvhodnější nabídky. </w:t>
            </w:r>
          </w:p>
        </w:tc>
        <w:tc>
          <w:tcPr>
            <w:tcW w:w="625" w:type="pct"/>
            <w:vMerge w:val="restart"/>
            <w:shd w:val="clear" w:color="auto" w:fill="auto"/>
            <w:vAlign w:val="center"/>
            <w:hideMark/>
          </w:tcPr>
          <w:p w:rsidR="00B165C2" w:rsidRPr="00A012FE" w:rsidRDefault="00B165C2" w:rsidP="007A106C">
            <w:pPr>
              <w:rPr>
                <w:sz w:val="20"/>
                <w:szCs w:val="20"/>
              </w:rPr>
            </w:pPr>
            <w:r>
              <w:rPr>
                <w:sz w:val="20"/>
                <w:szCs w:val="20"/>
              </w:rPr>
              <w:t>75 % - 95 %</w:t>
            </w:r>
          </w:p>
        </w:tc>
        <w:tc>
          <w:tcPr>
            <w:tcW w:w="631" w:type="pct"/>
            <w:vMerge w:val="restart"/>
            <w:shd w:val="clear" w:color="auto" w:fill="auto"/>
            <w:noWrap/>
            <w:vAlign w:val="center"/>
            <w:hideMark/>
          </w:tcPr>
          <w:p w:rsidR="00B165C2" w:rsidRPr="00A012FE" w:rsidRDefault="00B165C2" w:rsidP="007A106C">
            <w:pPr>
              <w:rPr>
                <w:sz w:val="20"/>
                <w:szCs w:val="20"/>
              </w:rPr>
            </w:pPr>
            <w:r w:rsidRPr="00A012FE">
              <w:rPr>
                <w:sz w:val="20"/>
                <w:szCs w:val="20"/>
              </w:rPr>
              <w:t>předložený výdaj z VŘ</w:t>
            </w:r>
          </w:p>
        </w:tc>
        <w:tc>
          <w:tcPr>
            <w:tcW w:w="1465" w:type="pct"/>
            <w:shd w:val="clear" w:color="auto" w:fill="auto"/>
            <w:vAlign w:val="center"/>
            <w:hideMark/>
          </w:tcPr>
          <w:p w:rsidR="00B165C2" w:rsidRPr="00A012FE" w:rsidRDefault="00B165C2" w:rsidP="007A106C">
            <w:pPr>
              <w:rPr>
                <w:sz w:val="20"/>
                <w:szCs w:val="20"/>
              </w:rPr>
            </w:pPr>
            <w:r>
              <w:rPr>
                <w:sz w:val="20"/>
                <w:szCs w:val="20"/>
              </w:rPr>
              <w:t>75 %, nebo</w:t>
            </w:r>
          </w:p>
        </w:tc>
      </w:tr>
      <w:tr w:rsidR="00B165C2" w:rsidRPr="00A012FE" w:rsidTr="007A106C">
        <w:trPr>
          <w:trHeight w:val="510"/>
        </w:trPr>
        <w:tc>
          <w:tcPr>
            <w:tcW w:w="531" w:type="pct"/>
            <w:vMerge/>
            <w:vAlign w:val="center"/>
            <w:hideMark/>
          </w:tcPr>
          <w:p w:rsidR="00B165C2" w:rsidRPr="00A012FE" w:rsidRDefault="00B165C2" w:rsidP="007A106C">
            <w:pPr>
              <w:rPr>
                <w:sz w:val="20"/>
                <w:szCs w:val="20"/>
              </w:rPr>
            </w:pPr>
          </w:p>
        </w:tc>
        <w:tc>
          <w:tcPr>
            <w:tcW w:w="349" w:type="pct"/>
            <w:vMerge/>
            <w:vAlign w:val="center"/>
            <w:hideMark/>
          </w:tcPr>
          <w:p w:rsidR="00B165C2" w:rsidRPr="00A012FE" w:rsidRDefault="00B165C2" w:rsidP="007A106C">
            <w:pPr>
              <w:rPr>
                <w:sz w:val="20"/>
                <w:szCs w:val="20"/>
              </w:rPr>
            </w:pPr>
          </w:p>
        </w:tc>
        <w:tc>
          <w:tcPr>
            <w:tcW w:w="1399" w:type="pct"/>
            <w:vMerge/>
            <w:vAlign w:val="center"/>
            <w:hideMark/>
          </w:tcPr>
          <w:p w:rsidR="00B165C2" w:rsidRPr="00A012FE" w:rsidRDefault="00B165C2" w:rsidP="007A106C">
            <w:pPr>
              <w:rPr>
                <w:sz w:val="20"/>
                <w:szCs w:val="20"/>
              </w:rPr>
            </w:pPr>
          </w:p>
        </w:tc>
        <w:tc>
          <w:tcPr>
            <w:tcW w:w="625" w:type="pct"/>
            <w:vMerge/>
            <w:shd w:val="clear" w:color="auto" w:fill="auto"/>
            <w:vAlign w:val="center"/>
            <w:hideMark/>
          </w:tcPr>
          <w:p w:rsidR="00B165C2" w:rsidRPr="00A012FE" w:rsidRDefault="00B165C2" w:rsidP="007A106C">
            <w:pPr>
              <w:rPr>
                <w:sz w:val="20"/>
                <w:szCs w:val="20"/>
              </w:rPr>
            </w:pPr>
          </w:p>
        </w:tc>
        <w:tc>
          <w:tcPr>
            <w:tcW w:w="631" w:type="pct"/>
            <w:vMerge/>
            <w:shd w:val="clear" w:color="auto" w:fill="auto"/>
            <w:noWrap/>
            <w:vAlign w:val="center"/>
            <w:hideMark/>
          </w:tcPr>
          <w:p w:rsidR="00B165C2" w:rsidRPr="00A012FE" w:rsidRDefault="00B165C2" w:rsidP="007A106C">
            <w:pPr>
              <w:rPr>
                <w:sz w:val="20"/>
                <w:szCs w:val="20"/>
              </w:rPr>
            </w:pPr>
          </w:p>
        </w:tc>
        <w:tc>
          <w:tcPr>
            <w:tcW w:w="1465" w:type="pct"/>
            <w:shd w:val="clear" w:color="auto" w:fill="auto"/>
            <w:vAlign w:val="center"/>
            <w:hideMark/>
          </w:tcPr>
          <w:p w:rsidR="00B165C2" w:rsidRPr="00A012FE" w:rsidRDefault="00B165C2" w:rsidP="007A106C">
            <w:pPr>
              <w:rPr>
                <w:sz w:val="20"/>
                <w:szCs w:val="20"/>
              </w:rPr>
            </w:pPr>
            <w:r>
              <w:rPr>
                <w:sz w:val="20"/>
                <w:szCs w:val="20"/>
              </w:rPr>
              <w:t>max. 90 % nebo 95 % s</w:t>
            </w:r>
            <w:r w:rsidRPr="00A012FE">
              <w:rPr>
                <w:sz w:val="20"/>
                <w:szCs w:val="20"/>
              </w:rPr>
              <w:t xml:space="preserve"> ohledem na závažnost porušení.</w:t>
            </w:r>
          </w:p>
        </w:tc>
      </w:tr>
      <w:tr w:rsidR="00B165C2" w:rsidRPr="00A012FE" w:rsidTr="007A106C">
        <w:trPr>
          <w:trHeight w:val="255"/>
        </w:trPr>
        <w:tc>
          <w:tcPr>
            <w:tcW w:w="531" w:type="pct"/>
            <w:vMerge/>
            <w:vAlign w:val="center"/>
          </w:tcPr>
          <w:p w:rsidR="00B165C2" w:rsidRPr="00A012FE" w:rsidRDefault="00B165C2" w:rsidP="007A106C">
            <w:pPr>
              <w:rPr>
                <w:sz w:val="20"/>
                <w:szCs w:val="20"/>
              </w:rPr>
            </w:pPr>
          </w:p>
        </w:tc>
        <w:tc>
          <w:tcPr>
            <w:tcW w:w="349" w:type="pct"/>
            <w:vMerge w:val="restart"/>
            <w:vAlign w:val="center"/>
          </w:tcPr>
          <w:p w:rsidR="00B165C2" w:rsidRPr="003769AD" w:rsidRDefault="00B165C2" w:rsidP="007A106C">
            <w:pPr>
              <w:rPr>
                <w:sz w:val="20"/>
                <w:szCs w:val="20"/>
                <w:highlight w:val="lightGray"/>
              </w:rPr>
            </w:pPr>
            <w:r w:rsidRPr="003769AD">
              <w:rPr>
                <w:sz w:val="20"/>
                <w:szCs w:val="20"/>
                <w:highlight w:val="lightGray"/>
              </w:rPr>
              <w:t>34e</w:t>
            </w:r>
          </w:p>
        </w:tc>
        <w:tc>
          <w:tcPr>
            <w:tcW w:w="1399" w:type="pct"/>
            <w:vMerge w:val="restart"/>
            <w:vAlign w:val="center"/>
          </w:tcPr>
          <w:p w:rsidR="00B165C2" w:rsidRPr="003769AD" w:rsidRDefault="00B165C2" w:rsidP="007A106C">
            <w:pPr>
              <w:rPr>
                <w:color w:val="000000"/>
                <w:sz w:val="20"/>
                <w:szCs w:val="20"/>
                <w:highlight w:val="lightGray"/>
              </w:rPr>
            </w:pPr>
            <w:r w:rsidRPr="003769AD">
              <w:rPr>
                <w:color w:val="000000"/>
                <w:sz w:val="20"/>
                <w:szCs w:val="20"/>
                <w:highlight w:val="lightGray"/>
              </w:rPr>
              <w:t>V rámci otevřeného nebo užšího řízení dle ZVZ zadavatel vyjednává s uchazeči během fáze hodnocení, což vede k podstatné změně výchozích podmínek stanovených v oznámení o zakázce nebo ve specifikaci zadávacího řízení.</w:t>
            </w:r>
          </w:p>
        </w:tc>
        <w:tc>
          <w:tcPr>
            <w:tcW w:w="625" w:type="pct"/>
            <w:vMerge w:val="restart"/>
            <w:shd w:val="clear" w:color="auto" w:fill="auto"/>
            <w:vAlign w:val="center"/>
          </w:tcPr>
          <w:p w:rsidR="00B165C2" w:rsidRPr="003769AD" w:rsidRDefault="00B165C2" w:rsidP="007A106C">
            <w:pPr>
              <w:rPr>
                <w:sz w:val="20"/>
                <w:szCs w:val="20"/>
                <w:highlight w:val="lightGray"/>
              </w:rPr>
            </w:pPr>
            <w:r w:rsidRPr="003769AD">
              <w:rPr>
                <w:sz w:val="20"/>
                <w:szCs w:val="20"/>
                <w:highlight w:val="lightGray"/>
              </w:rPr>
              <w:t>75 % - 95 %</w:t>
            </w:r>
          </w:p>
        </w:tc>
        <w:tc>
          <w:tcPr>
            <w:tcW w:w="631" w:type="pct"/>
            <w:vMerge w:val="restart"/>
            <w:shd w:val="clear" w:color="auto" w:fill="auto"/>
            <w:noWrap/>
            <w:vAlign w:val="center"/>
          </w:tcPr>
          <w:p w:rsidR="00B165C2" w:rsidRPr="003769AD" w:rsidRDefault="00B165C2" w:rsidP="007A106C">
            <w:pPr>
              <w:rPr>
                <w:sz w:val="20"/>
                <w:szCs w:val="20"/>
                <w:highlight w:val="lightGray"/>
              </w:rPr>
            </w:pPr>
            <w:r w:rsidRPr="003769AD">
              <w:rPr>
                <w:sz w:val="20"/>
                <w:szCs w:val="20"/>
                <w:highlight w:val="lightGray"/>
              </w:rPr>
              <w:t>předložený výdaj z VŘ</w:t>
            </w:r>
          </w:p>
        </w:tc>
        <w:tc>
          <w:tcPr>
            <w:tcW w:w="1465" w:type="pct"/>
            <w:shd w:val="clear" w:color="auto" w:fill="auto"/>
            <w:vAlign w:val="center"/>
          </w:tcPr>
          <w:p w:rsidR="00B165C2" w:rsidRPr="003769AD" w:rsidRDefault="00B165C2" w:rsidP="007A106C">
            <w:pPr>
              <w:rPr>
                <w:sz w:val="20"/>
                <w:szCs w:val="20"/>
                <w:highlight w:val="lightGray"/>
              </w:rPr>
            </w:pPr>
            <w:r w:rsidRPr="003769AD">
              <w:rPr>
                <w:sz w:val="20"/>
                <w:szCs w:val="20"/>
                <w:highlight w:val="lightGray"/>
              </w:rPr>
              <w:t>75 %, nebo</w:t>
            </w:r>
          </w:p>
        </w:tc>
      </w:tr>
      <w:tr w:rsidR="00B165C2" w:rsidRPr="00A012FE" w:rsidTr="007A106C">
        <w:trPr>
          <w:trHeight w:val="255"/>
        </w:trPr>
        <w:tc>
          <w:tcPr>
            <w:tcW w:w="531" w:type="pct"/>
            <w:vMerge/>
            <w:vAlign w:val="center"/>
          </w:tcPr>
          <w:p w:rsidR="00B165C2" w:rsidRPr="00A012FE" w:rsidRDefault="00B165C2" w:rsidP="007A106C">
            <w:pPr>
              <w:rPr>
                <w:sz w:val="20"/>
                <w:szCs w:val="20"/>
              </w:rPr>
            </w:pPr>
          </w:p>
        </w:tc>
        <w:tc>
          <w:tcPr>
            <w:tcW w:w="349" w:type="pct"/>
            <w:vMerge/>
            <w:vAlign w:val="center"/>
          </w:tcPr>
          <w:p w:rsidR="00B165C2" w:rsidRPr="003769AD" w:rsidRDefault="00B165C2" w:rsidP="007A106C">
            <w:pPr>
              <w:rPr>
                <w:sz w:val="20"/>
                <w:szCs w:val="20"/>
                <w:highlight w:val="lightGray"/>
              </w:rPr>
            </w:pPr>
          </w:p>
        </w:tc>
        <w:tc>
          <w:tcPr>
            <w:tcW w:w="1399" w:type="pct"/>
            <w:vMerge/>
            <w:vAlign w:val="center"/>
          </w:tcPr>
          <w:p w:rsidR="00B165C2" w:rsidRPr="003769AD" w:rsidRDefault="00B165C2" w:rsidP="007A106C">
            <w:pPr>
              <w:rPr>
                <w:sz w:val="20"/>
                <w:szCs w:val="20"/>
                <w:highlight w:val="lightGray"/>
              </w:rPr>
            </w:pPr>
          </w:p>
        </w:tc>
        <w:tc>
          <w:tcPr>
            <w:tcW w:w="625" w:type="pct"/>
            <w:vMerge/>
            <w:shd w:val="clear" w:color="auto" w:fill="auto"/>
            <w:vAlign w:val="center"/>
          </w:tcPr>
          <w:p w:rsidR="00B165C2" w:rsidRPr="003769AD" w:rsidRDefault="00B165C2" w:rsidP="007A106C">
            <w:pPr>
              <w:rPr>
                <w:sz w:val="20"/>
                <w:szCs w:val="20"/>
                <w:highlight w:val="lightGray"/>
              </w:rPr>
            </w:pPr>
          </w:p>
        </w:tc>
        <w:tc>
          <w:tcPr>
            <w:tcW w:w="631" w:type="pct"/>
            <w:vMerge/>
            <w:shd w:val="clear" w:color="auto" w:fill="auto"/>
            <w:noWrap/>
            <w:vAlign w:val="center"/>
          </w:tcPr>
          <w:p w:rsidR="00B165C2" w:rsidRPr="003769AD" w:rsidRDefault="00B165C2" w:rsidP="007A106C">
            <w:pPr>
              <w:rPr>
                <w:sz w:val="20"/>
                <w:szCs w:val="20"/>
                <w:highlight w:val="lightGray"/>
              </w:rPr>
            </w:pPr>
          </w:p>
        </w:tc>
        <w:tc>
          <w:tcPr>
            <w:tcW w:w="1465" w:type="pct"/>
            <w:shd w:val="clear" w:color="auto" w:fill="auto"/>
            <w:vAlign w:val="center"/>
          </w:tcPr>
          <w:p w:rsidR="00B165C2" w:rsidRPr="003769AD" w:rsidRDefault="00B165C2" w:rsidP="007A106C">
            <w:pPr>
              <w:rPr>
                <w:sz w:val="20"/>
                <w:szCs w:val="20"/>
                <w:highlight w:val="lightGray"/>
              </w:rPr>
            </w:pPr>
            <w:r w:rsidRPr="003769AD">
              <w:rPr>
                <w:sz w:val="20"/>
                <w:szCs w:val="20"/>
                <w:highlight w:val="lightGray"/>
              </w:rPr>
              <w:t>max. 90 % nebo 95 % s ohledem na závažnost porušení.</w:t>
            </w:r>
          </w:p>
        </w:tc>
      </w:tr>
      <w:tr w:rsidR="00B165C2" w:rsidRPr="00A012FE" w:rsidTr="007A106C">
        <w:trPr>
          <w:trHeight w:val="255"/>
        </w:trPr>
        <w:tc>
          <w:tcPr>
            <w:tcW w:w="531" w:type="pct"/>
            <w:vMerge/>
            <w:vAlign w:val="center"/>
          </w:tcPr>
          <w:p w:rsidR="00B165C2" w:rsidRPr="00A012FE" w:rsidRDefault="00B165C2" w:rsidP="007A106C">
            <w:pPr>
              <w:rPr>
                <w:sz w:val="20"/>
                <w:szCs w:val="20"/>
              </w:rPr>
            </w:pPr>
          </w:p>
        </w:tc>
        <w:tc>
          <w:tcPr>
            <w:tcW w:w="349" w:type="pct"/>
            <w:vMerge w:val="restart"/>
            <w:vAlign w:val="center"/>
          </w:tcPr>
          <w:p w:rsidR="00B165C2" w:rsidRPr="003769AD" w:rsidRDefault="00B165C2" w:rsidP="007A106C">
            <w:pPr>
              <w:rPr>
                <w:sz w:val="20"/>
                <w:szCs w:val="20"/>
                <w:highlight w:val="lightGray"/>
              </w:rPr>
            </w:pPr>
            <w:r w:rsidRPr="003769AD">
              <w:rPr>
                <w:sz w:val="20"/>
                <w:szCs w:val="20"/>
                <w:highlight w:val="lightGray"/>
              </w:rPr>
              <w:t>34f</w:t>
            </w:r>
          </w:p>
        </w:tc>
        <w:tc>
          <w:tcPr>
            <w:tcW w:w="1399" w:type="pct"/>
            <w:vMerge w:val="restart"/>
            <w:vAlign w:val="center"/>
          </w:tcPr>
          <w:p w:rsidR="00B165C2" w:rsidRPr="003769AD" w:rsidRDefault="00B165C2" w:rsidP="007A106C">
            <w:pPr>
              <w:rPr>
                <w:color w:val="000000"/>
                <w:sz w:val="20"/>
                <w:szCs w:val="20"/>
                <w:highlight w:val="lightGray"/>
              </w:rPr>
            </w:pPr>
            <w:r w:rsidRPr="003769AD">
              <w:rPr>
                <w:color w:val="000000"/>
                <w:sz w:val="20"/>
                <w:szCs w:val="20"/>
                <w:highlight w:val="lightGray"/>
              </w:rPr>
              <w:t>V souvislosti s jednacím řízením s uveřejněním byly původní podmínky zakázky podstatně změněny.</w:t>
            </w:r>
          </w:p>
        </w:tc>
        <w:tc>
          <w:tcPr>
            <w:tcW w:w="625" w:type="pct"/>
            <w:vMerge w:val="restart"/>
            <w:shd w:val="clear" w:color="auto" w:fill="auto"/>
            <w:vAlign w:val="center"/>
          </w:tcPr>
          <w:p w:rsidR="00B165C2" w:rsidRPr="003769AD" w:rsidRDefault="00B165C2" w:rsidP="007A106C">
            <w:pPr>
              <w:rPr>
                <w:sz w:val="20"/>
                <w:szCs w:val="20"/>
                <w:highlight w:val="lightGray"/>
              </w:rPr>
            </w:pPr>
            <w:r w:rsidRPr="003769AD">
              <w:rPr>
                <w:sz w:val="20"/>
                <w:szCs w:val="20"/>
                <w:highlight w:val="lightGray"/>
              </w:rPr>
              <w:t>75 % - 95 %</w:t>
            </w:r>
          </w:p>
        </w:tc>
        <w:tc>
          <w:tcPr>
            <w:tcW w:w="631" w:type="pct"/>
            <w:vMerge w:val="restart"/>
            <w:shd w:val="clear" w:color="auto" w:fill="auto"/>
            <w:noWrap/>
            <w:vAlign w:val="center"/>
          </w:tcPr>
          <w:p w:rsidR="00B165C2" w:rsidRPr="003769AD" w:rsidRDefault="00B165C2" w:rsidP="007A106C">
            <w:pPr>
              <w:rPr>
                <w:sz w:val="20"/>
                <w:szCs w:val="20"/>
                <w:highlight w:val="lightGray"/>
              </w:rPr>
            </w:pPr>
            <w:r w:rsidRPr="003769AD">
              <w:rPr>
                <w:sz w:val="20"/>
                <w:szCs w:val="20"/>
                <w:highlight w:val="lightGray"/>
              </w:rPr>
              <w:t>předložený výdaj z VŘ</w:t>
            </w:r>
          </w:p>
        </w:tc>
        <w:tc>
          <w:tcPr>
            <w:tcW w:w="1465" w:type="pct"/>
            <w:shd w:val="clear" w:color="auto" w:fill="auto"/>
            <w:vAlign w:val="center"/>
          </w:tcPr>
          <w:p w:rsidR="00B165C2" w:rsidRPr="003769AD" w:rsidRDefault="00B165C2" w:rsidP="007A106C">
            <w:pPr>
              <w:rPr>
                <w:sz w:val="20"/>
                <w:szCs w:val="20"/>
                <w:highlight w:val="lightGray"/>
              </w:rPr>
            </w:pPr>
            <w:r w:rsidRPr="003769AD">
              <w:rPr>
                <w:sz w:val="20"/>
                <w:szCs w:val="20"/>
                <w:highlight w:val="lightGray"/>
              </w:rPr>
              <w:t>75 %, nebo</w:t>
            </w:r>
          </w:p>
        </w:tc>
      </w:tr>
      <w:tr w:rsidR="00B165C2" w:rsidRPr="00A012FE" w:rsidTr="007A106C">
        <w:trPr>
          <w:trHeight w:val="255"/>
        </w:trPr>
        <w:tc>
          <w:tcPr>
            <w:tcW w:w="531" w:type="pct"/>
            <w:vMerge/>
            <w:vAlign w:val="center"/>
          </w:tcPr>
          <w:p w:rsidR="00B165C2" w:rsidRPr="00A012FE" w:rsidRDefault="00B165C2" w:rsidP="007A106C">
            <w:pPr>
              <w:rPr>
                <w:sz w:val="20"/>
                <w:szCs w:val="20"/>
              </w:rPr>
            </w:pPr>
          </w:p>
        </w:tc>
        <w:tc>
          <w:tcPr>
            <w:tcW w:w="349" w:type="pct"/>
            <w:vMerge/>
            <w:vAlign w:val="center"/>
          </w:tcPr>
          <w:p w:rsidR="00B165C2" w:rsidRPr="003769AD" w:rsidRDefault="00B165C2" w:rsidP="007A106C">
            <w:pPr>
              <w:rPr>
                <w:sz w:val="20"/>
                <w:szCs w:val="20"/>
                <w:highlight w:val="lightGray"/>
              </w:rPr>
            </w:pPr>
          </w:p>
        </w:tc>
        <w:tc>
          <w:tcPr>
            <w:tcW w:w="1399" w:type="pct"/>
            <w:vMerge/>
            <w:vAlign w:val="center"/>
          </w:tcPr>
          <w:p w:rsidR="00B165C2" w:rsidRPr="003769AD" w:rsidRDefault="00B165C2" w:rsidP="007A106C">
            <w:pPr>
              <w:rPr>
                <w:sz w:val="20"/>
                <w:szCs w:val="20"/>
                <w:highlight w:val="lightGray"/>
              </w:rPr>
            </w:pPr>
          </w:p>
        </w:tc>
        <w:tc>
          <w:tcPr>
            <w:tcW w:w="625" w:type="pct"/>
            <w:vMerge/>
            <w:shd w:val="clear" w:color="auto" w:fill="auto"/>
            <w:vAlign w:val="center"/>
          </w:tcPr>
          <w:p w:rsidR="00B165C2" w:rsidRPr="003769AD" w:rsidRDefault="00B165C2" w:rsidP="007A106C">
            <w:pPr>
              <w:rPr>
                <w:sz w:val="20"/>
                <w:szCs w:val="20"/>
                <w:highlight w:val="lightGray"/>
              </w:rPr>
            </w:pPr>
          </w:p>
        </w:tc>
        <w:tc>
          <w:tcPr>
            <w:tcW w:w="631" w:type="pct"/>
            <w:vMerge/>
            <w:shd w:val="clear" w:color="auto" w:fill="auto"/>
            <w:noWrap/>
            <w:vAlign w:val="center"/>
          </w:tcPr>
          <w:p w:rsidR="00B165C2" w:rsidRPr="003769AD" w:rsidRDefault="00B165C2" w:rsidP="007A106C">
            <w:pPr>
              <w:rPr>
                <w:sz w:val="20"/>
                <w:szCs w:val="20"/>
                <w:highlight w:val="lightGray"/>
              </w:rPr>
            </w:pPr>
          </w:p>
        </w:tc>
        <w:tc>
          <w:tcPr>
            <w:tcW w:w="1465" w:type="pct"/>
            <w:shd w:val="clear" w:color="auto" w:fill="auto"/>
            <w:vAlign w:val="center"/>
          </w:tcPr>
          <w:p w:rsidR="00B165C2" w:rsidRPr="003769AD" w:rsidRDefault="00B165C2" w:rsidP="007A106C">
            <w:pPr>
              <w:rPr>
                <w:sz w:val="20"/>
                <w:szCs w:val="20"/>
                <w:highlight w:val="lightGray"/>
              </w:rPr>
            </w:pPr>
            <w:r w:rsidRPr="003769AD">
              <w:rPr>
                <w:sz w:val="20"/>
                <w:szCs w:val="20"/>
                <w:highlight w:val="lightGray"/>
              </w:rPr>
              <w:t>max. 90 % nebo 95 % s ohledem na závažnost porušení.</w:t>
            </w:r>
          </w:p>
        </w:tc>
      </w:tr>
      <w:tr w:rsidR="00B165C2" w:rsidRPr="00A012FE" w:rsidTr="007A106C">
        <w:trPr>
          <w:trHeight w:val="1063"/>
        </w:trPr>
        <w:tc>
          <w:tcPr>
            <w:tcW w:w="531" w:type="pct"/>
            <w:vMerge/>
            <w:vAlign w:val="center"/>
          </w:tcPr>
          <w:p w:rsidR="00B165C2" w:rsidRPr="00A012FE" w:rsidRDefault="00B165C2" w:rsidP="007A106C">
            <w:pPr>
              <w:rPr>
                <w:sz w:val="20"/>
                <w:szCs w:val="20"/>
              </w:rPr>
            </w:pPr>
          </w:p>
        </w:tc>
        <w:tc>
          <w:tcPr>
            <w:tcW w:w="349" w:type="pct"/>
            <w:vMerge w:val="restart"/>
            <w:shd w:val="clear" w:color="auto" w:fill="auto"/>
          </w:tcPr>
          <w:p w:rsidR="00B165C2" w:rsidRDefault="00B165C2" w:rsidP="007A106C">
            <w:pPr>
              <w:rPr>
                <w:sz w:val="20"/>
                <w:szCs w:val="20"/>
              </w:rPr>
            </w:pPr>
            <w:r>
              <w:rPr>
                <w:sz w:val="20"/>
                <w:szCs w:val="20"/>
              </w:rPr>
              <w:t>34g</w:t>
            </w:r>
          </w:p>
        </w:tc>
        <w:tc>
          <w:tcPr>
            <w:tcW w:w="1399" w:type="pct"/>
            <w:vMerge w:val="restart"/>
            <w:shd w:val="clear" w:color="auto" w:fill="auto"/>
          </w:tcPr>
          <w:p w:rsidR="00B165C2" w:rsidRPr="00D935F7" w:rsidRDefault="00B165C2" w:rsidP="007A106C">
            <w:pPr>
              <w:rPr>
                <w:sz w:val="20"/>
                <w:szCs w:val="20"/>
              </w:rPr>
            </w:pPr>
            <w:r w:rsidRPr="00F45930">
              <w:rPr>
                <w:sz w:val="20"/>
                <w:szCs w:val="20"/>
              </w:rPr>
              <w:t>Původní zadávací podmínky se podstatně změní po podání nabídek.</w:t>
            </w:r>
          </w:p>
        </w:tc>
        <w:tc>
          <w:tcPr>
            <w:tcW w:w="625" w:type="pct"/>
            <w:vMerge w:val="restart"/>
            <w:shd w:val="clear" w:color="auto" w:fill="auto"/>
            <w:vAlign w:val="center"/>
          </w:tcPr>
          <w:p w:rsidR="00B165C2" w:rsidRPr="00D935F7" w:rsidRDefault="00B165C2" w:rsidP="007A106C">
            <w:pPr>
              <w:jc w:val="center"/>
              <w:rPr>
                <w:sz w:val="20"/>
                <w:szCs w:val="20"/>
              </w:rPr>
            </w:pPr>
            <w:r>
              <w:rPr>
                <w:sz w:val="20"/>
                <w:szCs w:val="20"/>
              </w:rPr>
              <w:t>75 % - 95 %</w:t>
            </w:r>
          </w:p>
        </w:tc>
        <w:tc>
          <w:tcPr>
            <w:tcW w:w="631" w:type="pct"/>
            <w:vMerge w:val="restart"/>
            <w:shd w:val="clear" w:color="auto" w:fill="auto"/>
            <w:noWrap/>
            <w:vAlign w:val="center"/>
          </w:tcPr>
          <w:p w:rsidR="00B165C2" w:rsidRPr="00D935F7" w:rsidRDefault="00B165C2" w:rsidP="007A106C">
            <w:pPr>
              <w:jc w:val="center"/>
              <w:rPr>
                <w:sz w:val="20"/>
                <w:szCs w:val="20"/>
              </w:rPr>
            </w:pPr>
            <w:r w:rsidRPr="00D935F7">
              <w:rPr>
                <w:sz w:val="20"/>
                <w:szCs w:val="20"/>
              </w:rPr>
              <w:t>předložený výdaj z VŘ</w:t>
            </w:r>
          </w:p>
        </w:tc>
        <w:tc>
          <w:tcPr>
            <w:tcW w:w="1465" w:type="pct"/>
            <w:shd w:val="clear" w:color="auto" w:fill="auto"/>
            <w:vAlign w:val="center"/>
          </w:tcPr>
          <w:p w:rsidR="00B165C2" w:rsidRDefault="00B165C2" w:rsidP="007A106C">
            <w:pPr>
              <w:jc w:val="left"/>
              <w:rPr>
                <w:sz w:val="20"/>
                <w:szCs w:val="20"/>
              </w:rPr>
            </w:pPr>
            <w:r>
              <w:rPr>
                <w:sz w:val="20"/>
                <w:szCs w:val="20"/>
              </w:rPr>
              <w:t>75 %, nebo</w:t>
            </w:r>
          </w:p>
        </w:tc>
      </w:tr>
      <w:tr w:rsidR="00B165C2" w:rsidRPr="00A012FE" w:rsidTr="007A106C">
        <w:trPr>
          <w:trHeight w:val="523"/>
        </w:trPr>
        <w:tc>
          <w:tcPr>
            <w:tcW w:w="531" w:type="pct"/>
            <w:vMerge/>
            <w:vAlign w:val="center"/>
          </w:tcPr>
          <w:p w:rsidR="00B165C2" w:rsidRPr="00A012FE" w:rsidRDefault="00B165C2" w:rsidP="007A106C">
            <w:pPr>
              <w:rPr>
                <w:sz w:val="20"/>
                <w:szCs w:val="20"/>
              </w:rPr>
            </w:pPr>
          </w:p>
        </w:tc>
        <w:tc>
          <w:tcPr>
            <w:tcW w:w="349" w:type="pct"/>
            <w:vMerge/>
            <w:shd w:val="clear" w:color="auto" w:fill="auto"/>
          </w:tcPr>
          <w:p w:rsidR="00B165C2" w:rsidRDefault="00B165C2" w:rsidP="007A106C">
            <w:pPr>
              <w:rPr>
                <w:sz w:val="20"/>
                <w:szCs w:val="20"/>
              </w:rPr>
            </w:pPr>
          </w:p>
        </w:tc>
        <w:tc>
          <w:tcPr>
            <w:tcW w:w="1399" w:type="pct"/>
            <w:vMerge/>
            <w:shd w:val="clear" w:color="auto" w:fill="auto"/>
          </w:tcPr>
          <w:p w:rsidR="00B165C2" w:rsidRPr="00D935F7" w:rsidRDefault="00B165C2" w:rsidP="007A106C">
            <w:pPr>
              <w:rPr>
                <w:sz w:val="20"/>
                <w:szCs w:val="20"/>
              </w:rPr>
            </w:pPr>
          </w:p>
        </w:tc>
        <w:tc>
          <w:tcPr>
            <w:tcW w:w="625" w:type="pct"/>
            <w:vMerge/>
            <w:shd w:val="clear" w:color="auto" w:fill="auto"/>
            <w:vAlign w:val="center"/>
          </w:tcPr>
          <w:p w:rsidR="00B165C2" w:rsidRPr="00D935F7" w:rsidRDefault="00B165C2" w:rsidP="007A106C">
            <w:pPr>
              <w:jc w:val="center"/>
              <w:rPr>
                <w:sz w:val="20"/>
                <w:szCs w:val="20"/>
              </w:rPr>
            </w:pPr>
          </w:p>
        </w:tc>
        <w:tc>
          <w:tcPr>
            <w:tcW w:w="631" w:type="pct"/>
            <w:vMerge/>
            <w:shd w:val="clear" w:color="auto" w:fill="auto"/>
            <w:vAlign w:val="center"/>
          </w:tcPr>
          <w:p w:rsidR="00B165C2" w:rsidRPr="00D935F7" w:rsidRDefault="00B165C2" w:rsidP="007A106C">
            <w:pPr>
              <w:jc w:val="center"/>
              <w:rPr>
                <w:sz w:val="20"/>
                <w:szCs w:val="20"/>
              </w:rPr>
            </w:pPr>
          </w:p>
        </w:tc>
        <w:tc>
          <w:tcPr>
            <w:tcW w:w="1465" w:type="pct"/>
            <w:shd w:val="clear" w:color="auto" w:fill="auto"/>
            <w:vAlign w:val="center"/>
          </w:tcPr>
          <w:p w:rsidR="00B165C2" w:rsidRDefault="00B165C2" w:rsidP="007A106C">
            <w:pPr>
              <w:jc w:val="left"/>
              <w:rPr>
                <w:sz w:val="20"/>
                <w:szCs w:val="20"/>
              </w:rPr>
            </w:pPr>
            <w:r>
              <w:rPr>
                <w:sz w:val="20"/>
                <w:szCs w:val="20"/>
              </w:rPr>
              <w:t>max. 90 % nebo 95 % s</w:t>
            </w:r>
            <w:r w:rsidRPr="00A012FE">
              <w:rPr>
                <w:sz w:val="20"/>
                <w:szCs w:val="20"/>
              </w:rPr>
              <w:t xml:space="preserve"> ohledem na závažnost porušení.</w:t>
            </w:r>
          </w:p>
        </w:tc>
      </w:tr>
      <w:tr w:rsidR="00B165C2" w:rsidRPr="00A012FE" w:rsidTr="007A106C">
        <w:trPr>
          <w:trHeight w:val="405"/>
        </w:trPr>
        <w:tc>
          <w:tcPr>
            <w:tcW w:w="531" w:type="pct"/>
            <w:vMerge/>
            <w:vAlign w:val="center"/>
          </w:tcPr>
          <w:p w:rsidR="00B165C2" w:rsidRPr="00A012FE" w:rsidRDefault="00B165C2" w:rsidP="007A106C">
            <w:pPr>
              <w:rPr>
                <w:sz w:val="20"/>
                <w:szCs w:val="20"/>
              </w:rPr>
            </w:pPr>
          </w:p>
        </w:tc>
        <w:tc>
          <w:tcPr>
            <w:tcW w:w="349" w:type="pct"/>
            <w:vMerge w:val="restart"/>
            <w:shd w:val="clear" w:color="auto" w:fill="auto"/>
          </w:tcPr>
          <w:p w:rsidR="00B165C2" w:rsidRPr="003769AD" w:rsidRDefault="00B165C2" w:rsidP="007A106C">
            <w:pPr>
              <w:rPr>
                <w:sz w:val="20"/>
                <w:szCs w:val="20"/>
                <w:highlight w:val="lightGray"/>
              </w:rPr>
            </w:pPr>
            <w:r w:rsidRPr="003769AD">
              <w:rPr>
                <w:sz w:val="20"/>
                <w:szCs w:val="20"/>
                <w:highlight w:val="lightGray"/>
              </w:rPr>
              <w:t>34 h</w:t>
            </w:r>
          </w:p>
        </w:tc>
        <w:tc>
          <w:tcPr>
            <w:tcW w:w="1399" w:type="pct"/>
            <w:vMerge w:val="restart"/>
            <w:shd w:val="clear" w:color="auto" w:fill="auto"/>
          </w:tcPr>
          <w:p w:rsidR="00B165C2" w:rsidRPr="003769AD" w:rsidRDefault="00B165C2" w:rsidP="007A106C">
            <w:pPr>
              <w:rPr>
                <w:sz w:val="20"/>
                <w:szCs w:val="20"/>
                <w:highlight w:val="lightGray"/>
              </w:rPr>
            </w:pPr>
            <w:r w:rsidRPr="003769AD">
              <w:rPr>
                <w:sz w:val="20"/>
                <w:szCs w:val="20"/>
                <w:highlight w:val="lightGray"/>
              </w:rPr>
              <w:t>Zadavatel umožní upravit uchazeči nabídku během hodnocení nabídek.</w:t>
            </w:r>
          </w:p>
        </w:tc>
        <w:tc>
          <w:tcPr>
            <w:tcW w:w="625" w:type="pct"/>
            <w:vMerge w:val="restart"/>
            <w:shd w:val="clear" w:color="auto" w:fill="auto"/>
            <w:vAlign w:val="center"/>
          </w:tcPr>
          <w:p w:rsidR="00B165C2" w:rsidRPr="003769AD" w:rsidRDefault="00B165C2" w:rsidP="007A106C">
            <w:pPr>
              <w:jc w:val="center"/>
              <w:rPr>
                <w:sz w:val="20"/>
                <w:szCs w:val="20"/>
                <w:highlight w:val="lightGray"/>
              </w:rPr>
            </w:pPr>
            <w:r w:rsidRPr="003769AD">
              <w:rPr>
                <w:sz w:val="20"/>
                <w:szCs w:val="20"/>
                <w:highlight w:val="lightGray"/>
              </w:rPr>
              <w:t>75 % - 95 %</w:t>
            </w:r>
          </w:p>
        </w:tc>
        <w:tc>
          <w:tcPr>
            <w:tcW w:w="631" w:type="pct"/>
            <w:vMerge w:val="restart"/>
            <w:shd w:val="clear" w:color="auto" w:fill="auto"/>
            <w:vAlign w:val="center"/>
          </w:tcPr>
          <w:p w:rsidR="00B165C2" w:rsidRPr="003769AD" w:rsidRDefault="00B165C2" w:rsidP="007A106C">
            <w:pPr>
              <w:jc w:val="center"/>
              <w:rPr>
                <w:sz w:val="20"/>
                <w:szCs w:val="20"/>
                <w:highlight w:val="lightGray"/>
              </w:rPr>
            </w:pPr>
            <w:r w:rsidRPr="003769AD">
              <w:rPr>
                <w:sz w:val="20"/>
                <w:szCs w:val="20"/>
                <w:highlight w:val="lightGray"/>
              </w:rPr>
              <w:t>předložený výdaj z VŘ</w:t>
            </w:r>
          </w:p>
        </w:tc>
        <w:tc>
          <w:tcPr>
            <w:tcW w:w="1465" w:type="pct"/>
            <w:shd w:val="clear" w:color="auto" w:fill="auto"/>
            <w:vAlign w:val="center"/>
          </w:tcPr>
          <w:p w:rsidR="00B165C2" w:rsidRPr="003769AD" w:rsidRDefault="00B165C2" w:rsidP="007A106C">
            <w:pPr>
              <w:jc w:val="left"/>
              <w:rPr>
                <w:sz w:val="20"/>
                <w:szCs w:val="20"/>
                <w:highlight w:val="lightGray"/>
              </w:rPr>
            </w:pPr>
            <w:r w:rsidRPr="003769AD">
              <w:rPr>
                <w:sz w:val="20"/>
                <w:szCs w:val="20"/>
                <w:highlight w:val="lightGray"/>
              </w:rPr>
              <w:t>75 %, nebo</w:t>
            </w:r>
          </w:p>
        </w:tc>
      </w:tr>
      <w:tr w:rsidR="00B165C2" w:rsidRPr="00A012FE" w:rsidTr="007A106C">
        <w:trPr>
          <w:trHeight w:val="405"/>
        </w:trPr>
        <w:tc>
          <w:tcPr>
            <w:tcW w:w="531" w:type="pct"/>
            <w:vMerge/>
            <w:vAlign w:val="center"/>
          </w:tcPr>
          <w:p w:rsidR="00B165C2" w:rsidRPr="00A012FE" w:rsidRDefault="00B165C2" w:rsidP="007A106C">
            <w:pPr>
              <w:rPr>
                <w:sz w:val="20"/>
                <w:szCs w:val="20"/>
              </w:rPr>
            </w:pPr>
          </w:p>
        </w:tc>
        <w:tc>
          <w:tcPr>
            <w:tcW w:w="349" w:type="pct"/>
            <w:vMerge/>
            <w:shd w:val="clear" w:color="auto" w:fill="auto"/>
          </w:tcPr>
          <w:p w:rsidR="00B165C2" w:rsidRPr="003769AD" w:rsidRDefault="00B165C2" w:rsidP="007A106C">
            <w:pPr>
              <w:rPr>
                <w:sz w:val="20"/>
                <w:szCs w:val="20"/>
                <w:highlight w:val="lightGray"/>
              </w:rPr>
            </w:pPr>
          </w:p>
        </w:tc>
        <w:tc>
          <w:tcPr>
            <w:tcW w:w="1399" w:type="pct"/>
            <w:vMerge/>
            <w:shd w:val="clear" w:color="auto" w:fill="auto"/>
          </w:tcPr>
          <w:p w:rsidR="00B165C2" w:rsidRPr="003769AD" w:rsidRDefault="00B165C2" w:rsidP="007A106C">
            <w:pPr>
              <w:rPr>
                <w:sz w:val="20"/>
                <w:szCs w:val="20"/>
                <w:highlight w:val="lightGray"/>
              </w:rPr>
            </w:pPr>
          </w:p>
        </w:tc>
        <w:tc>
          <w:tcPr>
            <w:tcW w:w="625" w:type="pct"/>
            <w:vMerge/>
            <w:shd w:val="clear" w:color="auto" w:fill="auto"/>
            <w:vAlign w:val="center"/>
          </w:tcPr>
          <w:p w:rsidR="00B165C2" w:rsidRPr="003769AD" w:rsidRDefault="00B165C2" w:rsidP="007A106C">
            <w:pPr>
              <w:jc w:val="center"/>
              <w:rPr>
                <w:sz w:val="20"/>
                <w:szCs w:val="20"/>
                <w:highlight w:val="lightGray"/>
              </w:rPr>
            </w:pPr>
          </w:p>
        </w:tc>
        <w:tc>
          <w:tcPr>
            <w:tcW w:w="631" w:type="pct"/>
            <w:vMerge/>
            <w:shd w:val="clear" w:color="auto" w:fill="auto"/>
            <w:vAlign w:val="center"/>
          </w:tcPr>
          <w:p w:rsidR="00B165C2" w:rsidRPr="003769AD" w:rsidRDefault="00B165C2" w:rsidP="007A106C">
            <w:pPr>
              <w:jc w:val="center"/>
              <w:rPr>
                <w:sz w:val="20"/>
                <w:szCs w:val="20"/>
                <w:highlight w:val="lightGray"/>
              </w:rPr>
            </w:pPr>
          </w:p>
        </w:tc>
        <w:tc>
          <w:tcPr>
            <w:tcW w:w="1465" w:type="pct"/>
            <w:shd w:val="clear" w:color="auto" w:fill="auto"/>
            <w:vAlign w:val="center"/>
          </w:tcPr>
          <w:p w:rsidR="00B165C2" w:rsidRPr="003769AD" w:rsidRDefault="00B165C2" w:rsidP="007A106C">
            <w:pPr>
              <w:jc w:val="left"/>
              <w:rPr>
                <w:sz w:val="20"/>
                <w:szCs w:val="20"/>
                <w:highlight w:val="lightGray"/>
              </w:rPr>
            </w:pPr>
            <w:r w:rsidRPr="003769AD">
              <w:rPr>
                <w:sz w:val="20"/>
                <w:szCs w:val="20"/>
                <w:highlight w:val="lightGray"/>
              </w:rPr>
              <w:t>max. 90 % nebo 95 % s ohledem na závažnost porušení.</w:t>
            </w:r>
          </w:p>
        </w:tc>
      </w:tr>
      <w:tr w:rsidR="00B165C2" w:rsidRPr="00A012FE" w:rsidTr="007A106C">
        <w:trPr>
          <w:trHeight w:val="1730"/>
        </w:trPr>
        <w:tc>
          <w:tcPr>
            <w:tcW w:w="531" w:type="pct"/>
            <w:vMerge/>
            <w:vAlign w:val="center"/>
          </w:tcPr>
          <w:p w:rsidR="00B165C2" w:rsidRPr="00A012FE" w:rsidRDefault="00B165C2" w:rsidP="007A106C">
            <w:pPr>
              <w:rPr>
                <w:sz w:val="20"/>
                <w:szCs w:val="20"/>
              </w:rPr>
            </w:pPr>
          </w:p>
        </w:tc>
        <w:tc>
          <w:tcPr>
            <w:tcW w:w="349" w:type="pct"/>
            <w:shd w:val="clear" w:color="auto" w:fill="auto"/>
          </w:tcPr>
          <w:p w:rsidR="00B165C2" w:rsidRPr="002531A9" w:rsidRDefault="00B165C2" w:rsidP="007A106C">
            <w:pPr>
              <w:rPr>
                <w:sz w:val="20"/>
                <w:szCs w:val="20"/>
                <w:highlight w:val="lightGray"/>
              </w:rPr>
            </w:pPr>
            <w:r w:rsidRPr="002531A9">
              <w:rPr>
                <w:sz w:val="20"/>
                <w:szCs w:val="20"/>
                <w:highlight w:val="lightGray"/>
              </w:rPr>
              <w:t>34i</w:t>
            </w:r>
          </w:p>
        </w:tc>
        <w:tc>
          <w:tcPr>
            <w:tcW w:w="1399" w:type="pct"/>
            <w:shd w:val="clear" w:color="auto" w:fill="auto"/>
          </w:tcPr>
          <w:p w:rsidR="00B165C2" w:rsidRPr="002531A9" w:rsidRDefault="00B165C2" w:rsidP="007A106C">
            <w:pPr>
              <w:rPr>
                <w:sz w:val="20"/>
                <w:szCs w:val="20"/>
                <w:highlight w:val="lightGray"/>
              </w:rPr>
            </w:pPr>
            <w:r w:rsidRPr="002531A9">
              <w:rPr>
                <w:sz w:val="20"/>
                <w:szCs w:val="20"/>
                <w:highlight w:val="lightGray"/>
              </w:rPr>
              <w:t>Nabídkové ceny zboží, prací nebo služeb se zdají být neobvykle nízké, avšak zadavatel tyto nabídky vyřadí, aniž by nejdříve písemně požádal o vysvětlení, případně nepostupuje v souladu s § 77 ZVZ.</w:t>
            </w:r>
          </w:p>
        </w:tc>
        <w:tc>
          <w:tcPr>
            <w:tcW w:w="625" w:type="pct"/>
            <w:shd w:val="clear" w:color="auto" w:fill="auto"/>
            <w:vAlign w:val="center"/>
          </w:tcPr>
          <w:p w:rsidR="00B165C2" w:rsidRPr="002531A9" w:rsidRDefault="00B165C2" w:rsidP="007A106C">
            <w:pPr>
              <w:jc w:val="center"/>
              <w:rPr>
                <w:sz w:val="20"/>
                <w:szCs w:val="20"/>
                <w:highlight w:val="lightGray"/>
              </w:rPr>
            </w:pPr>
            <w:r w:rsidRPr="002531A9">
              <w:rPr>
                <w:sz w:val="20"/>
                <w:szCs w:val="20"/>
                <w:highlight w:val="lightGray"/>
              </w:rPr>
              <w:t xml:space="preserve">75 % </w:t>
            </w:r>
          </w:p>
        </w:tc>
        <w:tc>
          <w:tcPr>
            <w:tcW w:w="631" w:type="pct"/>
            <w:shd w:val="clear" w:color="auto" w:fill="auto"/>
            <w:vAlign w:val="center"/>
          </w:tcPr>
          <w:p w:rsidR="00B165C2" w:rsidRPr="002531A9" w:rsidRDefault="00B165C2" w:rsidP="007A106C">
            <w:pPr>
              <w:jc w:val="center"/>
              <w:rPr>
                <w:sz w:val="20"/>
                <w:szCs w:val="20"/>
                <w:highlight w:val="lightGray"/>
              </w:rPr>
            </w:pPr>
            <w:r w:rsidRPr="002531A9">
              <w:rPr>
                <w:sz w:val="20"/>
                <w:szCs w:val="20"/>
                <w:highlight w:val="lightGray"/>
              </w:rPr>
              <w:t>předložený výdaj z VŘ</w:t>
            </w:r>
          </w:p>
        </w:tc>
        <w:tc>
          <w:tcPr>
            <w:tcW w:w="1465" w:type="pct"/>
            <w:shd w:val="clear" w:color="auto" w:fill="auto"/>
            <w:vAlign w:val="center"/>
          </w:tcPr>
          <w:p w:rsidR="00B165C2" w:rsidRPr="002531A9" w:rsidRDefault="00B165C2" w:rsidP="007A106C">
            <w:pPr>
              <w:jc w:val="left"/>
              <w:rPr>
                <w:sz w:val="20"/>
                <w:szCs w:val="20"/>
                <w:highlight w:val="lightGray"/>
              </w:rPr>
            </w:pPr>
            <w:r w:rsidRPr="002531A9">
              <w:rPr>
                <w:sz w:val="20"/>
                <w:szCs w:val="20"/>
                <w:highlight w:val="lightGray"/>
              </w:rPr>
              <w:t>75 %.</w:t>
            </w:r>
          </w:p>
        </w:tc>
      </w:tr>
      <w:tr w:rsidR="00B165C2" w:rsidRPr="00A012FE" w:rsidTr="007A106C">
        <w:trPr>
          <w:trHeight w:val="1020"/>
        </w:trPr>
        <w:tc>
          <w:tcPr>
            <w:tcW w:w="531" w:type="pct"/>
            <w:vMerge/>
            <w:vAlign w:val="center"/>
            <w:hideMark/>
          </w:tcPr>
          <w:p w:rsidR="00B165C2" w:rsidRPr="00A012FE" w:rsidRDefault="00B165C2" w:rsidP="007A106C">
            <w:pPr>
              <w:rPr>
                <w:sz w:val="20"/>
                <w:szCs w:val="20"/>
              </w:rPr>
            </w:pPr>
          </w:p>
        </w:tc>
        <w:tc>
          <w:tcPr>
            <w:tcW w:w="349" w:type="pct"/>
            <w:shd w:val="clear" w:color="auto" w:fill="auto"/>
            <w:vAlign w:val="center"/>
            <w:hideMark/>
          </w:tcPr>
          <w:p w:rsidR="00B165C2" w:rsidRPr="00A012FE" w:rsidRDefault="00B165C2" w:rsidP="007A106C">
            <w:pPr>
              <w:rPr>
                <w:sz w:val="20"/>
                <w:szCs w:val="20"/>
              </w:rPr>
            </w:pPr>
            <w:r>
              <w:rPr>
                <w:sz w:val="20"/>
                <w:szCs w:val="20"/>
              </w:rPr>
              <w:t>34j</w:t>
            </w:r>
          </w:p>
        </w:tc>
        <w:tc>
          <w:tcPr>
            <w:tcW w:w="1399" w:type="pct"/>
            <w:shd w:val="clear" w:color="auto" w:fill="auto"/>
            <w:vAlign w:val="center"/>
            <w:hideMark/>
          </w:tcPr>
          <w:p w:rsidR="00B165C2" w:rsidRPr="00A012FE" w:rsidRDefault="00B165C2" w:rsidP="007A106C">
            <w:pPr>
              <w:rPr>
                <w:sz w:val="20"/>
                <w:szCs w:val="20"/>
              </w:rPr>
            </w:pPr>
            <w:r w:rsidRPr="00A012FE">
              <w:rPr>
                <w:sz w:val="20"/>
                <w:szCs w:val="20"/>
              </w:rPr>
              <w:t>Zadání zakázky v rozporu s obecnými zásadami Smlouvy o fungování EU při zadávání zak</w:t>
            </w:r>
            <w:r>
              <w:rPr>
                <w:sz w:val="20"/>
                <w:szCs w:val="20"/>
              </w:rPr>
              <w:t xml:space="preserve">ázek (princip transparentnosti, </w:t>
            </w:r>
            <w:r w:rsidRPr="00A012FE">
              <w:rPr>
                <w:sz w:val="20"/>
                <w:szCs w:val="20"/>
              </w:rPr>
              <w:t>nediskriminace a rovného zacházení).</w:t>
            </w:r>
            <w:r>
              <w:rPr>
                <w:sz w:val="20"/>
                <w:szCs w:val="20"/>
              </w:rPr>
              <w:t xml:space="preserve"> (Střet zájmů)</w:t>
            </w:r>
          </w:p>
        </w:tc>
        <w:tc>
          <w:tcPr>
            <w:tcW w:w="625" w:type="pct"/>
            <w:shd w:val="clear" w:color="auto" w:fill="auto"/>
            <w:vAlign w:val="center"/>
            <w:hideMark/>
          </w:tcPr>
          <w:p w:rsidR="00B165C2" w:rsidRPr="00A012FE" w:rsidRDefault="00B165C2" w:rsidP="007A106C">
            <w:pPr>
              <w:rPr>
                <w:sz w:val="20"/>
                <w:szCs w:val="20"/>
              </w:rPr>
            </w:pPr>
            <w:r>
              <w:rPr>
                <w:sz w:val="20"/>
                <w:szCs w:val="20"/>
              </w:rPr>
              <w:t>0 %</w:t>
            </w:r>
          </w:p>
        </w:tc>
        <w:tc>
          <w:tcPr>
            <w:tcW w:w="631" w:type="pct"/>
            <w:shd w:val="clear" w:color="auto" w:fill="auto"/>
            <w:noWrap/>
            <w:vAlign w:val="center"/>
            <w:hideMark/>
          </w:tcPr>
          <w:p w:rsidR="00B165C2" w:rsidRPr="00A012FE" w:rsidRDefault="00B165C2" w:rsidP="007A106C">
            <w:pPr>
              <w:jc w:val="center"/>
              <w:rPr>
                <w:sz w:val="20"/>
                <w:szCs w:val="20"/>
              </w:rPr>
            </w:pPr>
            <w:r w:rsidRPr="00A012FE">
              <w:rPr>
                <w:sz w:val="20"/>
                <w:szCs w:val="20"/>
              </w:rPr>
              <w:t>předložený výdaj z VŘ</w:t>
            </w:r>
          </w:p>
        </w:tc>
        <w:tc>
          <w:tcPr>
            <w:tcW w:w="1465" w:type="pct"/>
            <w:shd w:val="clear" w:color="auto" w:fill="auto"/>
            <w:vAlign w:val="center"/>
            <w:hideMark/>
          </w:tcPr>
          <w:p w:rsidR="00B165C2" w:rsidRPr="00A012FE" w:rsidRDefault="00B165C2" w:rsidP="007A106C">
            <w:pPr>
              <w:pStyle w:val="Textpoznpodarou"/>
            </w:pPr>
            <w:r w:rsidRPr="008A70A7">
              <w:t>Zadavatel nesmí uzavřít smlouvu s uchazečem: a) pokud s</w:t>
            </w:r>
            <w:r>
              <w:t>e</w:t>
            </w:r>
            <w:r w:rsidRPr="008A70A7">
              <w:t xml:space="preserve"> na zpracování uchazečovy nabídky podílel zaměstnanec zadavatele či člen statutárního orgánu, státní orgán, člen realizačního týmu projektu či osoba, která</w:t>
            </w:r>
            <w:r>
              <w:t xml:space="preserve"> na základě smluvního vztahu podílela na zadání předmětného výběrového řízení, b) resp. s uchazečem ve sdružení, který je zaměstnancem zadavatele či členem realizačního týmu, či osobou, která se na základě smluvního vztahu podílela na zadání předmětného výběrového řízení, nebo c) jehož subdodavatelem je zaměstnanec zadavatele, člen realizačního týmu či osoba, která se na základě smluvního vztahu podílela na zadání předmětného výběrového řízení. </w:t>
            </w:r>
          </w:p>
        </w:tc>
      </w:tr>
      <w:tr w:rsidR="00B165C2" w:rsidRPr="00A012FE" w:rsidTr="007A106C">
        <w:trPr>
          <w:trHeight w:val="350"/>
        </w:trPr>
        <w:tc>
          <w:tcPr>
            <w:tcW w:w="531" w:type="pct"/>
            <w:vMerge w:val="restart"/>
            <w:shd w:val="clear" w:color="auto" w:fill="auto"/>
            <w:hideMark/>
          </w:tcPr>
          <w:p w:rsidR="00B165C2" w:rsidRPr="00A012FE" w:rsidRDefault="00B165C2" w:rsidP="007A106C">
            <w:pPr>
              <w:jc w:val="center"/>
              <w:rPr>
                <w:sz w:val="20"/>
                <w:szCs w:val="20"/>
              </w:rPr>
            </w:pPr>
            <w:r>
              <w:rPr>
                <w:sz w:val="20"/>
                <w:szCs w:val="20"/>
              </w:rPr>
              <w:t xml:space="preserve">3. Plnění </w:t>
            </w:r>
            <w:r w:rsidRPr="00A012FE">
              <w:rPr>
                <w:sz w:val="20"/>
                <w:szCs w:val="20"/>
              </w:rPr>
              <w:t>zakázky</w:t>
            </w:r>
          </w:p>
        </w:tc>
        <w:tc>
          <w:tcPr>
            <w:tcW w:w="349" w:type="pct"/>
            <w:vMerge w:val="restart"/>
            <w:shd w:val="clear" w:color="auto" w:fill="auto"/>
            <w:vAlign w:val="center"/>
            <w:hideMark/>
          </w:tcPr>
          <w:p w:rsidR="00B165C2" w:rsidRPr="00A012FE" w:rsidRDefault="00B165C2" w:rsidP="007A106C">
            <w:pPr>
              <w:rPr>
                <w:sz w:val="20"/>
                <w:szCs w:val="20"/>
              </w:rPr>
            </w:pPr>
            <w:r>
              <w:rPr>
                <w:sz w:val="20"/>
                <w:szCs w:val="20"/>
              </w:rPr>
              <w:t>35a</w:t>
            </w:r>
          </w:p>
        </w:tc>
        <w:tc>
          <w:tcPr>
            <w:tcW w:w="1399" w:type="pct"/>
            <w:vMerge w:val="restart"/>
            <w:shd w:val="clear" w:color="auto" w:fill="auto"/>
            <w:vAlign w:val="center"/>
            <w:hideMark/>
          </w:tcPr>
          <w:p w:rsidR="00B165C2" w:rsidRPr="00A012FE" w:rsidRDefault="00B165C2" w:rsidP="007A106C">
            <w:pPr>
              <w:rPr>
                <w:sz w:val="20"/>
                <w:szCs w:val="20"/>
              </w:rPr>
            </w:pPr>
            <w:r w:rsidRPr="00A012FE">
              <w:rPr>
                <w:sz w:val="20"/>
                <w:szCs w:val="20"/>
              </w:rPr>
              <w:t>Podstatná změna smlouvy</w:t>
            </w:r>
            <w:r>
              <w:rPr>
                <w:sz w:val="20"/>
                <w:szCs w:val="20"/>
              </w:rPr>
              <w:t xml:space="preserve"> </w:t>
            </w:r>
            <w:r w:rsidRPr="00A012FE">
              <w:rPr>
                <w:sz w:val="20"/>
                <w:szCs w:val="20"/>
              </w:rPr>
              <w:t>na plnění zakázky, která by mohla mít vliv na výběr nejvhodnější nabídky nebo by umožnila účast jiných uchazečů nebo by měnila ekonomickou rovnováhu smlouvy ve prospěch vybraného uchazeče. (Týká se nedovolené úpravy předmětu zakázky, ceny, doby trvání, povahy prací, subdodavatelů a množství, apod., které byly ve smlouvě specifikovány jinak</w:t>
            </w:r>
            <w:r>
              <w:rPr>
                <w:sz w:val="20"/>
                <w:szCs w:val="20"/>
              </w:rPr>
              <w:t>,</w:t>
            </w:r>
            <w:r w:rsidRPr="00A012FE">
              <w:rPr>
                <w:sz w:val="20"/>
                <w:szCs w:val="20"/>
              </w:rPr>
              <w:t xml:space="preserve"> než byly uvedeny v zadávacích podmínkách nebo v nabídce.)</w:t>
            </w:r>
          </w:p>
        </w:tc>
        <w:tc>
          <w:tcPr>
            <w:tcW w:w="625" w:type="pct"/>
            <w:vMerge w:val="restart"/>
            <w:shd w:val="clear" w:color="auto" w:fill="auto"/>
            <w:vAlign w:val="center"/>
            <w:hideMark/>
          </w:tcPr>
          <w:p w:rsidR="00B165C2" w:rsidRDefault="00B165C2" w:rsidP="007A106C">
            <w:pPr>
              <w:rPr>
                <w:sz w:val="20"/>
                <w:szCs w:val="20"/>
              </w:rPr>
            </w:pPr>
            <w:r>
              <w:rPr>
                <w:sz w:val="20"/>
                <w:szCs w:val="20"/>
              </w:rPr>
              <w:t>75 % nebo</w:t>
            </w:r>
          </w:p>
          <w:p w:rsidR="00B165C2" w:rsidRPr="00A012FE" w:rsidRDefault="00B165C2" w:rsidP="007A106C">
            <w:pPr>
              <w:rPr>
                <w:sz w:val="20"/>
                <w:szCs w:val="20"/>
              </w:rPr>
            </w:pPr>
            <w:r w:rsidRPr="00A012FE">
              <w:rPr>
                <w:sz w:val="20"/>
                <w:szCs w:val="20"/>
              </w:rPr>
              <w:t>0 %</w:t>
            </w:r>
          </w:p>
        </w:tc>
        <w:tc>
          <w:tcPr>
            <w:tcW w:w="631" w:type="pct"/>
            <w:vMerge w:val="restart"/>
            <w:shd w:val="clear" w:color="auto" w:fill="auto"/>
            <w:vAlign w:val="center"/>
            <w:hideMark/>
          </w:tcPr>
          <w:p w:rsidR="00B165C2" w:rsidRPr="00A012FE" w:rsidRDefault="00B165C2" w:rsidP="007A106C">
            <w:pPr>
              <w:rPr>
                <w:sz w:val="20"/>
                <w:szCs w:val="20"/>
              </w:rPr>
            </w:pPr>
            <w:r w:rsidRPr="00A012FE">
              <w:rPr>
                <w:sz w:val="20"/>
                <w:szCs w:val="20"/>
              </w:rPr>
              <w:t>předložený výdaj z</w:t>
            </w:r>
            <w:r>
              <w:rPr>
                <w:sz w:val="20"/>
                <w:szCs w:val="20"/>
              </w:rPr>
              <w:t> </w:t>
            </w:r>
            <w:r w:rsidRPr="00A012FE">
              <w:rPr>
                <w:sz w:val="20"/>
                <w:szCs w:val="20"/>
              </w:rPr>
              <w:t>VŘ</w:t>
            </w:r>
            <w:r>
              <w:rPr>
                <w:sz w:val="20"/>
                <w:szCs w:val="20"/>
              </w:rPr>
              <w:t xml:space="preserve"> a částka přesahující původní nabídkovou cenu</w:t>
            </w:r>
          </w:p>
        </w:tc>
        <w:tc>
          <w:tcPr>
            <w:tcW w:w="1465" w:type="pct"/>
            <w:vMerge w:val="restart"/>
            <w:shd w:val="clear" w:color="auto" w:fill="auto"/>
            <w:vAlign w:val="center"/>
            <w:hideMark/>
          </w:tcPr>
          <w:p w:rsidR="00B165C2" w:rsidRPr="00A012FE" w:rsidRDefault="00B165C2" w:rsidP="007A106C">
            <w:pPr>
              <w:rPr>
                <w:sz w:val="20"/>
                <w:szCs w:val="20"/>
              </w:rPr>
            </w:pPr>
            <w:r w:rsidRPr="00A012FE">
              <w:rPr>
                <w:sz w:val="20"/>
                <w:szCs w:val="20"/>
              </w:rPr>
              <w:t>75</w:t>
            </w:r>
            <w:r>
              <w:rPr>
                <w:sz w:val="20"/>
                <w:szCs w:val="20"/>
              </w:rPr>
              <w:t> </w:t>
            </w:r>
            <w:r w:rsidRPr="00A012FE">
              <w:rPr>
                <w:sz w:val="20"/>
                <w:szCs w:val="20"/>
              </w:rPr>
              <w:t>% z ceny původní zakázky</w:t>
            </w:r>
            <w:r>
              <w:rPr>
                <w:sz w:val="20"/>
                <w:szCs w:val="20"/>
              </w:rPr>
              <w:t xml:space="preserve"> a 0 </w:t>
            </w:r>
            <w:r w:rsidRPr="00A012FE">
              <w:rPr>
                <w:sz w:val="20"/>
                <w:szCs w:val="20"/>
              </w:rPr>
              <w:t>% prominutí částky přesahující původní nabídkovou cenu.</w:t>
            </w:r>
          </w:p>
        </w:tc>
      </w:tr>
      <w:tr w:rsidR="00B165C2" w:rsidRPr="00A012FE" w:rsidTr="007A106C">
        <w:trPr>
          <w:trHeight w:val="350"/>
        </w:trPr>
        <w:tc>
          <w:tcPr>
            <w:tcW w:w="531" w:type="pct"/>
            <w:vMerge/>
            <w:vAlign w:val="center"/>
            <w:hideMark/>
          </w:tcPr>
          <w:p w:rsidR="00B165C2" w:rsidRPr="00A012FE" w:rsidRDefault="00B165C2" w:rsidP="007A106C">
            <w:pPr>
              <w:rPr>
                <w:sz w:val="20"/>
                <w:szCs w:val="20"/>
              </w:rPr>
            </w:pPr>
          </w:p>
        </w:tc>
        <w:tc>
          <w:tcPr>
            <w:tcW w:w="349" w:type="pct"/>
            <w:vMerge/>
            <w:vAlign w:val="center"/>
            <w:hideMark/>
          </w:tcPr>
          <w:p w:rsidR="00B165C2" w:rsidRPr="00A012FE" w:rsidRDefault="00B165C2" w:rsidP="007A106C">
            <w:pPr>
              <w:rPr>
                <w:sz w:val="20"/>
                <w:szCs w:val="20"/>
              </w:rPr>
            </w:pPr>
          </w:p>
        </w:tc>
        <w:tc>
          <w:tcPr>
            <w:tcW w:w="1399" w:type="pct"/>
            <w:vMerge/>
            <w:vAlign w:val="center"/>
            <w:hideMark/>
          </w:tcPr>
          <w:p w:rsidR="00B165C2" w:rsidRPr="00A012FE" w:rsidRDefault="00B165C2" w:rsidP="007A106C">
            <w:pPr>
              <w:rPr>
                <w:sz w:val="20"/>
                <w:szCs w:val="20"/>
              </w:rPr>
            </w:pPr>
          </w:p>
        </w:tc>
        <w:tc>
          <w:tcPr>
            <w:tcW w:w="625" w:type="pct"/>
            <w:vMerge/>
            <w:vAlign w:val="center"/>
            <w:hideMark/>
          </w:tcPr>
          <w:p w:rsidR="00B165C2" w:rsidRPr="00A012FE" w:rsidRDefault="00B165C2" w:rsidP="007A106C">
            <w:pPr>
              <w:rPr>
                <w:sz w:val="20"/>
                <w:szCs w:val="20"/>
              </w:rPr>
            </w:pPr>
          </w:p>
        </w:tc>
        <w:tc>
          <w:tcPr>
            <w:tcW w:w="631" w:type="pct"/>
            <w:vMerge/>
            <w:vAlign w:val="center"/>
            <w:hideMark/>
          </w:tcPr>
          <w:p w:rsidR="00B165C2" w:rsidRPr="00A012FE" w:rsidRDefault="00B165C2" w:rsidP="007A106C">
            <w:pPr>
              <w:rPr>
                <w:sz w:val="20"/>
                <w:szCs w:val="20"/>
              </w:rPr>
            </w:pPr>
          </w:p>
        </w:tc>
        <w:tc>
          <w:tcPr>
            <w:tcW w:w="1465" w:type="pct"/>
            <w:vMerge/>
            <w:vAlign w:val="center"/>
            <w:hideMark/>
          </w:tcPr>
          <w:p w:rsidR="00B165C2" w:rsidRPr="00A012FE" w:rsidRDefault="00B165C2" w:rsidP="007A106C">
            <w:pPr>
              <w:rPr>
                <w:sz w:val="20"/>
                <w:szCs w:val="20"/>
              </w:rPr>
            </w:pPr>
          </w:p>
        </w:tc>
      </w:tr>
      <w:tr w:rsidR="00B165C2" w:rsidRPr="00A012FE" w:rsidTr="007A106C">
        <w:trPr>
          <w:trHeight w:val="1530"/>
        </w:trPr>
        <w:tc>
          <w:tcPr>
            <w:tcW w:w="531" w:type="pct"/>
            <w:vMerge/>
            <w:vAlign w:val="center"/>
            <w:hideMark/>
          </w:tcPr>
          <w:p w:rsidR="00B165C2" w:rsidRPr="00A012FE" w:rsidRDefault="00B165C2" w:rsidP="007A106C">
            <w:pPr>
              <w:rPr>
                <w:sz w:val="20"/>
                <w:szCs w:val="20"/>
              </w:rPr>
            </w:pPr>
          </w:p>
        </w:tc>
        <w:tc>
          <w:tcPr>
            <w:tcW w:w="349" w:type="pct"/>
            <w:shd w:val="clear" w:color="auto" w:fill="auto"/>
            <w:vAlign w:val="center"/>
            <w:hideMark/>
          </w:tcPr>
          <w:p w:rsidR="00B165C2" w:rsidRPr="00A012FE" w:rsidRDefault="00B165C2" w:rsidP="007A106C">
            <w:pPr>
              <w:rPr>
                <w:sz w:val="20"/>
                <w:szCs w:val="20"/>
              </w:rPr>
            </w:pPr>
            <w:r>
              <w:rPr>
                <w:sz w:val="20"/>
                <w:szCs w:val="20"/>
              </w:rPr>
              <w:t>35b</w:t>
            </w:r>
          </w:p>
        </w:tc>
        <w:tc>
          <w:tcPr>
            <w:tcW w:w="1399" w:type="pct"/>
            <w:shd w:val="clear" w:color="auto" w:fill="auto"/>
            <w:vAlign w:val="center"/>
            <w:hideMark/>
          </w:tcPr>
          <w:p w:rsidR="00B165C2" w:rsidRPr="00A012FE" w:rsidRDefault="00B165C2" w:rsidP="007A106C">
            <w:pPr>
              <w:rPr>
                <w:sz w:val="20"/>
                <w:szCs w:val="20"/>
              </w:rPr>
            </w:pPr>
            <w:r w:rsidRPr="00A012FE">
              <w:rPr>
                <w:sz w:val="20"/>
                <w:szCs w:val="20"/>
              </w:rPr>
              <w:t>Snížení rozsahu smlouvy na plnění veřejné zakázky, které by mohlo mít vliv na výběr nejvhodnější nabídky nebo umožnilo účast jiných uchazečů nebo by měnilo ekonomickou rovnováhu smlouvy ve prospěch vybraného uchazeče.</w:t>
            </w:r>
          </w:p>
        </w:tc>
        <w:tc>
          <w:tcPr>
            <w:tcW w:w="625" w:type="pct"/>
            <w:shd w:val="clear" w:color="auto" w:fill="auto"/>
            <w:vAlign w:val="center"/>
            <w:hideMark/>
          </w:tcPr>
          <w:p w:rsidR="00B165C2" w:rsidRPr="00A012FE" w:rsidRDefault="00B165C2" w:rsidP="007A106C">
            <w:pPr>
              <w:rPr>
                <w:sz w:val="20"/>
                <w:szCs w:val="20"/>
              </w:rPr>
            </w:pPr>
            <w:r w:rsidRPr="00A012FE">
              <w:rPr>
                <w:sz w:val="20"/>
                <w:szCs w:val="20"/>
              </w:rPr>
              <w:t>75 %</w:t>
            </w:r>
          </w:p>
        </w:tc>
        <w:tc>
          <w:tcPr>
            <w:tcW w:w="631" w:type="pct"/>
            <w:shd w:val="clear" w:color="auto" w:fill="auto"/>
            <w:noWrap/>
            <w:vAlign w:val="center"/>
            <w:hideMark/>
          </w:tcPr>
          <w:p w:rsidR="00B165C2" w:rsidRPr="00A012FE" w:rsidRDefault="00B165C2" w:rsidP="007A106C">
            <w:pPr>
              <w:rPr>
                <w:sz w:val="20"/>
                <w:szCs w:val="20"/>
              </w:rPr>
            </w:pPr>
            <w:r w:rsidRPr="00A012FE">
              <w:rPr>
                <w:sz w:val="20"/>
                <w:szCs w:val="20"/>
              </w:rPr>
              <w:t>předložený výdaj z VŘ</w:t>
            </w:r>
          </w:p>
        </w:tc>
        <w:tc>
          <w:tcPr>
            <w:tcW w:w="1465" w:type="pct"/>
            <w:shd w:val="clear" w:color="auto" w:fill="auto"/>
            <w:vAlign w:val="center"/>
            <w:hideMark/>
          </w:tcPr>
          <w:p w:rsidR="00B165C2" w:rsidRPr="00A012FE" w:rsidRDefault="00B165C2" w:rsidP="007A106C">
            <w:pPr>
              <w:rPr>
                <w:sz w:val="20"/>
                <w:szCs w:val="20"/>
              </w:rPr>
            </w:pPr>
            <w:r>
              <w:rPr>
                <w:sz w:val="20"/>
                <w:szCs w:val="20"/>
              </w:rPr>
              <w:t xml:space="preserve">75 % </w:t>
            </w:r>
            <w:r w:rsidRPr="00A012FE">
              <w:rPr>
                <w:sz w:val="20"/>
                <w:szCs w:val="20"/>
              </w:rPr>
              <w:t>ze smluvní ceny po jejím snížení.</w:t>
            </w:r>
          </w:p>
        </w:tc>
      </w:tr>
      <w:tr w:rsidR="00B165C2" w:rsidRPr="00A012FE" w:rsidTr="007A106C">
        <w:trPr>
          <w:trHeight w:val="510"/>
        </w:trPr>
        <w:tc>
          <w:tcPr>
            <w:tcW w:w="531" w:type="pct"/>
            <w:vMerge/>
            <w:vAlign w:val="center"/>
            <w:hideMark/>
          </w:tcPr>
          <w:p w:rsidR="00B165C2" w:rsidRPr="00A012FE" w:rsidRDefault="00B165C2" w:rsidP="007A106C">
            <w:pPr>
              <w:rPr>
                <w:sz w:val="20"/>
                <w:szCs w:val="20"/>
              </w:rPr>
            </w:pPr>
          </w:p>
        </w:tc>
        <w:tc>
          <w:tcPr>
            <w:tcW w:w="349" w:type="pct"/>
            <w:vMerge w:val="restart"/>
            <w:shd w:val="clear" w:color="auto" w:fill="auto"/>
            <w:vAlign w:val="center"/>
            <w:hideMark/>
          </w:tcPr>
          <w:p w:rsidR="00B165C2" w:rsidRPr="00A012FE" w:rsidRDefault="00B165C2" w:rsidP="007A106C">
            <w:pPr>
              <w:rPr>
                <w:sz w:val="20"/>
                <w:szCs w:val="20"/>
              </w:rPr>
            </w:pPr>
            <w:r>
              <w:rPr>
                <w:sz w:val="20"/>
                <w:szCs w:val="20"/>
              </w:rPr>
              <w:t>35c</w:t>
            </w:r>
          </w:p>
        </w:tc>
        <w:tc>
          <w:tcPr>
            <w:tcW w:w="1399" w:type="pct"/>
            <w:vMerge w:val="restart"/>
            <w:shd w:val="clear" w:color="auto" w:fill="auto"/>
            <w:vAlign w:val="center"/>
            <w:hideMark/>
          </w:tcPr>
          <w:p w:rsidR="00B165C2" w:rsidRPr="00A012FE" w:rsidRDefault="00B165C2" w:rsidP="007A106C">
            <w:pPr>
              <w:rPr>
                <w:sz w:val="20"/>
                <w:szCs w:val="20"/>
              </w:rPr>
            </w:pPr>
            <w:r w:rsidRPr="00A012FE">
              <w:rPr>
                <w:sz w:val="20"/>
                <w:szCs w:val="20"/>
              </w:rPr>
              <w:t>Původní zakázka byla zadána v souladu s</w:t>
            </w:r>
            <w:r>
              <w:rPr>
                <w:sz w:val="20"/>
                <w:szCs w:val="20"/>
              </w:rPr>
              <w:t>e ZVZ či ZP</w:t>
            </w:r>
            <w:r w:rsidRPr="00A012FE">
              <w:rPr>
                <w:sz w:val="20"/>
                <w:szCs w:val="20"/>
              </w:rPr>
              <w:t xml:space="preserve">, ale dodatečné zakázky byly zadány </w:t>
            </w:r>
            <w:r w:rsidRPr="00A012FE">
              <w:rPr>
                <w:sz w:val="20"/>
                <w:szCs w:val="20"/>
              </w:rPr>
              <w:lastRenderedPageBreak/>
              <w:t xml:space="preserve">v rozporu </w:t>
            </w:r>
            <w:r>
              <w:rPr>
                <w:sz w:val="20"/>
                <w:szCs w:val="20"/>
              </w:rPr>
              <w:t>s důvody uvedenými v ZVZ či ZP </w:t>
            </w:r>
            <w:r w:rsidRPr="00A012FE">
              <w:rPr>
                <w:sz w:val="20"/>
                <w:szCs w:val="20"/>
              </w:rPr>
              <w:t> </w:t>
            </w:r>
          </w:p>
        </w:tc>
        <w:tc>
          <w:tcPr>
            <w:tcW w:w="625" w:type="pct"/>
            <w:shd w:val="clear" w:color="auto" w:fill="auto"/>
            <w:vAlign w:val="center"/>
            <w:hideMark/>
          </w:tcPr>
          <w:p w:rsidR="00B165C2" w:rsidRPr="00A012FE" w:rsidRDefault="00B165C2" w:rsidP="007A106C">
            <w:pPr>
              <w:rPr>
                <w:sz w:val="20"/>
                <w:szCs w:val="20"/>
              </w:rPr>
            </w:pPr>
            <w:r w:rsidRPr="00A012FE">
              <w:rPr>
                <w:sz w:val="20"/>
                <w:szCs w:val="20"/>
              </w:rPr>
              <w:lastRenderedPageBreak/>
              <w:t>0</w:t>
            </w:r>
            <w:r>
              <w:rPr>
                <w:sz w:val="20"/>
                <w:szCs w:val="20"/>
              </w:rPr>
              <w:t xml:space="preserve"> </w:t>
            </w:r>
            <w:r w:rsidRPr="00A012FE">
              <w:rPr>
                <w:sz w:val="20"/>
                <w:szCs w:val="20"/>
              </w:rPr>
              <w:t>%</w:t>
            </w:r>
          </w:p>
        </w:tc>
        <w:tc>
          <w:tcPr>
            <w:tcW w:w="631" w:type="pct"/>
            <w:shd w:val="clear" w:color="auto" w:fill="auto"/>
            <w:noWrap/>
            <w:vAlign w:val="center"/>
            <w:hideMark/>
          </w:tcPr>
          <w:p w:rsidR="00B165C2" w:rsidRPr="00A012FE" w:rsidRDefault="00B165C2" w:rsidP="007A106C">
            <w:pPr>
              <w:rPr>
                <w:sz w:val="20"/>
                <w:szCs w:val="20"/>
              </w:rPr>
            </w:pPr>
            <w:r>
              <w:rPr>
                <w:sz w:val="20"/>
                <w:szCs w:val="20"/>
              </w:rPr>
              <w:t>hodnoty dodatečných zakázek</w:t>
            </w:r>
          </w:p>
        </w:tc>
        <w:tc>
          <w:tcPr>
            <w:tcW w:w="1465" w:type="pct"/>
            <w:shd w:val="clear" w:color="auto" w:fill="auto"/>
            <w:vAlign w:val="center"/>
            <w:hideMark/>
          </w:tcPr>
          <w:p w:rsidR="00B165C2" w:rsidRPr="00A012FE" w:rsidRDefault="00B165C2" w:rsidP="007A106C">
            <w:pPr>
              <w:rPr>
                <w:sz w:val="20"/>
                <w:szCs w:val="20"/>
              </w:rPr>
            </w:pPr>
            <w:r>
              <w:rPr>
                <w:sz w:val="20"/>
                <w:szCs w:val="20"/>
              </w:rPr>
              <w:t>0 % nebo,</w:t>
            </w:r>
          </w:p>
        </w:tc>
      </w:tr>
      <w:tr w:rsidR="00B165C2" w:rsidRPr="00A012FE" w:rsidTr="007A106C">
        <w:trPr>
          <w:trHeight w:val="1275"/>
        </w:trPr>
        <w:tc>
          <w:tcPr>
            <w:tcW w:w="531" w:type="pct"/>
            <w:vMerge/>
            <w:vAlign w:val="center"/>
            <w:hideMark/>
          </w:tcPr>
          <w:p w:rsidR="00B165C2" w:rsidRPr="00A012FE" w:rsidRDefault="00B165C2" w:rsidP="007A106C">
            <w:pPr>
              <w:rPr>
                <w:sz w:val="20"/>
                <w:szCs w:val="20"/>
              </w:rPr>
            </w:pPr>
          </w:p>
        </w:tc>
        <w:tc>
          <w:tcPr>
            <w:tcW w:w="349" w:type="pct"/>
            <w:vMerge/>
            <w:vAlign w:val="center"/>
            <w:hideMark/>
          </w:tcPr>
          <w:p w:rsidR="00B165C2" w:rsidRPr="00A012FE" w:rsidRDefault="00B165C2" w:rsidP="007A106C">
            <w:pPr>
              <w:rPr>
                <w:sz w:val="20"/>
                <w:szCs w:val="20"/>
              </w:rPr>
            </w:pPr>
          </w:p>
        </w:tc>
        <w:tc>
          <w:tcPr>
            <w:tcW w:w="1399" w:type="pct"/>
            <w:vMerge/>
            <w:vAlign w:val="center"/>
            <w:hideMark/>
          </w:tcPr>
          <w:p w:rsidR="00B165C2" w:rsidRPr="00A012FE" w:rsidRDefault="00B165C2" w:rsidP="007A106C">
            <w:pPr>
              <w:rPr>
                <w:sz w:val="20"/>
                <w:szCs w:val="20"/>
              </w:rPr>
            </w:pPr>
          </w:p>
        </w:tc>
        <w:tc>
          <w:tcPr>
            <w:tcW w:w="625" w:type="pct"/>
            <w:shd w:val="clear" w:color="auto" w:fill="auto"/>
            <w:vAlign w:val="center"/>
            <w:hideMark/>
          </w:tcPr>
          <w:p w:rsidR="00B165C2" w:rsidRPr="00A012FE" w:rsidRDefault="00B165C2" w:rsidP="007A106C">
            <w:pPr>
              <w:rPr>
                <w:sz w:val="20"/>
                <w:szCs w:val="20"/>
              </w:rPr>
            </w:pPr>
            <w:r w:rsidRPr="00A012FE">
              <w:rPr>
                <w:sz w:val="20"/>
                <w:szCs w:val="20"/>
              </w:rPr>
              <w:t>75 %</w:t>
            </w:r>
          </w:p>
        </w:tc>
        <w:tc>
          <w:tcPr>
            <w:tcW w:w="631" w:type="pct"/>
            <w:shd w:val="clear" w:color="auto" w:fill="auto"/>
            <w:noWrap/>
            <w:vAlign w:val="center"/>
            <w:hideMark/>
          </w:tcPr>
          <w:p w:rsidR="00B165C2" w:rsidRPr="00A012FE" w:rsidRDefault="00B165C2" w:rsidP="007A106C">
            <w:pPr>
              <w:rPr>
                <w:sz w:val="20"/>
                <w:szCs w:val="20"/>
              </w:rPr>
            </w:pPr>
            <w:r>
              <w:rPr>
                <w:sz w:val="20"/>
                <w:szCs w:val="20"/>
              </w:rPr>
              <w:t xml:space="preserve"> hodnoty dodatečných zakázek</w:t>
            </w:r>
          </w:p>
        </w:tc>
        <w:tc>
          <w:tcPr>
            <w:tcW w:w="1465" w:type="pct"/>
            <w:shd w:val="clear" w:color="auto" w:fill="auto"/>
            <w:vAlign w:val="center"/>
            <w:hideMark/>
          </w:tcPr>
          <w:p w:rsidR="00B165C2" w:rsidRPr="00A012FE" w:rsidRDefault="00B165C2" w:rsidP="007A106C">
            <w:pPr>
              <w:rPr>
                <w:sz w:val="20"/>
                <w:szCs w:val="20"/>
              </w:rPr>
            </w:pPr>
            <w:r>
              <w:rPr>
                <w:sz w:val="20"/>
                <w:szCs w:val="20"/>
              </w:rPr>
              <w:t xml:space="preserve">75 % </w:t>
            </w:r>
            <w:r w:rsidRPr="00A012FE">
              <w:rPr>
                <w:sz w:val="20"/>
                <w:szCs w:val="20"/>
              </w:rPr>
              <w:t xml:space="preserve">z hodnoty dodatečných zakázek v případě, kdy dodatečné zakázky </w:t>
            </w:r>
            <w:r>
              <w:rPr>
                <w:sz w:val="20"/>
                <w:szCs w:val="20"/>
              </w:rPr>
              <w:t>nepřekročí 50 </w:t>
            </w:r>
            <w:r w:rsidRPr="00A012FE">
              <w:rPr>
                <w:sz w:val="20"/>
                <w:szCs w:val="20"/>
              </w:rPr>
              <w:t>% hodnoty původní zakázky.</w:t>
            </w:r>
          </w:p>
        </w:tc>
      </w:tr>
      <w:tr w:rsidR="00B165C2" w:rsidRPr="00A012FE" w:rsidTr="007A106C">
        <w:trPr>
          <w:trHeight w:val="1275"/>
        </w:trPr>
        <w:tc>
          <w:tcPr>
            <w:tcW w:w="531" w:type="pct"/>
            <w:vMerge/>
            <w:tcBorders>
              <w:bottom w:val="single" w:sz="4" w:space="0" w:color="auto"/>
            </w:tcBorders>
            <w:vAlign w:val="center"/>
            <w:hideMark/>
          </w:tcPr>
          <w:p w:rsidR="00B165C2" w:rsidRPr="00A012FE" w:rsidRDefault="00B165C2" w:rsidP="007A106C">
            <w:pPr>
              <w:rPr>
                <w:sz w:val="20"/>
                <w:szCs w:val="20"/>
              </w:rPr>
            </w:pPr>
          </w:p>
        </w:tc>
        <w:tc>
          <w:tcPr>
            <w:tcW w:w="349" w:type="pct"/>
            <w:tcBorders>
              <w:bottom w:val="single" w:sz="4" w:space="0" w:color="auto"/>
            </w:tcBorders>
            <w:shd w:val="clear" w:color="auto" w:fill="auto"/>
            <w:vAlign w:val="center"/>
            <w:hideMark/>
          </w:tcPr>
          <w:p w:rsidR="00B165C2" w:rsidRPr="00A012FE" w:rsidRDefault="00B165C2" w:rsidP="007A106C">
            <w:pPr>
              <w:rPr>
                <w:sz w:val="20"/>
                <w:szCs w:val="20"/>
              </w:rPr>
            </w:pPr>
            <w:r>
              <w:rPr>
                <w:sz w:val="20"/>
                <w:szCs w:val="20"/>
              </w:rPr>
              <w:t>35d</w:t>
            </w:r>
          </w:p>
        </w:tc>
        <w:tc>
          <w:tcPr>
            <w:tcW w:w="1399" w:type="pct"/>
            <w:tcBorders>
              <w:bottom w:val="single" w:sz="4" w:space="0" w:color="auto"/>
            </w:tcBorders>
            <w:shd w:val="clear" w:color="auto" w:fill="auto"/>
            <w:vAlign w:val="center"/>
            <w:hideMark/>
          </w:tcPr>
          <w:p w:rsidR="00B165C2" w:rsidRPr="00A012FE" w:rsidRDefault="00B165C2" w:rsidP="007A106C">
            <w:pPr>
              <w:rPr>
                <w:sz w:val="20"/>
                <w:szCs w:val="20"/>
              </w:rPr>
            </w:pPr>
            <w:r w:rsidRPr="00A012FE">
              <w:rPr>
                <w:sz w:val="20"/>
                <w:szCs w:val="20"/>
              </w:rPr>
              <w:t>Původní zakázka byla zadána v souladu s</w:t>
            </w:r>
            <w:r>
              <w:rPr>
                <w:sz w:val="20"/>
                <w:szCs w:val="20"/>
              </w:rPr>
              <w:t> ZP a ZVZ</w:t>
            </w:r>
            <w:r w:rsidRPr="00A012FE">
              <w:rPr>
                <w:sz w:val="20"/>
                <w:szCs w:val="20"/>
              </w:rPr>
              <w:t> , dodatečné stavební práce nebo služby byly zadány z důvodů uvedených v </w:t>
            </w:r>
            <w:r>
              <w:rPr>
                <w:sz w:val="20"/>
                <w:szCs w:val="20"/>
              </w:rPr>
              <w:t>ZVZ a ZP</w:t>
            </w:r>
            <w:r w:rsidRPr="00A012FE">
              <w:rPr>
                <w:sz w:val="20"/>
                <w:szCs w:val="20"/>
              </w:rPr>
              <w:t>, ale v objemu vyšším než povolené % původní hodnoty zakázky.</w:t>
            </w:r>
          </w:p>
        </w:tc>
        <w:tc>
          <w:tcPr>
            <w:tcW w:w="625" w:type="pct"/>
            <w:tcBorders>
              <w:bottom w:val="single" w:sz="4" w:space="0" w:color="auto"/>
            </w:tcBorders>
            <w:shd w:val="clear" w:color="auto" w:fill="auto"/>
            <w:vAlign w:val="center"/>
            <w:hideMark/>
          </w:tcPr>
          <w:p w:rsidR="00B165C2" w:rsidRDefault="00B165C2" w:rsidP="007A106C">
            <w:pPr>
              <w:rPr>
                <w:sz w:val="20"/>
                <w:szCs w:val="20"/>
              </w:rPr>
            </w:pPr>
            <w:r>
              <w:rPr>
                <w:sz w:val="20"/>
                <w:szCs w:val="20"/>
              </w:rPr>
              <w:t>75 % nebo</w:t>
            </w:r>
          </w:p>
          <w:p w:rsidR="00B165C2" w:rsidRPr="00A012FE" w:rsidRDefault="00B165C2" w:rsidP="007A106C">
            <w:pPr>
              <w:rPr>
                <w:sz w:val="20"/>
                <w:szCs w:val="20"/>
              </w:rPr>
            </w:pPr>
            <w:r w:rsidRPr="00A012FE">
              <w:rPr>
                <w:sz w:val="20"/>
                <w:szCs w:val="20"/>
              </w:rPr>
              <w:t>0 %</w:t>
            </w:r>
          </w:p>
        </w:tc>
        <w:tc>
          <w:tcPr>
            <w:tcW w:w="631" w:type="pct"/>
            <w:tcBorders>
              <w:bottom w:val="single" w:sz="4" w:space="0" w:color="auto"/>
            </w:tcBorders>
            <w:shd w:val="clear" w:color="auto" w:fill="auto"/>
            <w:noWrap/>
            <w:vAlign w:val="center"/>
            <w:hideMark/>
          </w:tcPr>
          <w:p w:rsidR="00B165C2" w:rsidRPr="00A012FE" w:rsidRDefault="00B165C2" w:rsidP="007A106C">
            <w:pPr>
              <w:rPr>
                <w:sz w:val="20"/>
                <w:szCs w:val="20"/>
              </w:rPr>
            </w:pPr>
            <w:r>
              <w:rPr>
                <w:sz w:val="20"/>
                <w:szCs w:val="20"/>
              </w:rPr>
              <w:t>částky přesahující povolené % ceny původní zakázky nebo z částky přesahující 50 % z ceny původní zakázky</w:t>
            </w:r>
          </w:p>
        </w:tc>
        <w:tc>
          <w:tcPr>
            <w:tcW w:w="1465" w:type="pct"/>
            <w:tcBorders>
              <w:bottom w:val="single" w:sz="4" w:space="0" w:color="auto"/>
            </w:tcBorders>
            <w:shd w:val="clear" w:color="auto" w:fill="auto"/>
            <w:vAlign w:val="center"/>
            <w:hideMark/>
          </w:tcPr>
          <w:p w:rsidR="00B165C2" w:rsidRPr="00A012FE" w:rsidRDefault="00B165C2" w:rsidP="007A106C">
            <w:pPr>
              <w:rPr>
                <w:sz w:val="20"/>
                <w:szCs w:val="20"/>
              </w:rPr>
            </w:pPr>
            <w:r>
              <w:rPr>
                <w:sz w:val="20"/>
                <w:szCs w:val="20"/>
              </w:rPr>
              <w:t>75 </w:t>
            </w:r>
            <w:r w:rsidRPr="00A012FE">
              <w:rPr>
                <w:sz w:val="20"/>
                <w:szCs w:val="20"/>
              </w:rPr>
              <w:t>% z částky přesahující po</w:t>
            </w:r>
            <w:r>
              <w:rPr>
                <w:sz w:val="20"/>
                <w:szCs w:val="20"/>
              </w:rPr>
              <w:t xml:space="preserve">volené % ceny původní zakázky a 0 % z částky přesahující 50 </w:t>
            </w:r>
            <w:r w:rsidRPr="00A012FE">
              <w:rPr>
                <w:sz w:val="20"/>
                <w:szCs w:val="20"/>
              </w:rPr>
              <w:t xml:space="preserve">% ceny původní zakázky. </w:t>
            </w:r>
          </w:p>
        </w:tc>
      </w:tr>
      <w:tr w:rsidR="00B165C2" w:rsidRPr="00A012FE" w:rsidTr="007A106C">
        <w:trPr>
          <w:trHeight w:val="1210"/>
        </w:trPr>
        <w:tc>
          <w:tcPr>
            <w:tcW w:w="531"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B165C2" w:rsidRPr="00A012FE" w:rsidRDefault="00B165C2" w:rsidP="007A106C">
            <w:pPr>
              <w:jc w:val="center"/>
              <w:rPr>
                <w:sz w:val="20"/>
                <w:szCs w:val="20"/>
              </w:rPr>
            </w:pPr>
            <w:r w:rsidRPr="00A012FE">
              <w:rPr>
                <w:sz w:val="20"/>
                <w:szCs w:val="20"/>
              </w:rPr>
              <w:t>4. Jiné porušení</w:t>
            </w:r>
          </w:p>
        </w:tc>
        <w:tc>
          <w:tcPr>
            <w:tcW w:w="34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5C2" w:rsidRPr="00A012FE" w:rsidRDefault="00B165C2" w:rsidP="007A106C">
            <w:pPr>
              <w:rPr>
                <w:sz w:val="20"/>
                <w:szCs w:val="20"/>
              </w:rPr>
            </w:pPr>
            <w:r>
              <w:rPr>
                <w:sz w:val="20"/>
                <w:szCs w:val="20"/>
              </w:rPr>
              <w:t>36a</w:t>
            </w:r>
          </w:p>
        </w:tc>
        <w:tc>
          <w:tcPr>
            <w:tcW w:w="13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165C2" w:rsidRPr="00A012FE" w:rsidRDefault="00B165C2" w:rsidP="007A106C">
            <w:pPr>
              <w:rPr>
                <w:sz w:val="20"/>
                <w:szCs w:val="20"/>
              </w:rPr>
            </w:pPr>
            <w:r w:rsidRPr="00A012FE">
              <w:rPr>
                <w:sz w:val="20"/>
                <w:szCs w:val="20"/>
              </w:rPr>
              <w:t>Jiné porušení</w:t>
            </w:r>
            <w:r>
              <w:rPr>
                <w:sz w:val="20"/>
                <w:szCs w:val="20"/>
              </w:rPr>
              <w:t xml:space="preserve"> ZVZ nebo ZP, </w:t>
            </w:r>
            <w:r w:rsidRPr="00A012FE">
              <w:rPr>
                <w:sz w:val="20"/>
                <w:szCs w:val="20"/>
              </w:rPr>
              <w:t>výše neuvedené, které mělo nebo mohlo mít vliv na výběr nejvhodnější nabídky.</w:t>
            </w:r>
          </w:p>
        </w:tc>
        <w:tc>
          <w:tcPr>
            <w:tcW w:w="625" w:type="pct"/>
            <w:tcBorders>
              <w:top w:val="single" w:sz="4" w:space="0" w:color="auto"/>
              <w:left w:val="single" w:sz="4" w:space="0" w:color="auto"/>
              <w:right w:val="single" w:sz="4" w:space="0" w:color="auto"/>
            </w:tcBorders>
            <w:shd w:val="clear" w:color="auto" w:fill="auto"/>
            <w:vAlign w:val="center"/>
            <w:hideMark/>
          </w:tcPr>
          <w:p w:rsidR="00B165C2" w:rsidRPr="00A012FE" w:rsidRDefault="00B165C2" w:rsidP="007A106C">
            <w:pPr>
              <w:rPr>
                <w:sz w:val="20"/>
                <w:szCs w:val="20"/>
              </w:rPr>
            </w:pPr>
            <w:r w:rsidRPr="00A012FE">
              <w:rPr>
                <w:sz w:val="20"/>
                <w:szCs w:val="20"/>
              </w:rPr>
              <w:t>75</w:t>
            </w:r>
            <w:r>
              <w:rPr>
                <w:sz w:val="20"/>
                <w:szCs w:val="20"/>
              </w:rPr>
              <w:t> </w:t>
            </w:r>
            <w:r w:rsidRPr="00A012FE">
              <w:rPr>
                <w:sz w:val="20"/>
                <w:szCs w:val="20"/>
              </w:rPr>
              <w:t>%</w:t>
            </w:r>
            <w:r>
              <w:rPr>
                <w:sz w:val="20"/>
                <w:szCs w:val="20"/>
              </w:rPr>
              <w:t xml:space="preserve"> - 95 %</w:t>
            </w:r>
          </w:p>
        </w:tc>
        <w:tc>
          <w:tcPr>
            <w:tcW w:w="631" w:type="pct"/>
            <w:tcBorders>
              <w:top w:val="single" w:sz="4" w:space="0" w:color="auto"/>
              <w:left w:val="single" w:sz="4" w:space="0" w:color="auto"/>
              <w:right w:val="single" w:sz="4" w:space="0" w:color="auto"/>
            </w:tcBorders>
            <w:shd w:val="clear" w:color="auto" w:fill="auto"/>
            <w:noWrap/>
            <w:vAlign w:val="center"/>
            <w:hideMark/>
          </w:tcPr>
          <w:p w:rsidR="00B165C2" w:rsidRPr="00A012FE" w:rsidRDefault="00B165C2" w:rsidP="007A106C">
            <w:pPr>
              <w:rPr>
                <w:sz w:val="20"/>
                <w:szCs w:val="20"/>
              </w:rPr>
            </w:pPr>
            <w:r>
              <w:rPr>
                <w:sz w:val="20"/>
                <w:szCs w:val="20"/>
              </w:rPr>
              <w:t>předložený výdaj z VŘ</w:t>
            </w:r>
          </w:p>
        </w:tc>
        <w:tc>
          <w:tcPr>
            <w:tcW w:w="1465" w:type="pct"/>
            <w:tcBorders>
              <w:top w:val="single" w:sz="4" w:space="0" w:color="auto"/>
              <w:left w:val="single" w:sz="4" w:space="0" w:color="auto"/>
              <w:right w:val="single" w:sz="4" w:space="0" w:color="auto"/>
            </w:tcBorders>
            <w:shd w:val="clear" w:color="auto" w:fill="auto"/>
            <w:vAlign w:val="center"/>
            <w:hideMark/>
          </w:tcPr>
          <w:p w:rsidR="00B165C2" w:rsidRPr="00A012FE" w:rsidRDefault="00B165C2" w:rsidP="007A106C">
            <w:pPr>
              <w:rPr>
                <w:sz w:val="20"/>
                <w:szCs w:val="20"/>
              </w:rPr>
            </w:pPr>
            <w:r>
              <w:rPr>
                <w:sz w:val="20"/>
                <w:szCs w:val="20"/>
              </w:rPr>
              <w:t>75 %, nebo max. 90 % nebo 95 % s</w:t>
            </w:r>
            <w:r w:rsidRPr="00A012FE">
              <w:rPr>
                <w:sz w:val="20"/>
                <w:szCs w:val="20"/>
              </w:rPr>
              <w:t xml:space="preserve"> ohledem na závažnost porušení.</w:t>
            </w:r>
          </w:p>
          <w:p w:rsidR="00B165C2" w:rsidRPr="00A012FE" w:rsidRDefault="00B165C2" w:rsidP="007A106C">
            <w:pPr>
              <w:rPr>
                <w:sz w:val="20"/>
                <w:szCs w:val="20"/>
              </w:rPr>
            </w:pPr>
          </w:p>
        </w:tc>
      </w:tr>
      <w:tr w:rsidR="00B165C2" w:rsidRPr="00A012FE" w:rsidTr="007A106C">
        <w:trPr>
          <w:trHeight w:val="1530"/>
        </w:trPr>
        <w:tc>
          <w:tcPr>
            <w:tcW w:w="531" w:type="pct"/>
            <w:vMerge/>
            <w:tcBorders>
              <w:top w:val="single" w:sz="4" w:space="0" w:color="auto"/>
            </w:tcBorders>
            <w:vAlign w:val="center"/>
            <w:hideMark/>
          </w:tcPr>
          <w:p w:rsidR="00B165C2" w:rsidRPr="00A012FE" w:rsidRDefault="00B165C2" w:rsidP="007A106C">
            <w:pPr>
              <w:rPr>
                <w:sz w:val="20"/>
                <w:szCs w:val="20"/>
              </w:rPr>
            </w:pPr>
          </w:p>
        </w:tc>
        <w:tc>
          <w:tcPr>
            <w:tcW w:w="349" w:type="pct"/>
            <w:tcBorders>
              <w:top w:val="single" w:sz="4" w:space="0" w:color="auto"/>
            </w:tcBorders>
            <w:shd w:val="clear" w:color="auto" w:fill="auto"/>
            <w:vAlign w:val="center"/>
            <w:hideMark/>
          </w:tcPr>
          <w:p w:rsidR="00B165C2" w:rsidRPr="00A012FE" w:rsidRDefault="00B165C2" w:rsidP="007A106C">
            <w:pPr>
              <w:rPr>
                <w:sz w:val="20"/>
                <w:szCs w:val="20"/>
              </w:rPr>
            </w:pPr>
            <w:r>
              <w:rPr>
                <w:sz w:val="20"/>
                <w:szCs w:val="20"/>
              </w:rPr>
              <w:t>36b</w:t>
            </w:r>
          </w:p>
        </w:tc>
        <w:tc>
          <w:tcPr>
            <w:tcW w:w="1399" w:type="pct"/>
            <w:tcBorders>
              <w:top w:val="single" w:sz="4" w:space="0" w:color="auto"/>
            </w:tcBorders>
            <w:shd w:val="clear" w:color="auto" w:fill="auto"/>
            <w:vAlign w:val="center"/>
          </w:tcPr>
          <w:p w:rsidR="00B165C2" w:rsidRPr="00A012FE" w:rsidRDefault="00B165C2" w:rsidP="007A106C">
            <w:pPr>
              <w:rPr>
                <w:sz w:val="20"/>
                <w:szCs w:val="20"/>
              </w:rPr>
            </w:pPr>
            <w:r>
              <w:rPr>
                <w:sz w:val="20"/>
                <w:szCs w:val="20"/>
              </w:rPr>
              <w:t>Jiné porušení ZVZ nebo ZP výše neuvedené, které nemělo, resp. nemohlo mít vliv na výběr nejvhodnější nabídky.</w:t>
            </w:r>
          </w:p>
        </w:tc>
        <w:tc>
          <w:tcPr>
            <w:tcW w:w="625" w:type="pct"/>
            <w:tcBorders>
              <w:top w:val="single" w:sz="4" w:space="0" w:color="auto"/>
            </w:tcBorders>
            <w:shd w:val="clear" w:color="auto" w:fill="auto"/>
            <w:noWrap/>
            <w:vAlign w:val="center"/>
          </w:tcPr>
          <w:p w:rsidR="00B165C2" w:rsidRPr="00A012FE" w:rsidRDefault="00B165C2" w:rsidP="007A106C">
            <w:pPr>
              <w:rPr>
                <w:sz w:val="20"/>
                <w:szCs w:val="20"/>
              </w:rPr>
            </w:pPr>
          </w:p>
        </w:tc>
        <w:tc>
          <w:tcPr>
            <w:tcW w:w="631" w:type="pct"/>
            <w:tcBorders>
              <w:top w:val="single" w:sz="4" w:space="0" w:color="auto"/>
            </w:tcBorders>
            <w:shd w:val="clear" w:color="auto" w:fill="auto"/>
            <w:noWrap/>
            <w:vAlign w:val="center"/>
            <w:hideMark/>
          </w:tcPr>
          <w:p w:rsidR="00B165C2" w:rsidRPr="00A012FE" w:rsidRDefault="00B165C2" w:rsidP="007A106C">
            <w:pPr>
              <w:rPr>
                <w:sz w:val="20"/>
                <w:szCs w:val="20"/>
              </w:rPr>
            </w:pPr>
          </w:p>
        </w:tc>
        <w:tc>
          <w:tcPr>
            <w:tcW w:w="1465" w:type="pct"/>
            <w:tcBorders>
              <w:top w:val="single" w:sz="4" w:space="0" w:color="auto"/>
            </w:tcBorders>
            <w:shd w:val="clear" w:color="auto" w:fill="auto"/>
            <w:vAlign w:val="center"/>
            <w:hideMark/>
          </w:tcPr>
          <w:p w:rsidR="00B165C2" w:rsidRPr="00A012FE" w:rsidRDefault="00B165C2" w:rsidP="007A106C">
            <w:pPr>
              <w:rPr>
                <w:sz w:val="20"/>
                <w:szCs w:val="20"/>
              </w:rPr>
            </w:pPr>
            <w:r>
              <w:rPr>
                <w:sz w:val="20"/>
                <w:szCs w:val="20"/>
              </w:rPr>
              <w:t>Toto porušení nezakládá žádnou finanční sankci.</w:t>
            </w:r>
          </w:p>
        </w:tc>
      </w:tr>
    </w:tbl>
    <w:p w:rsidR="00B165C2" w:rsidRPr="0097379F" w:rsidRDefault="00B165C2" w:rsidP="00B165C2">
      <w:pPr>
        <w:spacing w:before="120"/>
      </w:pPr>
      <w:r w:rsidRPr="0097379F">
        <w:t>Vysvětlení pojmů:</w:t>
      </w:r>
    </w:p>
    <w:p w:rsidR="00B165C2" w:rsidRPr="0097379F" w:rsidRDefault="00B165C2" w:rsidP="00B165C2">
      <w:r w:rsidRPr="0097379F">
        <w:t>Dotace = částka dosud poskytnutých finančních prostředků</w:t>
      </w:r>
      <w:r>
        <w:t>.</w:t>
      </w:r>
    </w:p>
    <w:p w:rsidR="00B165C2" w:rsidRPr="0097379F" w:rsidRDefault="00B165C2" w:rsidP="00B165C2">
      <w:r w:rsidRPr="0097379F">
        <w:t>Vrácení finančních prostředků = jejich odepsání z účtu příjemce</w:t>
      </w:r>
      <w:r>
        <w:t>.</w:t>
      </w:r>
    </w:p>
    <w:p w:rsidR="00B165C2" w:rsidRPr="0097379F" w:rsidRDefault="00B165C2" w:rsidP="00B165C2">
      <w:r w:rsidRPr="0097379F">
        <w:t>Za vrácení finančních prostředků se pro účely prominutí odvodu považuje mimo vrácení na</w:t>
      </w:r>
      <w:r>
        <w:t> </w:t>
      </w:r>
      <w:r w:rsidRPr="0097379F">
        <w:t xml:space="preserve">projektový účet rovněž vrácení prostředků do </w:t>
      </w:r>
      <w:r w:rsidRPr="0097379F">
        <w:rPr>
          <w:u w:val="single"/>
        </w:rPr>
        <w:t>projektové</w:t>
      </w:r>
      <w:r w:rsidRPr="0097379F">
        <w:t xml:space="preserve"> pokladny, vč. uznání splnění termínu pro vrácení.</w:t>
      </w:r>
    </w:p>
    <w:p w:rsidR="00B165C2" w:rsidRPr="009339AD" w:rsidRDefault="00B165C2" w:rsidP="00B165C2">
      <w:r w:rsidRPr="0097379F">
        <w:t>V případě, že projekt je financován v rámci systému nepřímých nákladů, pak při prominutí</w:t>
      </w:r>
      <w:r w:rsidRPr="009339AD">
        <w:t xml:space="preserve"> </w:t>
      </w:r>
      <w:r w:rsidRPr="0097379F">
        <w:t>přímého nákladu (nebo jeho části) je současně promíjen i s ním spojený náklad nepřímý (nebo jeho část poměrově odpovídající částečnému prominutí nákladu přímého).</w:t>
      </w:r>
    </w:p>
    <w:p w:rsidR="00B165C2" w:rsidRDefault="00B165C2" w:rsidP="00B165C2">
      <w:pPr>
        <w:pStyle w:val="Titulek"/>
        <w:jc w:val="both"/>
        <w:rPr>
          <w:b w:val="0"/>
          <w:sz w:val="24"/>
          <w:szCs w:val="24"/>
        </w:rPr>
      </w:pPr>
      <w:r>
        <w:rPr>
          <w:b w:val="0"/>
          <w:sz w:val="24"/>
          <w:szCs w:val="24"/>
        </w:rPr>
        <w:t>Ve smyslu kapitoly 4. 2. 1. 1 je tento sazebník rovněž určením výše finančních oprav za pochybení ve VZ vyžadované ŘO OP VK a je možné jej aplikovat v oblasti VZ také pro sankce plynoucí z právních aktů uzavřených po 1. 5. 2012, stanovují-li tyto opravy přísnější.</w:t>
      </w:r>
    </w:p>
    <w:p w:rsidR="00E550E8" w:rsidRDefault="00E550E8"/>
    <w:sectPr w:rsidR="00E550E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63934" w:rsidRDefault="00F63934" w:rsidP="00B165C2">
      <w:pPr>
        <w:spacing w:after="0"/>
      </w:pPr>
      <w:r>
        <w:separator/>
      </w:r>
    </w:p>
  </w:endnote>
  <w:endnote w:type="continuationSeparator" w:id="0">
    <w:p w:rsidR="00F63934" w:rsidRDefault="00F63934" w:rsidP="00B165C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63934" w:rsidRDefault="00F63934" w:rsidP="00B165C2">
      <w:pPr>
        <w:spacing w:after="0"/>
      </w:pPr>
      <w:r>
        <w:separator/>
      </w:r>
    </w:p>
  </w:footnote>
  <w:footnote w:type="continuationSeparator" w:id="0">
    <w:p w:rsidR="00F63934" w:rsidRDefault="00F63934" w:rsidP="00B165C2">
      <w:pPr>
        <w:spacing w:after="0"/>
      </w:pPr>
      <w:r>
        <w:continuationSeparator/>
      </w:r>
    </w:p>
  </w:footnote>
  <w:footnote w:id="1">
    <w:p w:rsidR="00B165C2" w:rsidRDefault="00B165C2" w:rsidP="00B165C2">
      <w:pPr>
        <w:pStyle w:val="Textpoznpodarou"/>
      </w:pPr>
      <w:r>
        <w:rPr>
          <w:rStyle w:val="Znakapoznpodarou"/>
        </w:rPr>
        <w:footnoteRef/>
      </w:r>
      <w:r>
        <w:t xml:space="preserve"> Sazby či procentní rozmezí pro možnost prominutí odvodu za PRK představují maximální částku, kterou lze z prostředků OP VK financovat. ZS si mohou v rámci interních postupů sazby upravit, ale pouze za předpokladu přísnějšího postihu porušitele rozpočtové kázně.</w:t>
      </w:r>
    </w:p>
  </w:footnote>
  <w:footnote w:id="2">
    <w:p w:rsidR="00B165C2" w:rsidRDefault="00B165C2" w:rsidP="00B165C2">
      <w:pPr>
        <w:pStyle w:val="Textpoznpodarou"/>
      </w:pPr>
      <w:r w:rsidRPr="004E1D65">
        <w:rPr>
          <w:rStyle w:val="Znakapoznpodarou"/>
        </w:rPr>
        <w:footnoteRef/>
      </w:r>
      <w:r w:rsidRPr="004E1D65">
        <w:t xml:space="preserve"> V případě, že je stanoveno procentuální rozmezí, pak konkrétní procentní sazbu zvolí poskytovatel s přihlédnutím k individuálním okolnostem daného případu a míře pochybení příjemce.</w:t>
      </w:r>
    </w:p>
  </w:footnote>
  <w:footnote w:id="3">
    <w:p w:rsidR="00B165C2" w:rsidRDefault="00B165C2" w:rsidP="00B165C2">
      <w:pPr>
        <w:pStyle w:val="Textpoznpodarou"/>
      </w:pPr>
      <w:r>
        <w:rPr>
          <w:rStyle w:val="Znakapoznpodarou"/>
        </w:rPr>
        <w:footnoteRef/>
      </w:r>
      <w:r>
        <w:t xml:space="preserve"> </w:t>
      </w:r>
      <w:r w:rsidRPr="0011367D">
        <w:t xml:space="preserve">Pod bod č. 9 Sazebníku nemůže být zařazeno pochybení, které vzniklo na základě schválení výdaje v rozpočtu jako neinvestičního a poté došlo k jeho proplacení. Následnou kontrolou bylo zjištěno, že se jedná o investici. Dodatek na podstatnou změnu možný není a prominutí v tomto případě také ne, takové výdaje budou řazeny pod bod </w:t>
      </w:r>
      <w:proofErr w:type="gramStart"/>
      <w:r w:rsidRPr="0011367D">
        <w:t>č. 4</w:t>
      </w:r>
      <w:r>
        <w:t xml:space="preserve"> </w:t>
      </w:r>
      <w:r w:rsidRPr="0011367D">
        <w:t>Sazebníku</w:t>
      </w:r>
      <w:proofErr w:type="gramEnd"/>
      <w:r w:rsidRPr="0011367D">
        <w:t>.</w:t>
      </w:r>
    </w:p>
  </w:footnote>
  <w:footnote w:id="4">
    <w:p w:rsidR="00B165C2" w:rsidRDefault="00B165C2" w:rsidP="00B165C2">
      <w:pPr>
        <w:pStyle w:val="Textpoznpodarou"/>
      </w:pPr>
      <w:r>
        <w:rPr>
          <w:rStyle w:val="Znakapoznpodarou"/>
        </w:rPr>
        <w:footnoteRef/>
      </w:r>
      <w:r>
        <w:t xml:space="preserve"> </w:t>
      </w:r>
      <w:r w:rsidRPr="00022E3C">
        <w:t xml:space="preserve">Pro úplnost je nutno uvést, že stanovení cílových hodnot monitorovacích indikátorů dle pohlaví v projektové žádosti je na relevantních oblastech podpory pouze orientační a jejich nenaplnění není </w:t>
      </w:r>
      <w:proofErr w:type="spellStart"/>
      <w:r w:rsidRPr="00022E3C">
        <w:t>sankcionovatelné</w:t>
      </w:r>
      <w:proofErr w:type="spellEnd"/>
      <w:r w:rsidRPr="00022E3C">
        <w:t>, tj. nejedná se o porušení rozpočtové kázně, viz Metodika monitorovacích indikátorů</w:t>
      </w:r>
    </w:p>
  </w:footnote>
  <w:footnote w:id="5">
    <w:p w:rsidR="00B165C2" w:rsidRDefault="00B165C2" w:rsidP="00B165C2">
      <w:pPr>
        <w:pStyle w:val="Textpoznpodarou"/>
      </w:pPr>
      <w:r w:rsidRPr="00022E3C">
        <w:rPr>
          <w:rStyle w:val="Znakapoznpodarou"/>
        </w:rPr>
        <w:footnoteRef/>
      </w:r>
      <w:r w:rsidRPr="00022E3C">
        <w:t xml:space="preserve"> Důvodem je skutečnost, že indikátor nevypovídá o kvalitě projektu nebo dosažených výsledcích a výstupech, jedná se o statistický indikátor. I přes tuto skutečnost je nutné nedodržení tohoto indikátoru identifikovat jako porušení rozpočtové kázně, protože se jedná o porušení povinnosti stanovené smlouvou. Avšak z výše uvedeného důvodu je v případě tohoto MI možné odvod prominout ze 100 %.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65C2"/>
    <w:rsid w:val="00005F17"/>
    <w:rsid w:val="001D6151"/>
    <w:rsid w:val="006B2FD6"/>
    <w:rsid w:val="00B165C2"/>
    <w:rsid w:val="00E550E8"/>
    <w:rsid w:val="00E96767"/>
    <w:rsid w:val="00F6393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B165C2"/>
    <w:pPr>
      <w:spacing w:after="120" w:line="240" w:lineRule="auto"/>
      <w:jc w:val="both"/>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poznpodarou">
    <w:name w:val="footnote text"/>
    <w:aliases w:val="pozn. pod čarou,Schriftart: 9 pt,Schriftart: 10 pt,Schriftart: 8 pt,Podrozdział,Footnote,Podrozdzia3,Text poznámky pod čiarou 007,Fußnotentextf,Geneva 9,Font: Geneva 9,Boston 10,f,Text pozn. pod čarou Char2"/>
    <w:basedOn w:val="Normln"/>
    <w:link w:val="TextpoznpodarouChar"/>
    <w:uiPriority w:val="99"/>
    <w:unhideWhenUsed/>
    <w:rsid w:val="00B165C2"/>
    <w:rPr>
      <w:sz w:val="20"/>
      <w:szCs w:val="20"/>
    </w:rPr>
  </w:style>
  <w:style w:type="character" w:customStyle="1" w:styleId="TextpoznpodarouChar">
    <w:name w:val="Text pozn. pod čarou Char"/>
    <w:aliases w:val="pozn. pod čarou Char,Schriftart: 9 pt Char,Schriftart: 10 pt Char,Schriftart: 8 pt Char,Podrozdział Char,Footnote Char,Podrozdzia3 Char,Text poznámky pod čiarou 007 Char,Fußnotentextf Char,Geneva 9 Char,Font: Geneva 9 Char"/>
    <w:basedOn w:val="Standardnpsmoodstavce"/>
    <w:link w:val="Textpoznpodarou"/>
    <w:uiPriority w:val="99"/>
    <w:rsid w:val="00B165C2"/>
    <w:rPr>
      <w:rFonts w:ascii="Times New Roman" w:eastAsia="Times New Roman" w:hAnsi="Times New Roman" w:cs="Times New Roman"/>
      <w:sz w:val="20"/>
      <w:szCs w:val="20"/>
      <w:lang w:eastAsia="cs-CZ"/>
    </w:rPr>
  </w:style>
  <w:style w:type="character" w:styleId="Znakapoznpodarou">
    <w:name w:val="footnote reference"/>
    <w:aliases w:val="PGI Fußnote Ziffer,EN Footnote Reference,PGI Fußnote Ziffer + Times New Roman,12 b.,Zúžené o ..."/>
    <w:uiPriority w:val="99"/>
    <w:unhideWhenUsed/>
    <w:rsid w:val="00B165C2"/>
    <w:rPr>
      <w:vertAlign w:val="superscript"/>
    </w:rPr>
  </w:style>
  <w:style w:type="paragraph" w:styleId="Titulek">
    <w:name w:val="caption"/>
    <w:basedOn w:val="Normln"/>
    <w:next w:val="Normln"/>
    <w:qFormat/>
    <w:rsid w:val="00B165C2"/>
    <w:pPr>
      <w:jc w:val="left"/>
    </w:pPr>
    <w:rPr>
      <w:b/>
      <w:sz w:val="28"/>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B165C2"/>
    <w:pPr>
      <w:spacing w:after="120" w:line="240" w:lineRule="auto"/>
      <w:jc w:val="both"/>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poznpodarou">
    <w:name w:val="footnote text"/>
    <w:aliases w:val="pozn. pod čarou,Schriftart: 9 pt,Schriftart: 10 pt,Schriftart: 8 pt,Podrozdział,Footnote,Podrozdzia3,Text poznámky pod čiarou 007,Fußnotentextf,Geneva 9,Font: Geneva 9,Boston 10,f,Text pozn. pod čarou Char2"/>
    <w:basedOn w:val="Normln"/>
    <w:link w:val="TextpoznpodarouChar"/>
    <w:uiPriority w:val="99"/>
    <w:unhideWhenUsed/>
    <w:rsid w:val="00B165C2"/>
    <w:rPr>
      <w:sz w:val="20"/>
      <w:szCs w:val="20"/>
    </w:rPr>
  </w:style>
  <w:style w:type="character" w:customStyle="1" w:styleId="TextpoznpodarouChar">
    <w:name w:val="Text pozn. pod čarou Char"/>
    <w:aliases w:val="pozn. pod čarou Char,Schriftart: 9 pt Char,Schriftart: 10 pt Char,Schriftart: 8 pt Char,Podrozdział Char,Footnote Char,Podrozdzia3 Char,Text poznámky pod čiarou 007 Char,Fußnotentextf Char,Geneva 9 Char,Font: Geneva 9 Char"/>
    <w:basedOn w:val="Standardnpsmoodstavce"/>
    <w:link w:val="Textpoznpodarou"/>
    <w:uiPriority w:val="99"/>
    <w:rsid w:val="00B165C2"/>
    <w:rPr>
      <w:rFonts w:ascii="Times New Roman" w:eastAsia="Times New Roman" w:hAnsi="Times New Roman" w:cs="Times New Roman"/>
      <w:sz w:val="20"/>
      <w:szCs w:val="20"/>
      <w:lang w:eastAsia="cs-CZ"/>
    </w:rPr>
  </w:style>
  <w:style w:type="character" w:styleId="Znakapoznpodarou">
    <w:name w:val="footnote reference"/>
    <w:aliases w:val="PGI Fußnote Ziffer,EN Footnote Reference,PGI Fußnote Ziffer + Times New Roman,12 b.,Zúžené o ..."/>
    <w:uiPriority w:val="99"/>
    <w:unhideWhenUsed/>
    <w:rsid w:val="00B165C2"/>
    <w:rPr>
      <w:vertAlign w:val="superscript"/>
    </w:rPr>
  </w:style>
  <w:style w:type="paragraph" w:styleId="Titulek">
    <w:name w:val="caption"/>
    <w:basedOn w:val="Normln"/>
    <w:next w:val="Normln"/>
    <w:qFormat/>
    <w:rsid w:val="00B165C2"/>
    <w:pPr>
      <w:jc w:val="left"/>
    </w:pPr>
    <w:rPr>
      <w:b/>
      <w:sz w:val="2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2882</Words>
  <Characters>17005</Characters>
  <Application>Microsoft Office Word</Application>
  <DocSecurity>0</DocSecurity>
  <Lines>141</Lines>
  <Paragraphs>39</Paragraphs>
  <ScaleCrop>false</ScaleCrop>
  <HeadingPairs>
    <vt:vector size="2" baseType="variant">
      <vt:variant>
        <vt:lpstr>Název</vt:lpstr>
      </vt:variant>
      <vt:variant>
        <vt:i4>1</vt:i4>
      </vt:variant>
    </vt:vector>
  </HeadingPairs>
  <TitlesOfParts>
    <vt:vector size="1" baseType="lpstr">
      <vt:lpstr/>
    </vt:vector>
  </TitlesOfParts>
  <Company>Krajský úřad Libereckého kraje</Company>
  <LinksUpToDate>false</LinksUpToDate>
  <CharactersWithSpaces>19848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Klimova Alena</dc:creator>
  <cp:lastModifiedBy>Horakova Eva</cp:lastModifiedBy>
  <cp:revision>3</cp:revision>
  <dcterms:created xsi:type="dcterms:W3CDTF">2015-02-19T07:31:00Z</dcterms:created>
  <dcterms:modified xsi:type="dcterms:W3CDTF">2015-02-23T11:21:00Z</dcterms:modified>
</cp:coreProperties>
</file>