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20" w:rsidRPr="001D0DFF" w:rsidRDefault="00393401" w:rsidP="00EC6920">
      <w:pPr>
        <w:pStyle w:val="Nzev"/>
        <w:pBdr>
          <w:bottom w:val="single" w:sz="4" w:space="1" w:color="auto"/>
        </w:pBdr>
        <w:jc w:val="center"/>
        <w:outlineLvl w:val="0"/>
        <w:rPr>
          <w:b/>
          <w:color w:val="auto"/>
          <w:sz w:val="32"/>
          <w:szCs w:val="32"/>
        </w:rPr>
      </w:pPr>
      <w:r>
        <w:rPr>
          <w:b/>
          <w:color w:val="auto"/>
          <w:sz w:val="32"/>
          <w:szCs w:val="32"/>
        </w:rPr>
        <w:t>PÍSEMNÁ INFORMACE pro 5</w:t>
      </w:r>
      <w:r w:rsidR="00EC6920" w:rsidRPr="001D0DFF">
        <w:rPr>
          <w:b/>
          <w:color w:val="auto"/>
          <w:sz w:val="32"/>
          <w:szCs w:val="32"/>
        </w:rPr>
        <w:t>. jednání Zastupitelstva LK</w:t>
      </w:r>
    </w:p>
    <w:p w:rsidR="00EC6920" w:rsidRPr="001D0DFF" w:rsidRDefault="00393401" w:rsidP="00EC6920">
      <w:pPr>
        <w:pStyle w:val="Nzev"/>
        <w:pBdr>
          <w:bottom w:val="single" w:sz="4" w:space="1" w:color="auto"/>
        </w:pBdr>
        <w:jc w:val="center"/>
        <w:rPr>
          <w:b/>
          <w:color w:val="auto"/>
          <w:sz w:val="32"/>
          <w:szCs w:val="32"/>
        </w:rPr>
      </w:pPr>
      <w:r>
        <w:rPr>
          <w:b/>
          <w:color w:val="auto"/>
          <w:sz w:val="32"/>
          <w:szCs w:val="32"/>
        </w:rPr>
        <w:t>dne 26</w:t>
      </w:r>
      <w:r w:rsidR="00EC6920" w:rsidRPr="001D0DFF">
        <w:rPr>
          <w:b/>
          <w:color w:val="auto"/>
          <w:sz w:val="32"/>
          <w:szCs w:val="32"/>
        </w:rPr>
        <w:t>.</w:t>
      </w:r>
      <w:r w:rsidR="00EC6920">
        <w:rPr>
          <w:b/>
          <w:color w:val="auto"/>
          <w:sz w:val="32"/>
          <w:szCs w:val="32"/>
        </w:rPr>
        <w:t xml:space="preserve"> </w:t>
      </w:r>
      <w:r>
        <w:rPr>
          <w:b/>
          <w:color w:val="auto"/>
          <w:sz w:val="32"/>
          <w:szCs w:val="32"/>
        </w:rPr>
        <w:t>5</w:t>
      </w:r>
      <w:r w:rsidR="00EC6920" w:rsidRPr="001D0DFF">
        <w:rPr>
          <w:b/>
          <w:color w:val="auto"/>
          <w:sz w:val="32"/>
          <w:szCs w:val="32"/>
        </w:rPr>
        <w:t>.</w:t>
      </w:r>
      <w:r w:rsidR="00EC6920">
        <w:rPr>
          <w:b/>
          <w:color w:val="auto"/>
          <w:sz w:val="32"/>
          <w:szCs w:val="32"/>
        </w:rPr>
        <w:t xml:space="preserve"> </w:t>
      </w:r>
      <w:r w:rsidR="00EC6920" w:rsidRPr="001D0DFF">
        <w:rPr>
          <w:b/>
          <w:color w:val="auto"/>
          <w:sz w:val="32"/>
          <w:szCs w:val="32"/>
        </w:rPr>
        <w:t>2015</w:t>
      </w:r>
    </w:p>
    <w:p w:rsidR="00EC6920" w:rsidRPr="00B52E2C" w:rsidRDefault="00EC6920" w:rsidP="00EC6920">
      <w:pPr>
        <w:jc w:val="center"/>
        <w:rPr>
          <w:b/>
          <w:bCs/>
          <w:sz w:val="32"/>
          <w:szCs w:val="32"/>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Pr="00B52E2C" w:rsidRDefault="00EC6920" w:rsidP="00EC6920">
      <w:pPr>
        <w:jc w:val="center"/>
        <w:rPr>
          <w:b/>
          <w:bCs/>
        </w:rPr>
      </w:pPr>
    </w:p>
    <w:p w:rsidR="00EC6920" w:rsidRDefault="00E234E3" w:rsidP="00EC6920">
      <w:pPr>
        <w:jc w:val="center"/>
        <w:rPr>
          <w:b/>
          <w:bCs/>
        </w:rPr>
      </w:pPr>
      <w:r>
        <w:rPr>
          <w:b/>
          <w:bCs/>
        </w:rPr>
        <w:t>47</w:t>
      </w:r>
      <w:bookmarkStart w:id="0" w:name="_GoBack"/>
      <w:bookmarkEnd w:id="0"/>
      <w:r w:rsidR="007531EA">
        <w:rPr>
          <w:b/>
          <w:bCs/>
        </w:rPr>
        <w:t xml:space="preserve"> </w:t>
      </w:r>
      <w:r w:rsidR="00430049">
        <w:rPr>
          <w:b/>
          <w:bCs/>
        </w:rPr>
        <w:t>e</w:t>
      </w:r>
      <w:r w:rsidR="00EC6920">
        <w:rPr>
          <w:b/>
          <w:bCs/>
        </w:rPr>
        <w:t>)</w:t>
      </w:r>
    </w:p>
    <w:p w:rsidR="0044195B" w:rsidRPr="00B52E2C" w:rsidRDefault="0044195B" w:rsidP="00EC6920">
      <w:pPr>
        <w:jc w:val="center"/>
        <w:rPr>
          <w:b/>
          <w:bCs/>
        </w:rPr>
      </w:pPr>
    </w:p>
    <w:p w:rsidR="00EC6920" w:rsidRPr="00B52E2C" w:rsidRDefault="0044195B" w:rsidP="00EC6920">
      <w:pPr>
        <w:jc w:val="center"/>
        <w:rPr>
          <w:b/>
          <w:bCs/>
          <w:sz w:val="28"/>
          <w:u w:val="single"/>
        </w:rPr>
      </w:pPr>
      <w:bookmarkStart w:id="1" w:name="Text37"/>
      <w:r w:rsidRPr="00E7381C">
        <w:rPr>
          <w:b/>
        </w:rPr>
        <w:t>Provozně výrobní plán běžné údržby silnic II. a III. třídy na rok 2015</w:t>
      </w:r>
      <w:bookmarkEnd w:id="1"/>
      <w:r>
        <w:rPr>
          <w:b/>
        </w:rPr>
        <w:t xml:space="preserve"> </w:t>
      </w: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rPr>
          <w:b/>
          <w:bCs/>
          <w:sz w:val="28"/>
          <w:u w:val="single"/>
        </w:rPr>
      </w:pPr>
    </w:p>
    <w:p w:rsidR="00EC6920" w:rsidRPr="00B52E2C" w:rsidRDefault="00EC6920" w:rsidP="00EC6920">
      <w:pPr>
        <w:jc w:val="center"/>
        <w:rPr>
          <w:b/>
          <w:bCs/>
          <w:sz w:val="28"/>
          <w:u w:val="single"/>
        </w:rPr>
      </w:pPr>
    </w:p>
    <w:p w:rsidR="00EC6920" w:rsidRPr="00B52E2C" w:rsidRDefault="00EC6920" w:rsidP="00EC6920">
      <w:pPr>
        <w:jc w:val="center"/>
        <w:rPr>
          <w:b/>
          <w:bCs/>
          <w:sz w:val="28"/>
          <w:u w:val="single"/>
        </w:rPr>
      </w:pPr>
    </w:p>
    <w:p w:rsidR="00EC6920" w:rsidRPr="00B52E2C" w:rsidRDefault="00EC6920" w:rsidP="00EC6920">
      <w:pPr>
        <w:rPr>
          <w:b/>
          <w:bCs/>
          <w:sz w:val="28"/>
          <w:u w:val="single"/>
        </w:rPr>
      </w:pPr>
    </w:p>
    <w:tbl>
      <w:tblPr>
        <w:tblW w:w="0" w:type="auto"/>
        <w:tblCellMar>
          <w:left w:w="70" w:type="dxa"/>
          <w:right w:w="70" w:type="dxa"/>
        </w:tblCellMar>
        <w:tblLook w:val="0000" w:firstRow="0" w:lastRow="0" w:firstColumn="0" w:lastColumn="0" w:noHBand="0" w:noVBand="0"/>
      </w:tblPr>
      <w:tblGrid>
        <w:gridCol w:w="2050"/>
        <w:gridCol w:w="7160"/>
      </w:tblGrid>
      <w:tr w:rsidR="00EC6920" w:rsidRPr="00B52E2C" w:rsidTr="003101BB">
        <w:tc>
          <w:tcPr>
            <w:tcW w:w="2050" w:type="dxa"/>
          </w:tcPr>
          <w:p w:rsidR="00EC6920" w:rsidRPr="00B52E2C" w:rsidRDefault="00EC6920" w:rsidP="003101BB"/>
        </w:tc>
        <w:tc>
          <w:tcPr>
            <w:tcW w:w="7160" w:type="dxa"/>
          </w:tcPr>
          <w:p w:rsidR="00EC6920" w:rsidRPr="00B52E2C" w:rsidRDefault="00EC6920" w:rsidP="003101BB">
            <w:pPr>
              <w:pStyle w:val="Zhlav"/>
              <w:tabs>
                <w:tab w:val="clear" w:pos="4536"/>
                <w:tab w:val="clear" w:pos="9072"/>
              </w:tabs>
            </w:pPr>
          </w:p>
        </w:tc>
      </w:tr>
      <w:tr w:rsidR="00EC6920" w:rsidRPr="00B52E2C" w:rsidTr="003101BB">
        <w:tc>
          <w:tcPr>
            <w:tcW w:w="2050" w:type="dxa"/>
          </w:tcPr>
          <w:p w:rsidR="00EC6920" w:rsidRPr="00B52E2C" w:rsidRDefault="00EC6920" w:rsidP="003101BB"/>
        </w:tc>
        <w:tc>
          <w:tcPr>
            <w:tcW w:w="7160" w:type="dxa"/>
          </w:tcPr>
          <w:p w:rsidR="00EC6920" w:rsidRPr="00B52E2C" w:rsidRDefault="00EC6920" w:rsidP="003101BB"/>
        </w:tc>
      </w:tr>
      <w:tr w:rsidR="00EC6920" w:rsidRPr="00B52E2C" w:rsidTr="003101BB">
        <w:tc>
          <w:tcPr>
            <w:tcW w:w="2050" w:type="dxa"/>
          </w:tcPr>
          <w:p w:rsidR="00EC6920" w:rsidRPr="00B52E2C" w:rsidRDefault="00EC6920" w:rsidP="003101BB">
            <w:r w:rsidRPr="00B52E2C">
              <w:t>Zpracoval:</w:t>
            </w:r>
          </w:p>
        </w:tc>
        <w:tc>
          <w:tcPr>
            <w:tcW w:w="7160" w:type="dxa"/>
          </w:tcPr>
          <w:p w:rsidR="00EC6920" w:rsidRPr="00B52E2C" w:rsidRDefault="00EC6920" w:rsidP="003101BB">
            <w:r w:rsidRPr="00B52E2C">
              <w:t xml:space="preserve">Ing. Jan Čáp </w:t>
            </w:r>
          </w:p>
        </w:tc>
      </w:tr>
      <w:tr w:rsidR="00EC6920" w:rsidRPr="00B52E2C" w:rsidTr="003101BB">
        <w:tc>
          <w:tcPr>
            <w:tcW w:w="2050" w:type="dxa"/>
          </w:tcPr>
          <w:p w:rsidR="00EC6920" w:rsidRPr="00B52E2C" w:rsidRDefault="00EC6920" w:rsidP="003101BB"/>
        </w:tc>
        <w:tc>
          <w:tcPr>
            <w:tcW w:w="7160" w:type="dxa"/>
          </w:tcPr>
          <w:p w:rsidR="00EC6920" w:rsidRPr="00B52E2C" w:rsidRDefault="00EC6920" w:rsidP="003101BB">
            <w:r w:rsidRPr="00B52E2C">
              <w:t>vedoucí odboru dopravy</w:t>
            </w:r>
          </w:p>
        </w:tc>
      </w:tr>
      <w:tr w:rsidR="00EC6920" w:rsidRPr="00B52E2C" w:rsidTr="003101BB">
        <w:tc>
          <w:tcPr>
            <w:tcW w:w="2050" w:type="dxa"/>
          </w:tcPr>
          <w:p w:rsidR="00EC6920" w:rsidRPr="00B52E2C" w:rsidRDefault="00EC6920" w:rsidP="003101BB"/>
        </w:tc>
        <w:tc>
          <w:tcPr>
            <w:tcW w:w="7160" w:type="dxa"/>
          </w:tcPr>
          <w:p w:rsidR="00EC6920" w:rsidRPr="00B52E2C" w:rsidRDefault="00EC6920" w:rsidP="003101BB"/>
        </w:tc>
      </w:tr>
      <w:tr w:rsidR="00EC6920" w:rsidRPr="00B52E2C" w:rsidTr="003101BB">
        <w:tc>
          <w:tcPr>
            <w:tcW w:w="2050" w:type="dxa"/>
          </w:tcPr>
          <w:p w:rsidR="00EC6920" w:rsidRPr="00B52E2C" w:rsidRDefault="00EC6920" w:rsidP="003101BB">
            <w:r w:rsidRPr="00B52E2C">
              <w:t>Předkládá:</w:t>
            </w:r>
          </w:p>
        </w:tc>
        <w:tc>
          <w:tcPr>
            <w:tcW w:w="7160" w:type="dxa"/>
          </w:tcPr>
          <w:p w:rsidR="00EC6920" w:rsidRPr="00B52E2C" w:rsidRDefault="00EC6920" w:rsidP="003101BB">
            <w:r w:rsidRPr="00B52E2C">
              <w:t xml:space="preserve">Vladimír Mastník  </w:t>
            </w:r>
          </w:p>
        </w:tc>
      </w:tr>
      <w:tr w:rsidR="00EC6920" w:rsidRPr="00B52E2C" w:rsidTr="003101BB">
        <w:tc>
          <w:tcPr>
            <w:tcW w:w="2050" w:type="dxa"/>
          </w:tcPr>
          <w:p w:rsidR="00EC6920" w:rsidRPr="00B52E2C" w:rsidRDefault="00EC6920" w:rsidP="003101BB"/>
        </w:tc>
        <w:tc>
          <w:tcPr>
            <w:tcW w:w="7160" w:type="dxa"/>
          </w:tcPr>
          <w:p w:rsidR="00EC6920" w:rsidRPr="00B52E2C" w:rsidRDefault="00EC6920" w:rsidP="003101BB">
            <w:r>
              <w:t>člen rady kraje, řízení resortu dopravy</w:t>
            </w:r>
          </w:p>
        </w:tc>
      </w:tr>
    </w:tbl>
    <w:p w:rsidR="00EC6920" w:rsidRDefault="00EC6920" w:rsidP="00EC6920">
      <w:pPr>
        <w:pStyle w:val="Zhlav"/>
        <w:tabs>
          <w:tab w:val="clear" w:pos="4536"/>
          <w:tab w:val="clear" w:pos="9072"/>
        </w:tabs>
        <w:spacing w:before="120" w:after="120"/>
        <w:rPr>
          <w:rFonts w:ascii="Garamond" w:eastAsia="MS Mincho" w:hAnsi="Garamond"/>
        </w:rPr>
      </w:pPr>
    </w:p>
    <w:p w:rsidR="002957DC" w:rsidRDefault="002957DC">
      <w:pPr>
        <w:spacing w:after="200" w:line="276" w:lineRule="auto"/>
      </w:pPr>
      <w:r>
        <w:br w:type="page"/>
      </w:r>
    </w:p>
    <w:p w:rsidR="002957DC" w:rsidRPr="002957DC" w:rsidRDefault="002957DC" w:rsidP="002957DC">
      <w:pPr>
        <w:jc w:val="center"/>
        <w:rPr>
          <w:b/>
          <w:sz w:val="28"/>
          <w:szCs w:val="28"/>
        </w:rPr>
      </w:pPr>
      <w:r w:rsidRPr="002957DC">
        <w:rPr>
          <w:b/>
          <w:sz w:val="28"/>
          <w:szCs w:val="28"/>
        </w:rPr>
        <w:lastRenderedPageBreak/>
        <w:t>Důvodová zpráva</w:t>
      </w:r>
    </w:p>
    <w:p w:rsidR="002957DC" w:rsidRDefault="002957DC" w:rsidP="002957DC">
      <w:pPr>
        <w:jc w:val="both"/>
      </w:pPr>
    </w:p>
    <w:p w:rsidR="002957DC" w:rsidRDefault="002957DC" w:rsidP="002957DC">
      <w:pPr>
        <w:jc w:val="both"/>
      </w:pPr>
      <w:r>
        <w:t xml:space="preserve">Rada Libereckého kraje na svém 1. zasedání dne 13. 1. 2015 schválila dodatek č. 5 k příkazní smlouvě č. OLP/586/2013 uzavíranou mezi Libereckým krajem, IČ: 70891508, a společností </w:t>
      </w:r>
      <w:r>
        <w:rPr>
          <w:rStyle w:val="tsubjname"/>
        </w:rPr>
        <w:t>Silnice LK a.s.</w:t>
      </w:r>
      <w:r>
        <w:t>, IČ: 28746503, kterou se sjednal maximální objem prací do výše 226.000.000 Kč na období od 1. 1. 2015 do 31. 12. 2015 a dále dodatkem ke smlouvě došlo k úpravě ustanovení bodu 4.2. příkazní smlouvy, kterým se uložila povinnost společnosti SILNICE LK, a.s., zpracovat podrobný týdenní plán základních činností údržby pozemních komunikací.</w:t>
      </w:r>
    </w:p>
    <w:p w:rsidR="002957DC" w:rsidRDefault="002957DC" w:rsidP="002957DC">
      <w:r>
        <w:t xml:space="preserve"> </w:t>
      </w:r>
    </w:p>
    <w:p w:rsidR="002957DC" w:rsidRDefault="002957DC" w:rsidP="002957DC">
      <w:pPr>
        <w:jc w:val="both"/>
      </w:pPr>
      <w:r>
        <w:t>Ustanovení bodu 4.2. příkazní smlouvy:</w:t>
      </w:r>
    </w:p>
    <w:p w:rsidR="002957DC" w:rsidRDefault="002957DC" w:rsidP="002957DC">
      <w:pPr>
        <w:jc w:val="both"/>
      </w:pPr>
    </w:p>
    <w:p w:rsidR="002957DC" w:rsidRDefault="002957DC" w:rsidP="002957DC">
      <w:pPr>
        <w:jc w:val="both"/>
        <w:rPr>
          <w:i/>
        </w:rPr>
      </w:pPr>
      <w:r>
        <w:rPr>
          <w:i/>
        </w:rPr>
        <w:t xml:space="preserve"> „Příkazník je povinen zpracovat Provozně výrobní plán dle písemných pokynů příkazce, předaných příkazníkovi nejpozději do 31.3. aktuálního kalendářního roku, a předložit jej každoročně nejdéle do 15. 4. kalendářního roku příkazci ke schválení. </w:t>
      </w:r>
    </w:p>
    <w:p w:rsidR="002957DC" w:rsidRDefault="002957DC" w:rsidP="002957DC">
      <w:pPr>
        <w:jc w:val="both"/>
        <w:rPr>
          <w:i/>
        </w:rPr>
      </w:pPr>
      <w:r>
        <w:rPr>
          <w:i/>
        </w:rPr>
        <w:t>U těchto činností:</w:t>
      </w:r>
    </w:p>
    <w:p w:rsidR="002957DC" w:rsidRDefault="002957DC" w:rsidP="002957DC">
      <w:pPr>
        <w:numPr>
          <w:ilvl w:val="0"/>
          <w:numId w:val="1"/>
        </w:numPr>
        <w:autoSpaceDE w:val="0"/>
        <w:autoSpaceDN w:val="0"/>
        <w:adjustRightInd w:val="0"/>
        <w:spacing w:before="120"/>
        <w:jc w:val="both"/>
        <w:rPr>
          <w:i/>
        </w:rPr>
      </w:pPr>
      <w:r>
        <w:rPr>
          <w:i/>
        </w:rPr>
        <w:t>úklid po zimě (strojní zametání silnic),</w:t>
      </w:r>
    </w:p>
    <w:p w:rsidR="002957DC" w:rsidRDefault="002957DC" w:rsidP="002957DC">
      <w:pPr>
        <w:numPr>
          <w:ilvl w:val="0"/>
          <w:numId w:val="1"/>
        </w:numPr>
        <w:autoSpaceDE w:val="0"/>
        <w:autoSpaceDN w:val="0"/>
        <w:adjustRightInd w:val="0"/>
        <w:jc w:val="both"/>
        <w:rPr>
          <w:i/>
        </w:rPr>
      </w:pPr>
      <w:r>
        <w:rPr>
          <w:i/>
        </w:rPr>
        <w:t>plánované zametání intravilánu v průběhu roku,</w:t>
      </w:r>
    </w:p>
    <w:p w:rsidR="002957DC" w:rsidRDefault="002957DC" w:rsidP="002957DC">
      <w:pPr>
        <w:numPr>
          <w:ilvl w:val="0"/>
          <w:numId w:val="1"/>
        </w:numPr>
        <w:autoSpaceDE w:val="0"/>
        <w:autoSpaceDN w:val="0"/>
        <w:adjustRightInd w:val="0"/>
        <w:jc w:val="both"/>
        <w:rPr>
          <w:i/>
        </w:rPr>
      </w:pPr>
      <w:r>
        <w:rPr>
          <w:i/>
        </w:rPr>
        <w:t>strojní sekání trávy podél silnic II. a III. třídy,</w:t>
      </w:r>
    </w:p>
    <w:p w:rsidR="002957DC" w:rsidRDefault="002957DC" w:rsidP="002957DC">
      <w:pPr>
        <w:numPr>
          <w:ilvl w:val="0"/>
          <w:numId w:val="1"/>
        </w:numPr>
        <w:autoSpaceDE w:val="0"/>
        <w:autoSpaceDN w:val="0"/>
        <w:adjustRightInd w:val="0"/>
        <w:jc w:val="both"/>
        <w:rPr>
          <w:i/>
        </w:rPr>
      </w:pPr>
      <w:r>
        <w:rPr>
          <w:i/>
        </w:rPr>
        <w:t>opravy komunikací (do upravených a neupravených obrazců),</w:t>
      </w:r>
    </w:p>
    <w:p w:rsidR="002957DC" w:rsidRDefault="002957DC" w:rsidP="002957DC">
      <w:pPr>
        <w:numPr>
          <w:ilvl w:val="0"/>
          <w:numId w:val="1"/>
        </w:numPr>
        <w:autoSpaceDE w:val="0"/>
        <w:autoSpaceDN w:val="0"/>
        <w:adjustRightInd w:val="0"/>
        <w:jc w:val="both"/>
        <w:rPr>
          <w:i/>
        </w:rPr>
      </w:pPr>
      <w:r>
        <w:rPr>
          <w:i/>
        </w:rPr>
        <w:t>položky vodorovného dopravního značení</w:t>
      </w:r>
    </w:p>
    <w:p w:rsidR="002957DC" w:rsidRDefault="002957DC" w:rsidP="002957DC">
      <w:pPr>
        <w:spacing w:before="120"/>
        <w:jc w:val="both"/>
        <w:rPr>
          <w:i/>
        </w:rPr>
      </w:pPr>
      <w:r>
        <w:rPr>
          <w:i/>
        </w:rPr>
        <w:t>zpracuje příkazník plánovaný týdenní rozpis obsahující lokalizaci a objem jednotlivých činností.</w:t>
      </w:r>
    </w:p>
    <w:p w:rsidR="002957DC" w:rsidRDefault="002957DC" w:rsidP="002957DC">
      <w:pPr>
        <w:spacing w:before="120"/>
        <w:jc w:val="both"/>
        <w:rPr>
          <w:i/>
        </w:rPr>
      </w:pPr>
      <w:r>
        <w:rPr>
          <w:i/>
        </w:rPr>
        <w:t>V případě, že předložený Provozně výrobní plán a týdenní rozpis nebude schválen, je příkazník povinen bezodkladně upravit nebo přepracovat Provozně výrobní plán a týdenní rozpis dle připomínek příkazce a opětovně jej předložit ke schválení. Pokud v průběhu platnosti Provozně výrobního plánu vyvstane potřeba jeho změny, je příkazník povinen bez zbytečného odkladu poté, co k tomu bude ze strany příkazce vyzván, Provozně výrobní plán změnit dle pokynu příkazce a jeho změněnou verzi předložit příkazci ke schválení. Okamžikem schválení ze strany příkazce se změněný Provozně výrobní plán stává pro příkazníka závazný.</w:t>
      </w:r>
    </w:p>
    <w:p w:rsidR="002957DC" w:rsidRDefault="002957DC" w:rsidP="002957DC">
      <w:pPr>
        <w:spacing w:before="120"/>
        <w:jc w:val="both"/>
        <w:rPr>
          <w:i/>
        </w:rPr>
      </w:pPr>
      <w:r>
        <w:rPr>
          <w:i/>
        </w:rPr>
        <w:t>Příkazník bude pravidelně vždy k poslednímu dni kalendářního měsíce aktualizovat plnění Provozně výrobní plán a týdenního rozpisu a předávat je Příkazci.“</w:t>
      </w:r>
    </w:p>
    <w:p w:rsidR="002957DC" w:rsidRDefault="002957DC" w:rsidP="002957DC">
      <w:pPr>
        <w:jc w:val="both"/>
      </w:pPr>
    </w:p>
    <w:p w:rsidR="002957DC" w:rsidRDefault="002957DC" w:rsidP="002957DC">
      <w:pPr>
        <w:jc w:val="both"/>
      </w:pPr>
      <w:r>
        <w:t xml:space="preserve">Plán obnovy vodorovného dopravního značení na silnicích II. a III. třídy v Libereckém kraji v roce 2015 byl již Radou Libereckého kraje schválen na 4. zasedání dne 17. 3. 2015. </w:t>
      </w:r>
    </w:p>
    <w:p w:rsidR="002957DC" w:rsidRDefault="002957DC" w:rsidP="002957DC">
      <w:pPr>
        <w:jc w:val="both"/>
      </w:pPr>
    </w:p>
    <w:p w:rsidR="002957DC" w:rsidRDefault="002957DC" w:rsidP="002957DC">
      <w:pPr>
        <w:jc w:val="both"/>
      </w:pPr>
      <w:r>
        <w:t xml:space="preserve">Provozně výrobní plán (PVP) běžné údržby roku 2015 je předložen v rozsahu a objemu prací ve výši 126.000.000 Kč včetně DPH a v souladu se sjednanými jednotkovými cenami platnými od 1. 1. 2015 s výší rezervy v objemu 323.500,- Kč vč. DPH. </w:t>
      </w:r>
    </w:p>
    <w:p w:rsidR="002957DC" w:rsidRDefault="002957DC" w:rsidP="002957DC">
      <w:pPr>
        <w:jc w:val="both"/>
      </w:pPr>
    </w:p>
    <w:p w:rsidR="002957DC" w:rsidRDefault="002957DC" w:rsidP="002957DC">
      <w:pPr>
        <w:jc w:val="both"/>
      </w:pPr>
      <w:r>
        <w:t xml:space="preserve">U jednotlivých činností specifikovaných příkazní smlouvou se předkládá návrh: </w:t>
      </w:r>
    </w:p>
    <w:p w:rsidR="002957DC" w:rsidRDefault="002957DC" w:rsidP="002957DC">
      <w:pPr>
        <w:jc w:val="both"/>
      </w:pPr>
    </w:p>
    <w:p w:rsidR="002957DC" w:rsidRDefault="002957DC" w:rsidP="002957DC">
      <w:pPr>
        <w:pStyle w:val="Default"/>
        <w:widowControl/>
        <w:spacing w:after="23"/>
        <w:jc w:val="both"/>
        <w:rPr>
          <w:rFonts w:ascii="Times New Roman" w:hAnsi="Times New Roman"/>
        </w:rPr>
      </w:pPr>
      <w:r>
        <w:rPr>
          <w:rFonts w:ascii="Times New Roman" w:hAnsi="Times New Roman"/>
        </w:rPr>
        <w:t>1. úklid po zimě (strojní zametání silnic) – týdenní harmonogram v členění po okresech vč. mapy. Celkový objem výkonů a financí koresponduje s PVP pro rok 2015. Termín dokončení prací je plánován do 30.5.2015.</w:t>
      </w:r>
    </w:p>
    <w:p w:rsidR="002957DC" w:rsidRDefault="002957DC" w:rsidP="002957DC">
      <w:pPr>
        <w:pStyle w:val="Default"/>
        <w:widowControl/>
        <w:spacing w:after="23"/>
        <w:jc w:val="both"/>
        <w:rPr>
          <w:rFonts w:ascii="Times New Roman" w:hAnsi="Times New Roman"/>
        </w:rPr>
      </w:pPr>
      <w:r>
        <w:rPr>
          <w:rFonts w:ascii="Times New Roman" w:hAnsi="Times New Roman"/>
        </w:rPr>
        <w:t xml:space="preserve">2. plánované zametání intravilánu v průběhu roku (pozn. jedná se o opakovaný úklid v intravilánu obcí, bod č. 1 úklid po zimě obsahuje úklid jak v intravilánu, tak i extravilánu a je rozsahově objemnější) - týdenní harmonogram v členění po okresech. Celkový objem </w:t>
      </w:r>
      <w:r>
        <w:rPr>
          <w:rFonts w:ascii="Times New Roman" w:hAnsi="Times New Roman"/>
        </w:rPr>
        <w:lastRenderedPageBreak/>
        <w:t xml:space="preserve">výkonů a financí koresponduje s PVP pro rok 2015. Termín dokončení prací je plánován do 31.10.2015. </w:t>
      </w:r>
    </w:p>
    <w:p w:rsidR="002957DC" w:rsidRDefault="002957DC" w:rsidP="002957DC">
      <w:pPr>
        <w:pStyle w:val="Default"/>
        <w:widowControl/>
        <w:spacing w:after="23"/>
        <w:jc w:val="both"/>
        <w:rPr>
          <w:rFonts w:ascii="Times New Roman" w:hAnsi="Times New Roman"/>
        </w:rPr>
      </w:pPr>
      <w:r>
        <w:rPr>
          <w:rFonts w:ascii="Times New Roman" w:hAnsi="Times New Roman"/>
        </w:rPr>
        <w:t>3. strojní sekání trávy podél silnic II. a III. třídy - týdenní harmonogram v členění po okresech vč. mapy (1. a 2. seč). Celkový objem výkonů a financí koresponduje s PVP pro rok 2015. Termín dokončení prací 1. seče je plánován do 30.6.2015 (v závislosti na klimatických podmínkách a zahájení 1. seče), dokončení 2. seče je plánováno do 15.10.2015.</w:t>
      </w:r>
    </w:p>
    <w:p w:rsidR="002957DC" w:rsidRDefault="002957DC" w:rsidP="002957DC">
      <w:pPr>
        <w:pStyle w:val="Default"/>
        <w:widowControl/>
        <w:spacing w:after="23"/>
        <w:jc w:val="both"/>
        <w:rPr>
          <w:rFonts w:ascii="Times New Roman" w:hAnsi="Times New Roman"/>
        </w:rPr>
      </w:pPr>
      <w:r>
        <w:rPr>
          <w:rFonts w:ascii="Times New Roman" w:hAnsi="Times New Roman"/>
        </w:rPr>
        <w:t>4. opravy komunikací (do upravených a neupravených obrazců) - týdenní harmonogram v členění po okresech. Celkový objem výkonů a financí koresponduje s PVP pro rok 2015. Termín dokončení prací je plánován do 31.8.2015, přičemž 80% celkového objemu oprav bude realizováno do 30.6.2015.</w:t>
      </w:r>
    </w:p>
    <w:p w:rsidR="002957DC" w:rsidRDefault="002957DC" w:rsidP="002957DC">
      <w:pPr>
        <w:pStyle w:val="Default"/>
        <w:widowControl/>
        <w:jc w:val="both"/>
        <w:rPr>
          <w:rFonts w:ascii="Times New Roman" w:hAnsi="Times New Roman"/>
        </w:rPr>
      </w:pPr>
      <w:r>
        <w:rPr>
          <w:rFonts w:ascii="Times New Roman" w:hAnsi="Times New Roman"/>
        </w:rPr>
        <w:t xml:space="preserve">5. položky vodorovného dopravního značení – celkový plán pro rok 2015, přesný harmonogram bude upřesněn vzhledem ke klimatickým podmínkám. Předpoklad zahájení realizace je květen 2015 a termín dokončení plánovaných prací je 30.9.2015. Celkový objem výkonů a financí přesahuje možnosti PVP pro rok 2015, v tuto chvíli není pokryt finanční objem ve výši cca 4.500.000 Kč. Přičemž skutečné potřeby obnovy VDZ by byly vyšší. Částka 4.500.000 Kč bude řešena přesunem finančních prostředků alokovaných na zimní údržbu v rámci jednání orgánů kraje v červnu letošního roku. </w:t>
      </w:r>
    </w:p>
    <w:p w:rsidR="002957DC" w:rsidRDefault="002957DC" w:rsidP="002957DC">
      <w:pPr>
        <w:pStyle w:val="Default"/>
        <w:widowControl/>
        <w:jc w:val="both"/>
        <w:rPr>
          <w:rFonts w:ascii="Times New Roman" w:hAnsi="Times New Roman"/>
        </w:rPr>
      </w:pPr>
    </w:p>
    <w:p w:rsidR="002957DC" w:rsidRDefault="002957DC" w:rsidP="002957DC">
      <w:pPr>
        <w:pStyle w:val="Default"/>
        <w:widowControl/>
        <w:jc w:val="both"/>
        <w:rPr>
          <w:rFonts w:ascii="Times New Roman" w:hAnsi="Times New Roman"/>
        </w:rPr>
      </w:pPr>
      <w:r>
        <w:rPr>
          <w:rFonts w:ascii="Times New Roman" w:hAnsi="Times New Roman"/>
        </w:rPr>
        <w:t>Mimo výše uvedené je nutné doplnit, že v rámci udržitelnosti realizovaných dotačních projektů se zvyšují požadavky na údržbu zejména mostních objektů. Vyčleněná částka ve výši cca 2 mil. Kč (kategorie MOSTY viz. níže) bude pro budoucí období nedostatečná. Stejná situace je v sadovnictví a údržbě silničního tělesa a odvodnění, kdy nedostatek financí je zřejmý zejména ve strhávání krajnic a čištění propustků (odvodnění komunikací), v prořezávání a vyřezávání dřevin podél komunikací.</w:t>
      </w:r>
    </w:p>
    <w:p w:rsidR="002957DC" w:rsidRDefault="002957DC" w:rsidP="002957DC">
      <w:pPr>
        <w:pStyle w:val="Default"/>
        <w:widowControl/>
        <w:jc w:val="both"/>
        <w:rPr>
          <w:rFonts w:ascii="Times New Roman" w:hAnsi="Times New Roman"/>
        </w:rPr>
      </w:pPr>
    </w:p>
    <w:p w:rsidR="002957DC" w:rsidRDefault="002957DC" w:rsidP="002957DC">
      <w:pPr>
        <w:pStyle w:val="Default"/>
        <w:widowControl/>
        <w:jc w:val="both"/>
        <w:rPr>
          <w:rFonts w:ascii="Times New Roman" w:hAnsi="Times New Roman"/>
        </w:rPr>
      </w:pPr>
      <w:r>
        <w:rPr>
          <w:rFonts w:ascii="Times New Roman" w:hAnsi="Times New Roman"/>
        </w:rPr>
        <w:t xml:space="preserve">Plnění PVP bude pravidelně k poslednímu dni kalendářního měsíce aktualizováno. </w:t>
      </w:r>
    </w:p>
    <w:p w:rsidR="002957DC" w:rsidRDefault="002957DC" w:rsidP="002957DC">
      <w:pPr>
        <w:spacing w:after="200" w:line="276" w:lineRule="auto"/>
      </w:pPr>
    </w:p>
    <w:p w:rsidR="002957DC" w:rsidRDefault="002957DC" w:rsidP="002957DC">
      <w:pPr>
        <w:spacing w:after="200" w:line="276" w:lineRule="auto"/>
        <w:rPr>
          <w:b/>
        </w:rPr>
      </w:pPr>
      <w:r>
        <w:rPr>
          <w:b/>
        </w:rPr>
        <w:t xml:space="preserve">Shrnutí provozně výrobního plánu na rok 2015 </w:t>
      </w:r>
    </w:p>
    <w:p w:rsidR="002957DC" w:rsidRDefault="002957DC" w:rsidP="002957DC"/>
    <w:p w:rsidR="002957DC" w:rsidRDefault="002957DC" w:rsidP="002957DC">
      <w:pPr>
        <w:jc w:val="both"/>
      </w:pPr>
    </w:p>
    <w:tbl>
      <w:tblPr>
        <w:tblW w:w="8262" w:type="dxa"/>
        <w:tblInd w:w="80" w:type="dxa"/>
        <w:tblCellMar>
          <w:left w:w="70" w:type="dxa"/>
          <w:right w:w="70" w:type="dxa"/>
        </w:tblCellMar>
        <w:tblLook w:val="04A0" w:firstRow="1" w:lastRow="0" w:firstColumn="1" w:lastColumn="0" w:noHBand="0" w:noVBand="1"/>
      </w:tblPr>
      <w:tblGrid>
        <w:gridCol w:w="4140"/>
        <w:gridCol w:w="2061"/>
        <w:gridCol w:w="2061"/>
      </w:tblGrid>
      <w:tr w:rsidR="002957DC" w:rsidRPr="00AA26E7" w:rsidTr="008D6058">
        <w:trPr>
          <w:trHeight w:val="750"/>
        </w:trPr>
        <w:tc>
          <w:tcPr>
            <w:tcW w:w="4140" w:type="dxa"/>
            <w:tcBorders>
              <w:top w:val="single" w:sz="8" w:space="0" w:color="auto"/>
              <w:left w:val="single" w:sz="8" w:space="0" w:color="auto"/>
              <w:bottom w:val="single" w:sz="8" w:space="0" w:color="auto"/>
              <w:right w:val="single" w:sz="4" w:space="0" w:color="auto"/>
            </w:tcBorders>
            <w:noWrap/>
            <w:vAlign w:val="center"/>
            <w:hideMark/>
          </w:tcPr>
          <w:p w:rsidR="002957DC" w:rsidRPr="00AA26E7" w:rsidRDefault="002957DC" w:rsidP="008D6058">
            <w:pPr>
              <w:jc w:val="center"/>
              <w:rPr>
                <w:rFonts w:ascii="Calibri" w:hAnsi="Calibri"/>
                <w:b/>
                <w:bCs/>
              </w:rPr>
            </w:pPr>
            <w:r w:rsidRPr="00AA26E7">
              <w:rPr>
                <w:rFonts w:ascii="Calibri" w:hAnsi="Calibri"/>
                <w:b/>
                <w:bCs/>
              </w:rPr>
              <w:t>Název činnosti</w:t>
            </w:r>
          </w:p>
        </w:tc>
        <w:tc>
          <w:tcPr>
            <w:tcW w:w="2061" w:type="dxa"/>
            <w:tcBorders>
              <w:top w:val="single" w:sz="8" w:space="0" w:color="auto"/>
              <w:left w:val="nil"/>
              <w:bottom w:val="single" w:sz="8" w:space="0" w:color="auto"/>
              <w:right w:val="single" w:sz="4" w:space="0" w:color="auto"/>
            </w:tcBorders>
            <w:vAlign w:val="center"/>
            <w:hideMark/>
          </w:tcPr>
          <w:p w:rsidR="002957DC" w:rsidRPr="00AA26E7" w:rsidRDefault="002957DC" w:rsidP="008D6058">
            <w:pPr>
              <w:jc w:val="center"/>
              <w:rPr>
                <w:rFonts w:ascii="Calibri" w:hAnsi="Calibri"/>
                <w:b/>
                <w:bCs/>
              </w:rPr>
            </w:pPr>
            <w:r w:rsidRPr="00AA26E7">
              <w:rPr>
                <w:rFonts w:ascii="Calibri" w:hAnsi="Calibri"/>
                <w:b/>
                <w:bCs/>
              </w:rPr>
              <w:t>CENA</w:t>
            </w:r>
            <w:r w:rsidRPr="00AA26E7">
              <w:rPr>
                <w:rFonts w:ascii="Calibri" w:hAnsi="Calibri"/>
                <w:b/>
                <w:bCs/>
              </w:rPr>
              <w:br/>
              <w:t>[Kč bez DPH]</w:t>
            </w:r>
          </w:p>
        </w:tc>
        <w:tc>
          <w:tcPr>
            <w:tcW w:w="2061" w:type="dxa"/>
            <w:tcBorders>
              <w:top w:val="single" w:sz="8" w:space="0" w:color="auto"/>
              <w:left w:val="nil"/>
              <w:bottom w:val="single" w:sz="8" w:space="0" w:color="auto"/>
              <w:right w:val="single" w:sz="8" w:space="0" w:color="auto"/>
            </w:tcBorders>
            <w:vAlign w:val="center"/>
            <w:hideMark/>
          </w:tcPr>
          <w:p w:rsidR="002957DC" w:rsidRPr="00AA26E7" w:rsidRDefault="002957DC" w:rsidP="008D6058">
            <w:pPr>
              <w:jc w:val="center"/>
              <w:rPr>
                <w:rFonts w:ascii="Calibri" w:hAnsi="Calibri"/>
                <w:b/>
                <w:bCs/>
              </w:rPr>
            </w:pPr>
            <w:r w:rsidRPr="00AA26E7">
              <w:rPr>
                <w:rFonts w:ascii="Calibri" w:hAnsi="Calibri"/>
                <w:b/>
                <w:bCs/>
              </w:rPr>
              <w:t>CENA</w:t>
            </w:r>
            <w:r w:rsidRPr="00AA26E7">
              <w:rPr>
                <w:rFonts w:ascii="Calibri" w:hAnsi="Calibri"/>
                <w:b/>
                <w:bCs/>
              </w:rPr>
              <w:br/>
              <w:t>[Kč s DPH]</w:t>
            </w:r>
          </w:p>
        </w:tc>
      </w:tr>
      <w:tr w:rsidR="002957DC" w:rsidRPr="00AA26E7" w:rsidTr="008D6058">
        <w:trPr>
          <w:trHeight w:val="312"/>
        </w:trPr>
        <w:tc>
          <w:tcPr>
            <w:tcW w:w="4140" w:type="dxa"/>
            <w:tcBorders>
              <w:top w:val="nil"/>
              <w:left w:val="single" w:sz="8" w:space="0" w:color="auto"/>
              <w:bottom w:val="single" w:sz="4" w:space="0" w:color="auto"/>
              <w:right w:val="single" w:sz="4" w:space="0" w:color="auto"/>
            </w:tcBorders>
            <w:noWrap/>
            <w:vAlign w:val="center"/>
            <w:hideMark/>
          </w:tcPr>
          <w:p w:rsidR="002957DC" w:rsidRPr="00AA26E7" w:rsidRDefault="002957DC" w:rsidP="008D6058">
            <w:pPr>
              <w:ind w:firstLineChars="100" w:firstLine="220"/>
              <w:rPr>
                <w:rFonts w:ascii="Calibri" w:hAnsi="Calibri"/>
                <w:sz w:val="22"/>
                <w:szCs w:val="22"/>
              </w:rPr>
            </w:pPr>
            <w:r w:rsidRPr="00AA26E7">
              <w:rPr>
                <w:rFonts w:ascii="Calibri" w:hAnsi="Calibri"/>
                <w:sz w:val="22"/>
                <w:szCs w:val="22"/>
              </w:rPr>
              <w:t>VOZOVKY</w:t>
            </w:r>
          </w:p>
        </w:tc>
        <w:tc>
          <w:tcPr>
            <w:tcW w:w="2061" w:type="dxa"/>
            <w:tcBorders>
              <w:top w:val="nil"/>
              <w:left w:val="nil"/>
              <w:bottom w:val="single" w:sz="4" w:space="0" w:color="auto"/>
              <w:right w:val="single" w:sz="4"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56 296 591</w:t>
            </w:r>
          </w:p>
        </w:tc>
        <w:tc>
          <w:tcPr>
            <w:tcW w:w="2061" w:type="dxa"/>
            <w:tcBorders>
              <w:top w:val="nil"/>
              <w:left w:val="nil"/>
              <w:bottom w:val="single" w:sz="4" w:space="0" w:color="auto"/>
              <w:right w:val="single" w:sz="8"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68 118 875</w:t>
            </w:r>
          </w:p>
        </w:tc>
      </w:tr>
      <w:tr w:rsidR="002957DC" w:rsidRPr="00AA26E7" w:rsidTr="008D6058">
        <w:trPr>
          <w:trHeight w:val="312"/>
        </w:trPr>
        <w:tc>
          <w:tcPr>
            <w:tcW w:w="4140" w:type="dxa"/>
            <w:tcBorders>
              <w:top w:val="nil"/>
              <w:left w:val="single" w:sz="8" w:space="0" w:color="auto"/>
              <w:bottom w:val="single" w:sz="4" w:space="0" w:color="auto"/>
              <w:right w:val="single" w:sz="4" w:space="0" w:color="auto"/>
            </w:tcBorders>
            <w:noWrap/>
            <w:vAlign w:val="center"/>
            <w:hideMark/>
          </w:tcPr>
          <w:p w:rsidR="002957DC" w:rsidRPr="00AA26E7" w:rsidRDefault="002957DC" w:rsidP="008D6058">
            <w:pPr>
              <w:ind w:firstLineChars="100" w:firstLine="220"/>
              <w:rPr>
                <w:rFonts w:ascii="Calibri" w:hAnsi="Calibri"/>
                <w:sz w:val="22"/>
                <w:szCs w:val="22"/>
              </w:rPr>
            </w:pPr>
            <w:r w:rsidRPr="00AA26E7">
              <w:rPr>
                <w:rFonts w:ascii="Calibri" w:hAnsi="Calibri"/>
                <w:sz w:val="22"/>
                <w:szCs w:val="22"/>
              </w:rPr>
              <w:t>DOPRAVNÍ ZNAČENÍ</w:t>
            </w:r>
          </w:p>
        </w:tc>
        <w:tc>
          <w:tcPr>
            <w:tcW w:w="2061" w:type="dxa"/>
            <w:tcBorders>
              <w:top w:val="nil"/>
              <w:left w:val="nil"/>
              <w:bottom w:val="single" w:sz="4" w:space="0" w:color="auto"/>
              <w:right w:val="single" w:sz="4"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8 470 729</w:t>
            </w:r>
          </w:p>
        </w:tc>
        <w:tc>
          <w:tcPr>
            <w:tcW w:w="2061" w:type="dxa"/>
            <w:tcBorders>
              <w:top w:val="nil"/>
              <w:left w:val="nil"/>
              <w:bottom w:val="single" w:sz="4" w:space="0" w:color="auto"/>
              <w:right w:val="single" w:sz="8"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10 249 582</w:t>
            </w:r>
          </w:p>
        </w:tc>
      </w:tr>
      <w:tr w:rsidR="002957DC" w:rsidRPr="00AA26E7" w:rsidTr="008D6058">
        <w:trPr>
          <w:trHeight w:val="312"/>
        </w:trPr>
        <w:tc>
          <w:tcPr>
            <w:tcW w:w="4140" w:type="dxa"/>
            <w:tcBorders>
              <w:top w:val="nil"/>
              <w:left w:val="single" w:sz="8" w:space="0" w:color="auto"/>
              <w:bottom w:val="single" w:sz="4" w:space="0" w:color="auto"/>
              <w:right w:val="single" w:sz="4" w:space="0" w:color="auto"/>
            </w:tcBorders>
            <w:noWrap/>
            <w:vAlign w:val="center"/>
            <w:hideMark/>
          </w:tcPr>
          <w:p w:rsidR="002957DC" w:rsidRPr="00AA26E7" w:rsidRDefault="002957DC" w:rsidP="008D6058">
            <w:pPr>
              <w:ind w:firstLineChars="100" w:firstLine="220"/>
              <w:rPr>
                <w:rFonts w:ascii="Calibri" w:hAnsi="Calibri"/>
                <w:sz w:val="22"/>
                <w:szCs w:val="22"/>
              </w:rPr>
            </w:pPr>
            <w:r w:rsidRPr="00AA26E7">
              <w:rPr>
                <w:rFonts w:ascii="Calibri" w:hAnsi="Calibri"/>
                <w:sz w:val="22"/>
                <w:szCs w:val="22"/>
              </w:rPr>
              <w:t>BEZPEČNOSTNÍ ZAŘÍZENÍ A VYBAVENÍ</w:t>
            </w:r>
          </w:p>
        </w:tc>
        <w:tc>
          <w:tcPr>
            <w:tcW w:w="2061" w:type="dxa"/>
            <w:tcBorders>
              <w:top w:val="nil"/>
              <w:left w:val="nil"/>
              <w:bottom w:val="single" w:sz="4" w:space="0" w:color="auto"/>
              <w:right w:val="single" w:sz="4"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3 722 876</w:t>
            </w:r>
          </w:p>
        </w:tc>
        <w:tc>
          <w:tcPr>
            <w:tcW w:w="2061" w:type="dxa"/>
            <w:tcBorders>
              <w:top w:val="nil"/>
              <w:left w:val="nil"/>
              <w:bottom w:val="single" w:sz="4" w:space="0" w:color="auto"/>
              <w:right w:val="single" w:sz="8"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4 504 680</w:t>
            </w:r>
          </w:p>
        </w:tc>
      </w:tr>
      <w:tr w:rsidR="002957DC" w:rsidRPr="00AA26E7" w:rsidTr="008D6058">
        <w:trPr>
          <w:trHeight w:val="312"/>
        </w:trPr>
        <w:tc>
          <w:tcPr>
            <w:tcW w:w="4140" w:type="dxa"/>
            <w:tcBorders>
              <w:top w:val="nil"/>
              <w:left w:val="single" w:sz="8" w:space="0" w:color="auto"/>
              <w:bottom w:val="single" w:sz="4" w:space="0" w:color="auto"/>
              <w:right w:val="single" w:sz="4" w:space="0" w:color="auto"/>
            </w:tcBorders>
            <w:noWrap/>
            <w:vAlign w:val="center"/>
            <w:hideMark/>
          </w:tcPr>
          <w:p w:rsidR="002957DC" w:rsidRPr="00AA26E7" w:rsidRDefault="002957DC" w:rsidP="008D6058">
            <w:pPr>
              <w:ind w:firstLineChars="100" w:firstLine="220"/>
              <w:rPr>
                <w:rFonts w:ascii="Calibri" w:hAnsi="Calibri"/>
                <w:sz w:val="22"/>
                <w:szCs w:val="22"/>
              </w:rPr>
            </w:pPr>
            <w:r w:rsidRPr="00AA26E7">
              <w:rPr>
                <w:rFonts w:ascii="Calibri" w:hAnsi="Calibri"/>
                <w:sz w:val="22"/>
                <w:szCs w:val="22"/>
              </w:rPr>
              <w:t>SILNIČNÍ TĚLESO A ODVODNĚNÍ</w:t>
            </w:r>
          </w:p>
        </w:tc>
        <w:tc>
          <w:tcPr>
            <w:tcW w:w="2061" w:type="dxa"/>
            <w:tcBorders>
              <w:top w:val="nil"/>
              <w:left w:val="nil"/>
              <w:bottom w:val="single" w:sz="4" w:space="0" w:color="auto"/>
              <w:right w:val="single" w:sz="4"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10 343 957</w:t>
            </w:r>
          </w:p>
        </w:tc>
        <w:tc>
          <w:tcPr>
            <w:tcW w:w="2061" w:type="dxa"/>
            <w:tcBorders>
              <w:top w:val="nil"/>
              <w:left w:val="nil"/>
              <w:bottom w:val="single" w:sz="4" w:space="0" w:color="auto"/>
              <w:right w:val="single" w:sz="8"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12 516 189</w:t>
            </w:r>
          </w:p>
        </w:tc>
      </w:tr>
      <w:tr w:rsidR="002957DC" w:rsidRPr="00AA26E7" w:rsidTr="008D6058">
        <w:trPr>
          <w:trHeight w:val="312"/>
        </w:trPr>
        <w:tc>
          <w:tcPr>
            <w:tcW w:w="4140" w:type="dxa"/>
            <w:tcBorders>
              <w:top w:val="nil"/>
              <w:left w:val="single" w:sz="8" w:space="0" w:color="auto"/>
              <w:bottom w:val="single" w:sz="4" w:space="0" w:color="auto"/>
              <w:right w:val="single" w:sz="4" w:space="0" w:color="auto"/>
            </w:tcBorders>
            <w:noWrap/>
            <w:vAlign w:val="center"/>
            <w:hideMark/>
          </w:tcPr>
          <w:p w:rsidR="002957DC" w:rsidRPr="00AA26E7" w:rsidRDefault="002957DC" w:rsidP="008D6058">
            <w:pPr>
              <w:ind w:firstLineChars="100" w:firstLine="220"/>
              <w:rPr>
                <w:rFonts w:ascii="Calibri" w:hAnsi="Calibri"/>
                <w:sz w:val="22"/>
                <w:szCs w:val="22"/>
              </w:rPr>
            </w:pPr>
            <w:r w:rsidRPr="00AA26E7">
              <w:rPr>
                <w:rFonts w:ascii="Calibri" w:hAnsi="Calibri"/>
                <w:sz w:val="22"/>
                <w:szCs w:val="22"/>
              </w:rPr>
              <w:t>MOSTY</w:t>
            </w:r>
          </w:p>
        </w:tc>
        <w:tc>
          <w:tcPr>
            <w:tcW w:w="2061" w:type="dxa"/>
            <w:tcBorders>
              <w:top w:val="nil"/>
              <w:left w:val="nil"/>
              <w:bottom w:val="single" w:sz="4" w:space="0" w:color="auto"/>
              <w:right w:val="single" w:sz="4"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1 670 240</w:t>
            </w:r>
          </w:p>
        </w:tc>
        <w:tc>
          <w:tcPr>
            <w:tcW w:w="2061" w:type="dxa"/>
            <w:tcBorders>
              <w:top w:val="nil"/>
              <w:left w:val="nil"/>
              <w:bottom w:val="single" w:sz="4" w:space="0" w:color="auto"/>
              <w:right w:val="single" w:sz="8"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2 020 990</w:t>
            </w:r>
          </w:p>
        </w:tc>
      </w:tr>
      <w:tr w:rsidR="002957DC" w:rsidRPr="00AA26E7" w:rsidTr="008D6058">
        <w:trPr>
          <w:trHeight w:val="312"/>
        </w:trPr>
        <w:tc>
          <w:tcPr>
            <w:tcW w:w="4140" w:type="dxa"/>
            <w:tcBorders>
              <w:top w:val="nil"/>
              <w:left w:val="single" w:sz="8" w:space="0" w:color="auto"/>
              <w:bottom w:val="single" w:sz="4" w:space="0" w:color="auto"/>
              <w:right w:val="single" w:sz="4" w:space="0" w:color="auto"/>
            </w:tcBorders>
            <w:noWrap/>
            <w:vAlign w:val="center"/>
            <w:hideMark/>
          </w:tcPr>
          <w:p w:rsidR="002957DC" w:rsidRPr="00AA26E7" w:rsidRDefault="002957DC" w:rsidP="008D6058">
            <w:pPr>
              <w:ind w:firstLineChars="100" w:firstLine="220"/>
              <w:rPr>
                <w:rFonts w:ascii="Calibri" w:hAnsi="Calibri"/>
                <w:sz w:val="22"/>
                <w:szCs w:val="22"/>
              </w:rPr>
            </w:pPr>
            <w:r w:rsidRPr="00AA26E7">
              <w:rPr>
                <w:rFonts w:ascii="Calibri" w:hAnsi="Calibri"/>
                <w:sz w:val="22"/>
                <w:szCs w:val="22"/>
              </w:rPr>
              <w:t>OSTATNÍ SILNIČNÍ OBJEKTY A ZAŘÍZENÍ</w:t>
            </w:r>
          </w:p>
        </w:tc>
        <w:tc>
          <w:tcPr>
            <w:tcW w:w="2061" w:type="dxa"/>
            <w:tcBorders>
              <w:top w:val="nil"/>
              <w:left w:val="nil"/>
              <w:bottom w:val="single" w:sz="4" w:space="0" w:color="auto"/>
              <w:right w:val="single" w:sz="4"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80 000</w:t>
            </w:r>
          </w:p>
        </w:tc>
        <w:tc>
          <w:tcPr>
            <w:tcW w:w="2061" w:type="dxa"/>
            <w:tcBorders>
              <w:top w:val="nil"/>
              <w:left w:val="nil"/>
              <w:bottom w:val="single" w:sz="4" w:space="0" w:color="auto"/>
              <w:right w:val="single" w:sz="8"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96 800</w:t>
            </w:r>
          </w:p>
        </w:tc>
      </w:tr>
      <w:tr w:rsidR="002957DC" w:rsidRPr="00AA26E7" w:rsidTr="008D6058">
        <w:trPr>
          <w:trHeight w:val="312"/>
        </w:trPr>
        <w:tc>
          <w:tcPr>
            <w:tcW w:w="4140" w:type="dxa"/>
            <w:tcBorders>
              <w:top w:val="nil"/>
              <w:left w:val="single" w:sz="8" w:space="0" w:color="auto"/>
              <w:bottom w:val="single" w:sz="4" w:space="0" w:color="auto"/>
              <w:right w:val="single" w:sz="4" w:space="0" w:color="auto"/>
            </w:tcBorders>
            <w:noWrap/>
            <w:vAlign w:val="center"/>
            <w:hideMark/>
          </w:tcPr>
          <w:p w:rsidR="002957DC" w:rsidRPr="00AA26E7" w:rsidRDefault="002957DC" w:rsidP="008D6058">
            <w:pPr>
              <w:ind w:firstLineChars="100" w:firstLine="220"/>
              <w:rPr>
                <w:rFonts w:ascii="Calibri" w:hAnsi="Calibri"/>
                <w:sz w:val="22"/>
                <w:szCs w:val="22"/>
              </w:rPr>
            </w:pPr>
            <w:r w:rsidRPr="00AA26E7">
              <w:rPr>
                <w:rFonts w:ascii="Calibri" w:hAnsi="Calibri"/>
                <w:sz w:val="22"/>
                <w:szCs w:val="22"/>
              </w:rPr>
              <w:t>SADOVNICTVÍ</w:t>
            </w:r>
          </w:p>
        </w:tc>
        <w:tc>
          <w:tcPr>
            <w:tcW w:w="2061" w:type="dxa"/>
            <w:tcBorders>
              <w:top w:val="nil"/>
              <w:left w:val="nil"/>
              <w:bottom w:val="single" w:sz="4" w:space="0" w:color="auto"/>
              <w:right w:val="single" w:sz="4"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21 758 535</w:t>
            </w:r>
          </w:p>
        </w:tc>
        <w:tc>
          <w:tcPr>
            <w:tcW w:w="2061" w:type="dxa"/>
            <w:tcBorders>
              <w:top w:val="nil"/>
              <w:left w:val="nil"/>
              <w:bottom w:val="single" w:sz="4" w:space="0" w:color="auto"/>
              <w:right w:val="single" w:sz="8"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26 327 828</w:t>
            </w:r>
          </w:p>
        </w:tc>
      </w:tr>
      <w:tr w:rsidR="002957DC" w:rsidRPr="00AA26E7" w:rsidTr="008D6058">
        <w:trPr>
          <w:trHeight w:val="312"/>
        </w:trPr>
        <w:tc>
          <w:tcPr>
            <w:tcW w:w="4140" w:type="dxa"/>
            <w:tcBorders>
              <w:top w:val="nil"/>
              <w:left w:val="single" w:sz="8" w:space="0" w:color="auto"/>
              <w:bottom w:val="single" w:sz="4" w:space="0" w:color="auto"/>
              <w:right w:val="single" w:sz="4" w:space="0" w:color="auto"/>
            </w:tcBorders>
            <w:noWrap/>
            <w:vAlign w:val="center"/>
            <w:hideMark/>
          </w:tcPr>
          <w:p w:rsidR="002957DC" w:rsidRPr="00AA26E7" w:rsidRDefault="002957DC" w:rsidP="008D6058">
            <w:pPr>
              <w:ind w:firstLineChars="100" w:firstLine="220"/>
              <w:rPr>
                <w:rFonts w:ascii="Calibri" w:hAnsi="Calibri"/>
                <w:sz w:val="22"/>
                <w:szCs w:val="22"/>
              </w:rPr>
            </w:pPr>
            <w:r w:rsidRPr="00AA26E7">
              <w:rPr>
                <w:rFonts w:ascii="Calibri" w:hAnsi="Calibri"/>
                <w:sz w:val="22"/>
                <w:szCs w:val="22"/>
              </w:rPr>
              <w:t>OSTATNÍ POLOŽKY</w:t>
            </w:r>
          </w:p>
        </w:tc>
        <w:tc>
          <w:tcPr>
            <w:tcW w:w="2061" w:type="dxa"/>
            <w:tcBorders>
              <w:top w:val="nil"/>
              <w:left w:val="nil"/>
              <w:bottom w:val="single" w:sz="4" w:space="0" w:color="auto"/>
              <w:right w:val="single" w:sz="4"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1 521 947</w:t>
            </w:r>
          </w:p>
        </w:tc>
        <w:tc>
          <w:tcPr>
            <w:tcW w:w="2061" w:type="dxa"/>
            <w:tcBorders>
              <w:top w:val="nil"/>
              <w:left w:val="nil"/>
              <w:bottom w:val="single" w:sz="4" w:space="0" w:color="auto"/>
              <w:right w:val="single" w:sz="8"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1 841 556</w:t>
            </w:r>
          </w:p>
        </w:tc>
      </w:tr>
      <w:tr w:rsidR="002957DC" w:rsidRPr="00AA26E7" w:rsidTr="008D6058">
        <w:trPr>
          <w:trHeight w:val="324"/>
        </w:trPr>
        <w:tc>
          <w:tcPr>
            <w:tcW w:w="4140" w:type="dxa"/>
            <w:tcBorders>
              <w:top w:val="nil"/>
              <w:left w:val="single" w:sz="8" w:space="0" w:color="auto"/>
              <w:bottom w:val="nil"/>
              <w:right w:val="single" w:sz="4" w:space="0" w:color="auto"/>
            </w:tcBorders>
            <w:noWrap/>
            <w:vAlign w:val="center"/>
            <w:hideMark/>
          </w:tcPr>
          <w:p w:rsidR="002957DC" w:rsidRPr="00AA26E7" w:rsidRDefault="002957DC" w:rsidP="008D6058">
            <w:pPr>
              <w:ind w:firstLineChars="100" w:firstLine="221"/>
              <w:rPr>
                <w:rFonts w:ascii="Calibri" w:hAnsi="Calibri"/>
                <w:b/>
                <w:bCs/>
                <w:sz w:val="22"/>
                <w:szCs w:val="22"/>
              </w:rPr>
            </w:pPr>
            <w:r w:rsidRPr="00AA26E7">
              <w:rPr>
                <w:rFonts w:ascii="Calibri" w:hAnsi="Calibri"/>
                <w:b/>
                <w:bCs/>
                <w:sz w:val="22"/>
                <w:szCs w:val="22"/>
              </w:rPr>
              <w:t>Rezerva</w:t>
            </w:r>
          </w:p>
        </w:tc>
        <w:tc>
          <w:tcPr>
            <w:tcW w:w="2061" w:type="dxa"/>
            <w:tcBorders>
              <w:top w:val="nil"/>
              <w:left w:val="nil"/>
              <w:bottom w:val="nil"/>
              <w:right w:val="single" w:sz="4"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267 355</w:t>
            </w:r>
          </w:p>
        </w:tc>
        <w:tc>
          <w:tcPr>
            <w:tcW w:w="2061" w:type="dxa"/>
            <w:tcBorders>
              <w:top w:val="nil"/>
              <w:left w:val="nil"/>
              <w:bottom w:val="single" w:sz="4" w:space="0" w:color="auto"/>
              <w:right w:val="single" w:sz="8" w:space="0" w:color="auto"/>
            </w:tcBorders>
            <w:noWrap/>
            <w:vAlign w:val="center"/>
            <w:hideMark/>
          </w:tcPr>
          <w:p w:rsidR="002957DC" w:rsidRPr="00AA26E7" w:rsidRDefault="002957DC" w:rsidP="008D6058">
            <w:pPr>
              <w:ind w:firstLineChars="200" w:firstLine="480"/>
              <w:jc w:val="right"/>
              <w:rPr>
                <w:rFonts w:ascii="Calibri" w:hAnsi="Calibri"/>
              </w:rPr>
            </w:pPr>
            <w:r w:rsidRPr="00AA26E7">
              <w:rPr>
                <w:rFonts w:ascii="Calibri" w:hAnsi="Calibri"/>
              </w:rPr>
              <w:t>323 500</w:t>
            </w:r>
          </w:p>
        </w:tc>
      </w:tr>
      <w:tr w:rsidR="002957DC" w:rsidRPr="00AA26E7" w:rsidTr="008D6058">
        <w:trPr>
          <w:trHeight w:val="528"/>
        </w:trPr>
        <w:tc>
          <w:tcPr>
            <w:tcW w:w="4140" w:type="dxa"/>
            <w:tcBorders>
              <w:top w:val="double" w:sz="6" w:space="0" w:color="auto"/>
              <w:left w:val="single" w:sz="8" w:space="0" w:color="auto"/>
              <w:bottom w:val="single" w:sz="8" w:space="0" w:color="auto"/>
              <w:right w:val="single" w:sz="4" w:space="0" w:color="auto"/>
            </w:tcBorders>
            <w:noWrap/>
            <w:vAlign w:val="center"/>
            <w:hideMark/>
          </w:tcPr>
          <w:p w:rsidR="002957DC" w:rsidRPr="00AA26E7" w:rsidRDefault="002957DC" w:rsidP="008D6058">
            <w:pPr>
              <w:ind w:firstLineChars="100" w:firstLine="241"/>
              <w:rPr>
                <w:rFonts w:ascii="Calibri" w:hAnsi="Calibri"/>
                <w:b/>
                <w:bCs/>
              </w:rPr>
            </w:pPr>
            <w:r w:rsidRPr="00AA26E7">
              <w:rPr>
                <w:rFonts w:ascii="Calibri" w:hAnsi="Calibri"/>
                <w:b/>
                <w:bCs/>
              </w:rPr>
              <w:t>CELKEM</w:t>
            </w:r>
          </w:p>
        </w:tc>
        <w:tc>
          <w:tcPr>
            <w:tcW w:w="2061" w:type="dxa"/>
            <w:tcBorders>
              <w:top w:val="double" w:sz="6" w:space="0" w:color="auto"/>
              <w:left w:val="nil"/>
              <w:bottom w:val="single" w:sz="8" w:space="0" w:color="auto"/>
              <w:right w:val="single" w:sz="4" w:space="0" w:color="auto"/>
            </w:tcBorders>
            <w:noWrap/>
            <w:vAlign w:val="center"/>
            <w:hideMark/>
          </w:tcPr>
          <w:p w:rsidR="002957DC" w:rsidRPr="00AA26E7" w:rsidRDefault="002957DC" w:rsidP="008D6058">
            <w:pPr>
              <w:ind w:firstLineChars="200" w:firstLine="482"/>
              <w:jc w:val="right"/>
              <w:rPr>
                <w:rFonts w:ascii="Calibri" w:hAnsi="Calibri"/>
                <w:b/>
                <w:bCs/>
                <w:color w:val="000000"/>
              </w:rPr>
            </w:pPr>
            <w:r w:rsidRPr="00AA26E7">
              <w:rPr>
                <w:rFonts w:ascii="Calibri" w:hAnsi="Calibri"/>
                <w:b/>
                <w:bCs/>
                <w:color w:val="000000"/>
              </w:rPr>
              <w:t>104 132 231</w:t>
            </w:r>
          </w:p>
        </w:tc>
        <w:tc>
          <w:tcPr>
            <w:tcW w:w="2061" w:type="dxa"/>
            <w:tcBorders>
              <w:top w:val="double" w:sz="6" w:space="0" w:color="auto"/>
              <w:left w:val="nil"/>
              <w:bottom w:val="single" w:sz="8" w:space="0" w:color="auto"/>
              <w:right w:val="single" w:sz="8" w:space="0" w:color="auto"/>
            </w:tcBorders>
            <w:noWrap/>
            <w:vAlign w:val="center"/>
            <w:hideMark/>
          </w:tcPr>
          <w:p w:rsidR="002957DC" w:rsidRPr="00AA26E7" w:rsidRDefault="002957DC" w:rsidP="008D6058">
            <w:pPr>
              <w:ind w:firstLineChars="200" w:firstLine="482"/>
              <w:jc w:val="right"/>
              <w:rPr>
                <w:rFonts w:ascii="Calibri" w:hAnsi="Calibri"/>
                <w:b/>
                <w:bCs/>
                <w:color w:val="000000"/>
              </w:rPr>
            </w:pPr>
            <w:r w:rsidRPr="00AA26E7">
              <w:rPr>
                <w:rFonts w:ascii="Calibri" w:hAnsi="Calibri"/>
                <w:b/>
                <w:bCs/>
                <w:color w:val="000000"/>
              </w:rPr>
              <w:t>126 000 000</w:t>
            </w:r>
          </w:p>
        </w:tc>
      </w:tr>
    </w:tbl>
    <w:p w:rsidR="002957DC" w:rsidRDefault="002957DC" w:rsidP="002957DC">
      <w:pPr>
        <w:jc w:val="both"/>
      </w:pPr>
    </w:p>
    <w:p w:rsidR="002957DC" w:rsidRDefault="002957DC" w:rsidP="002957DC">
      <w:pPr>
        <w:jc w:val="both"/>
      </w:pPr>
      <w:r>
        <w:t xml:space="preserve">Nad rámec Provozně-výrobního plánu roku 2015 společnost Silnice LK a.s. získala dotaci (v rámci LIX. výzvy OPŽP) na pořízení vozidla na snížení prašnosti z plošných zdrojů a bude </w:t>
      </w:r>
      <w:r>
        <w:lastRenderedPageBreak/>
        <w:t>v následujících 5letech (počínaje 7/2015) pravidelně cca každých 14 dní (v průběhu dubna – října) bezplatně zametat vybrané krajské komunikace na území města Liberec.</w:t>
      </w:r>
    </w:p>
    <w:p w:rsidR="002957DC" w:rsidRDefault="002957DC" w:rsidP="002957DC"/>
    <w:p w:rsidR="002957DC" w:rsidRDefault="002957DC" w:rsidP="002957DC"/>
    <w:p w:rsidR="002957DC" w:rsidRDefault="002957DC" w:rsidP="002957DC"/>
    <w:p w:rsidR="002957DC" w:rsidRDefault="002957DC" w:rsidP="002957DC"/>
    <w:p w:rsidR="002957DC" w:rsidRDefault="002957DC" w:rsidP="002957DC">
      <w:pPr>
        <w:rPr>
          <w:b/>
        </w:rPr>
      </w:pPr>
      <w:r>
        <w:rPr>
          <w:b/>
        </w:rPr>
        <w:t>Příloha:</w:t>
      </w:r>
    </w:p>
    <w:p w:rsidR="002957DC" w:rsidRDefault="002957DC" w:rsidP="002957DC"/>
    <w:p w:rsidR="002957DC" w:rsidRDefault="00E74CCF" w:rsidP="002957DC">
      <w:pPr>
        <w:ind w:left="360"/>
      </w:pPr>
      <w:r>
        <w:t>P02</w:t>
      </w:r>
      <w:r w:rsidR="002957DC">
        <w:t>_návrh provozně-výrobního plánu na rok 2015 dle jednotlivých činností</w:t>
      </w:r>
    </w:p>
    <w:p w:rsidR="002957DC" w:rsidRDefault="00EE5CFE" w:rsidP="002957DC">
      <w:pPr>
        <w:ind w:left="360"/>
      </w:pPr>
      <w:r>
        <w:t>P0</w:t>
      </w:r>
      <w:r w:rsidR="00E74CCF">
        <w:t>3</w:t>
      </w:r>
      <w:r w:rsidR="002957DC">
        <w:t>_plán úklidu po zimě – tabulka</w:t>
      </w:r>
    </w:p>
    <w:p w:rsidR="002957DC" w:rsidRDefault="00E74CCF" w:rsidP="002957DC">
      <w:pPr>
        <w:ind w:left="360"/>
      </w:pPr>
      <w:r>
        <w:t>P04</w:t>
      </w:r>
      <w:r w:rsidR="002957DC">
        <w:t>_plán úklidu po zimě – mapa</w:t>
      </w:r>
    </w:p>
    <w:p w:rsidR="002957DC" w:rsidRDefault="00E74CCF" w:rsidP="002957DC">
      <w:pPr>
        <w:ind w:left="360"/>
      </w:pPr>
      <w:r>
        <w:t>P05</w:t>
      </w:r>
      <w:r w:rsidR="002957DC">
        <w:t>_plán čištění léto po okresech – tabulka</w:t>
      </w:r>
    </w:p>
    <w:p w:rsidR="002957DC" w:rsidRDefault="00E74CCF" w:rsidP="002957DC">
      <w:pPr>
        <w:ind w:left="360"/>
      </w:pPr>
      <w:r>
        <w:t>P06</w:t>
      </w:r>
      <w:r w:rsidR="002957DC">
        <w:t>_plán sekání po okresech – tabulka</w:t>
      </w:r>
    </w:p>
    <w:p w:rsidR="002957DC" w:rsidRDefault="00E74CCF" w:rsidP="002957DC">
      <w:pPr>
        <w:ind w:left="360"/>
      </w:pPr>
      <w:r>
        <w:t>P07</w:t>
      </w:r>
      <w:r w:rsidR="002957DC">
        <w:t>_plán sekání po okresech – mapa 1. seč</w:t>
      </w:r>
    </w:p>
    <w:p w:rsidR="002957DC" w:rsidRDefault="00E74CCF" w:rsidP="002957DC">
      <w:pPr>
        <w:ind w:left="360"/>
      </w:pPr>
      <w:r>
        <w:t>P08</w:t>
      </w:r>
      <w:r w:rsidR="002957DC">
        <w:t>_plán sekání po okresech – mapa 2. seč</w:t>
      </w:r>
    </w:p>
    <w:p w:rsidR="002957DC" w:rsidRDefault="00E74CCF" w:rsidP="002957DC">
      <w:pPr>
        <w:ind w:left="360"/>
      </w:pPr>
      <w:r>
        <w:t>P09</w:t>
      </w:r>
      <w:r w:rsidR="002957DC">
        <w:t>_plán oprav po okresech</w:t>
      </w:r>
    </w:p>
    <w:p w:rsidR="002957DC" w:rsidRDefault="00E74CCF" w:rsidP="002957DC">
      <w:pPr>
        <w:ind w:left="360"/>
      </w:pPr>
      <w:r>
        <w:t>P10</w:t>
      </w:r>
      <w:r w:rsidR="002957DC">
        <w:t>_plán obnovy VDZ – tabulka</w:t>
      </w:r>
    </w:p>
    <w:p w:rsidR="002957DC" w:rsidRDefault="00E74CCF" w:rsidP="002957DC">
      <w:pPr>
        <w:ind w:left="360"/>
      </w:pPr>
      <w:r>
        <w:t>P11</w:t>
      </w:r>
      <w:r w:rsidR="002957DC">
        <w:t>_plán obnovy VDZ – mapa</w:t>
      </w:r>
    </w:p>
    <w:p w:rsidR="002957DC" w:rsidRDefault="002957DC" w:rsidP="002957DC">
      <w:pPr>
        <w:ind w:left="360"/>
      </w:pPr>
      <w:r>
        <w:t>P1</w:t>
      </w:r>
      <w:r w:rsidR="00E74CCF">
        <w:t>2</w:t>
      </w:r>
      <w:r>
        <w:t xml:space="preserve">_srovnání s rokem 2014 </w:t>
      </w:r>
    </w:p>
    <w:p w:rsidR="002957DC" w:rsidRDefault="002957DC" w:rsidP="002957DC">
      <w:pPr>
        <w:ind w:left="360"/>
      </w:pPr>
    </w:p>
    <w:p w:rsidR="002957DC" w:rsidRDefault="002957DC" w:rsidP="002957DC">
      <w:r>
        <w:t xml:space="preserve"> </w:t>
      </w:r>
    </w:p>
    <w:p w:rsidR="00B26B0C" w:rsidRDefault="00B26B0C"/>
    <w:sectPr w:rsidR="00B26B0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39D" w:rsidRDefault="00A6539D" w:rsidP="006A2320">
      <w:r>
        <w:separator/>
      </w:r>
    </w:p>
  </w:endnote>
  <w:endnote w:type="continuationSeparator" w:id="0">
    <w:p w:rsidR="00A6539D" w:rsidRDefault="00A6539D" w:rsidP="006A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39D" w:rsidRDefault="00A6539D" w:rsidP="006A2320">
      <w:r>
        <w:separator/>
      </w:r>
    </w:p>
  </w:footnote>
  <w:footnote w:type="continuationSeparator" w:id="0">
    <w:p w:rsidR="00A6539D" w:rsidRDefault="00A6539D" w:rsidP="006A2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320" w:rsidRDefault="006A2320">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4AA1A"/>
    <w:multiLevelType w:val="multilevel"/>
    <w:tmpl w:val="6DA346D1"/>
    <w:lvl w:ilvl="0">
      <w:numFmt w:val="bullet"/>
      <w:lvlText w:val=""/>
      <w:lvlJc w:val="left"/>
      <w:pPr>
        <w:tabs>
          <w:tab w:val="num" w:pos="1775"/>
        </w:tabs>
        <w:ind w:left="1775" w:hanging="357"/>
      </w:pPr>
      <w:rPr>
        <w:rFonts w:ascii="Symbol" w:hAnsi="Symbol"/>
        <w:i/>
        <w:sz w:val="24"/>
      </w:rPr>
    </w:lvl>
    <w:lvl w:ilvl="1">
      <w:numFmt w:val="bullet"/>
      <w:lvlText w:val="o"/>
      <w:lvlJc w:val="left"/>
      <w:pPr>
        <w:tabs>
          <w:tab w:val="num" w:pos="2496"/>
        </w:tabs>
        <w:ind w:left="2496" w:hanging="360"/>
      </w:pPr>
      <w:rPr>
        <w:rFonts w:ascii="Courier New" w:hAnsi="Courier New"/>
        <w:sz w:val="24"/>
      </w:rPr>
    </w:lvl>
    <w:lvl w:ilvl="2">
      <w:numFmt w:val="bullet"/>
      <w:lvlText w:val=""/>
      <w:lvlJc w:val="left"/>
      <w:pPr>
        <w:tabs>
          <w:tab w:val="num" w:pos="3216"/>
        </w:tabs>
        <w:ind w:left="3216" w:hanging="360"/>
      </w:pPr>
      <w:rPr>
        <w:rFonts w:ascii="Wingdings" w:hAnsi="Wingdings"/>
        <w:sz w:val="24"/>
      </w:rPr>
    </w:lvl>
    <w:lvl w:ilvl="3">
      <w:numFmt w:val="bullet"/>
      <w:lvlText w:val=""/>
      <w:lvlJc w:val="left"/>
      <w:pPr>
        <w:tabs>
          <w:tab w:val="num" w:pos="3936"/>
        </w:tabs>
        <w:ind w:left="3936" w:hanging="360"/>
      </w:pPr>
      <w:rPr>
        <w:rFonts w:ascii="Symbol" w:hAnsi="Symbol"/>
        <w:sz w:val="24"/>
      </w:rPr>
    </w:lvl>
    <w:lvl w:ilvl="4">
      <w:numFmt w:val="bullet"/>
      <w:lvlText w:val="o"/>
      <w:lvlJc w:val="left"/>
      <w:pPr>
        <w:tabs>
          <w:tab w:val="num" w:pos="4656"/>
        </w:tabs>
        <w:ind w:left="4656" w:hanging="360"/>
      </w:pPr>
      <w:rPr>
        <w:rFonts w:ascii="Courier New" w:hAnsi="Courier New"/>
        <w:sz w:val="24"/>
      </w:rPr>
    </w:lvl>
    <w:lvl w:ilvl="5">
      <w:numFmt w:val="bullet"/>
      <w:lvlText w:val=""/>
      <w:lvlJc w:val="left"/>
      <w:pPr>
        <w:tabs>
          <w:tab w:val="num" w:pos="5376"/>
        </w:tabs>
        <w:ind w:left="5376" w:hanging="360"/>
      </w:pPr>
      <w:rPr>
        <w:rFonts w:ascii="Wingdings" w:hAnsi="Wingdings"/>
        <w:sz w:val="24"/>
      </w:rPr>
    </w:lvl>
    <w:lvl w:ilvl="6">
      <w:numFmt w:val="bullet"/>
      <w:lvlText w:val=""/>
      <w:lvlJc w:val="left"/>
      <w:pPr>
        <w:tabs>
          <w:tab w:val="num" w:pos="6096"/>
        </w:tabs>
        <w:ind w:left="6096" w:hanging="360"/>
      </w:pPr>
      <w:rPr>
        <w:rFonts w:ascii="Symbol" w:hAnsi="Symbol"/>
        <w:sz w:val="24"/>
      </w:rPr>
    </w:lvl>
    <w:lvl w:ilvl="7">
      <w:numFmt w:val="bullet"/>
      <w:lvlText w:val="o"/>
      <w:lvlJc w:val="left"/>
      <w:pPr>
        <w:tabs>
          <w:tab w:val="num" w:pos="6816"/>
        </w:tabs>
        <w:ind w:left="6816" w:hanging="360"/>
      </w:pPr>
      <w:rPr>
        <w:rFonts w:ascii="Courier New" w:hAnsi="Courier New"/>
        <w:sz w:val="24"/>
      </w:rPr>
    </w:lvl>
    <w:lvl w:ilvl="8">
      <w:numFmt w:val="bullet"/>
      <w:lvlText w:val=""/>
      <w:lvlJc w:val="left"/>
      <w:pPr>
        <w:tabs>
          <w:tab w:val="num" w:pos="7536"/>
        </w:tabs>
        <w:ind w:left="7536" w:hanging="360"/>
      </w:pPr>
      <w:rPr>
        <w:rFonts w:ascii="Wingdings" w:hAnsi="Wingdings"/>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20"/>
    <w:rsid w:val="002957DC"/>
    <w:rsid w:val="00301C38"/>
    <w:rsid w:val="00393401"/>
    <w:rsid w:val="00430049"/>
    <w:rsid w:val="0044195B"/>
    <w:rsid w:val="00643CAE"/>
    <w:rsid w:val="006A2320"/>
    <w:rsid w:val="007531EA"/>
    <w:rsid w:val="00A44244"/>
    <w:rsid w:val="00A6539D"/>
    <w:rsid w:val="00AA1F24"/>
    <w:rsid w:val="00B26B0C"/>
    <w:rsid w:val="00E234E3"/>
    <w:rsid w:val="00E74CCF"/>
    <w:rsid w:val="00EC6920"/>
    <w:rsid w:val="00EE5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692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EC69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EC6920"/>
    <w:rPr>
      <w:rFonts w:asciiTheme="majorHAnsi" w:eastAsiaTheme="majorEastAsia" w:hAnsiTheme="majorHAnsi" w:cstheme="majorBidi"/>
      <w:color w:val="17365D" w:themeColor="text2" w:themeShade="BF"/>
      <w:spacing w:val="5"/>
      <w:kern w:val="28"/>
      <w:sz w:val="52"/>
      <w:szCs w:val="52"/>
      <w:lang w:eastAsia="cs-CZ"/>
    </w:rPr>
  </w:style>
  <w:style w:type="paragraph" w:styleId="Zhlav">
    <w:name w:val="header"/>
    <w:basedOn w:val="Normln"/>
    <w:link w:val="ZhlavChar"/>
    <w:rsid w:val="00EC6920"/>
    <w:pPr>
      <w:tabs>
        <w:tab w:val="center" w:pos="4536"/>
        <w:tab w:val="right" w:pos="9072"/>
      </w:tabs>
    </w:pPr>
  </w:style>
  <w:style w:type="character" w:customStyle="1" w:styleId="ZhlavChar">
    <w:name w:val="Záhlaví Char"/>
    <w:basedOn w:val="Standardnpsmoodstavce"/>
    <w:link w:val="Zhlav"/>
    <w:rsid w:val="00EC69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A2320"/>
    <w:pPr>
      <w:tabs>
        <w:tab w:val="center" w:pos="4536"/>
        <w:tab w:val="right" w:pos="9072"/>
      </w:tabs>
    </w:pPr>
  </w:style>
  <w:style w:type="character" w:customStyle="1" w:styleId="ZpatChar">
    <w:name w:val="Zápatí Char"/>
    <w:basedOn w:val="Standardnpsmoodstavce"/>
    <w:link w:val="Zpat"/>
    <w:uiPriority w:val="99"/>
    <w:rsid w:val="006A2320"/>
    <w:rPr>
      <w:rFonts w:ascii="Times New Roman" w:eastAsia="Times New Roman" w:hAnsi="Times New Roman" w:cs="Times New Roman"/>
      <w:sz w:val="24"/>
      <w:szCs w:val="24"/>
      <w:lang w:eastAsia="cs-CZ"/>
    </w:rPr>
  </w:style>
  <w:style w:type="character" w:customStyle="1" w:styleId="tsubjname">
    <w:name w:val="tsubjname"/>
    <w:uiPriority w:val="99"/>
    <w:rsid w:val="002957DC"/>
    <w:rPr>
      <w:rFonts w:ascii="Arial" w:hAnsi="Arial"/>
    </w:rPr>
  </w:style>
  <w:style w:type="paragraph" w:customStyle="1" w:styleId="Default">
    <w:name w:val="Default"/>
    <w:uiPriority w:val="99"/>
    <w:rsid w:val="002957DC"/>
    <w:pPr>
      <w:widowControl w:val="0"/>
      <w:autoSpaceDE w:val="0"/>
      <w:autoSpaceDN w:val="0"/>
      <w:adjustRightInd w:val="0"/>
      <w:spacing w:after="0" w:line="240" w:lineRule="auto"/>
    </w:pPr>
    <w:rPr>
      <w:rFonts w:ascii="Calibri" w:eastAsia="Times New Roman" w:hAnsi="Calibri"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692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EC69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EC6920"/>
    <w:rPr>
      <w:rFonts w:asciiTheme="majorHAnsi" w:eastAsiaTheme="majorEastAsia" w:hAnsiTheme="majorHAnsi" w:cstheme="majorBidi"/>
      <w:color w:val="17365D" w:themeColor="text2" w:themeShade="BF"/>
      <w:spacing w:val="5"/>
      <w:kern w:val="28"/>
      <w:sz w:val="52"/>
      <w:szCs w:val="52"/>
      <w:lang w:eastAsia="cs-CZ"/>
    </w:rPr>
  </w:style>
  <w:style w:type="paragraph" w:styleId="Zhlav">
    <w:name w:val="header"/>
    <w:basedOn w:val="Normln"/>
    <w:link w:val="ZhlavChar"/>
    <w:rsid w:val="00EC6920"/>
    <w:pPr>
      <w:tabs>
        <w:tab w:val="center" w:pos="4536"/>
        <w:tab w:val="right" w:pos="9072"/>
      </w:tabs>
    </w:pPr>
  </w:style>
  <w:style w:type="character" w:customStyle="1" w:styleId="ZhlavChar">
    <w:name w:val="Záhlaví Char"/>
    <w:basedOn w:val="Standardnpsmoodstavce"/>
    <w:link w:val="Zhlav"/>
    <w:rsid w:val="00EC69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A2320"/>
    <w:pPr>
      <w:tabs>
        <w:tab w:val="center" w:pos="4536"/>
        <w:tab w:val="right" w:pos="9072"/>
      </w:tabs>
    </w:pPr>
  </w:style>
  <w:style w:type="character" w:customStyle="1" w:styleId="ZpatChar">
    <w:name w:val="Zápatí Char"/>
    <w:basedOn w:val="Standardnpsmoodstavce"/>
    <w:link w:val="Zpat"/>
    <w:uiPriority w:val="99"/>
    <w:rsid w:val="006A2320"/>
    <w:rPr>
      <w:rFonts w:ascii="Times New Roman" w:eastAsia="Times New Roman" w:hAnsi="Times New Roman" w:cs="Times New Roman"/>
      <w:sz w:val="24"/>
      <w:szCs w:val="24"/>
      <w:lang w:eastAsia="cs-CZ"/>
    </w:rPr>
  </w:style>
  <w:style w:type="character" w:customStyle="1" w:styleId="tsubjname">
    <w:name w:val="tsubjname"/>
    <w:uiPriority w:val="99"/>
    <w:rsid w:val="002957DC"/>
    <w:rPr>
      <w:rFonts w:ascii="Arial" w:hAnsi="Arial"/>
    </w:rPr>
  </w:style>
  <w:style w:type="paragraph" w:customStyle="1" w:styleId="Default">
    <w:name w:val="Default"/>
    <w:uiPriority w:val="99"/>
    <w:rsid w:val="002957DC"/>
    <w:pPr>
      <w:widowControl w:val="0"/>
      <w:autoSpaceDE w:val="0"/>
      <w:autoSpaceDN w:val="0"/>
      <w:adjustRightInd w:val="0"/>
      <w:spacing w:after="0" w:line="240" w:lineRule="auto"/>
    </w:pPr>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924</Words>
  <Characters>5455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Sulcova Eva</dc:creator>
  <cp:lastModifiedBy>Jezkova Zuzana</cp:lastModifiedBy>
  <cp:revision>15</cp:revision>
  <dcterms:created xsi:type="dcterms:W3CDTF">2015-04-22T08:58:00Z</dcterms:created>
  <dcterms:modified xsi:type="dcterms:W3CDTF">2015-05-19T09:23:00Z</dcterms:modified>
</cp:coreProperties>
</file>