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6920" w:rsidRPr="001D0DFF" w:rsidRDefault="00393401" w:rsidP="00EC6920">
      <w:pPr>
        <w:pStyle w:val="Nzev"/>
        <w:pBdr>
          <w:bottom w:val="single" w:sz="4" w:space="1" w:color="auto"/>
        </w:pBdr>
        <w:jc w:val="center"/>
        <w:outlineLvl w:val="0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PÍSEMNÁ INFORMACE pro 5</w:t>
      </w:r>
      <w:r w:rsidR="00EC6920" w:rsidRPr="001D0DFF">
        <w:rPr>
          <w:b/>
          <w:color w:val="auto"/>
          <w:sz w:val="32"/>
          <w:szCs w:val="32"/>
        </w:rPr>
        <w:t>. jednání Zastupitelstva LK</w:t>
      </w:r>
    </w:p>
    <w:p w:rsidR="00EC6920" w:rsidRPr="001D0DFF" w:rsidRDefault="00393401" w:rsidP="00EC6920">
      <w:pPr>
        <w:pStyle w:val="Nzev"/>
        <w:pBdr>
          <w:bottom w:val="single" w:sz="4" w:space="1" w:color="auto"/>
        </w:pBdr>
        <w:jc w:val="center"/>
        <w:rPr>
          <w:b/>
          <w:color w:val="auto"/>
          <w:sz w:val="32"/>
          <w:szCs w:val="32"/>
        </w:rPr>
      </w:pPr>
      <w:r>
        <w:rPr>
          <w:b/>
          <w:color w:val="auto"/>
          <w:sz w:val="32"/>
          <w:szCs w:val="32"/>
        </w:rPr>
        <w:t>dne 26</w:t>
      </w:r>
      <w:r w:rsidR="00EC6920" w:rsidRPr="001D0DFF">
        <w:rPr>
          <w:b/>
          <w:color w:val="auto"/>
          <w:sz w:val="32"/>
          <w:szCs w:val="32"/>
        </w:rPr>
        <w:t>.</w:t>
      </w:r>
      <w:r w:rsidR="00EC6920">
        <w:rPr>
          <w:b/>
          <w:color w:val="auto"/>
          <w:sz w:val="32"/>
          <w:szCs w:val="32"/>
        </w:rPr>
        <w:t xml:space="preserve"> </w:t>
      </w:r>
      <w:r>
        <w:rPr>
          <w:b/>
          <w:color w:val="auto"/>
          <w:sz w:val="32"/>
          <w:szCs w:val="32"/>
        </w:rPr>
        <w:t>5</w:t>
      </w:r>
      <w:r w:rsidR="00EC6920" w:rsidRPr="001D0DFF">
        <w:rPr>
          <w:b/>
          <w:color w:val="auto"/>
          <w:sz w:val="32"/>
          <w:szCs w:val="32"/>
        </w:rPr>
        <w:t>.</w:t>
      </w:r>
      <w:r w:rsidR="00EC6920">
        <w:rPr>
          <w:b/>
          <w:color w:val="auto"/>
          <w:sz w:val="32"/>
          <w:szCs w:val="32"/>
        </w:rPr>
        <w:t xml:space="preserve"> </w:t>
      </w:r>
      <w:r w:rsidR="00EC6920" w:rsidRPr="001D0DFF">
        <w:rPr>
          <w:b/>
          <w:color w:val="auto"/>
          <w:sz w:val="32"/>
          <w:szCs w:val="32"/>
        </w:rPr>
        <w:t>2015</w:t>
      </w:r>
    </w:p>
    <w:p w:rsidR="00EC6920" w:rsidRPr="00B52E2C" w:rsidRDefault="00EC6920" w:rsidP="00EC6920">
      <w:pPr>
        <w:jc w:val="center"/>
        <w:rPr>
          <w:b/>
          <w:bCs/>
          <w:sz w:val="32"/>
          <w:szCs w:val="32"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EC6920" w:rsidP="00EC6920">
      <w:pPr>
        <w:jc w:val="center"/>
        <w:rPr>
          <w:b/>
          <w:bCs/>
        </w:rPr>
      </w:pPr>
    </w:p>
    <w:p w:rsidR="00EC6920" w:rsidRPr="00B52E2C" w:rsidRDefault="00AE4DC2" w:rsidP="00EC6920">
      <w:pPr>
        <w:jc w:val="center"/>
        <w:rPr>
          <w:b/>
          <w:bCs/>
        </w:rPr>
      </w:pPr>
      <w:r>
        <w:rPr>
          <w:b/>
          <w:bCs/>
        </w:rPr>
        <w:t>47</w:t>
      </w:r>
      <w:bookmarkStart w:id="0" w:name="_GoBack"/>
      <w:bookmarkEnd w:id="0"/>
      <w:r w:rsidR="007C6B91">
        <w:rPr>
          <w:b/>
          <w:bCs/>
        </w:rPr>
        <w:t xml:space="preserve"> </w:t>
      </w:r>
      <w:r w:rsidR="00E02905">
        <w:rPr>
          <w:b/>
          <w:bCs/>
        </w:rPr>
        <w:t>f</w:t>
      </w:r>
      <w:r w:rsidR="00EC6920">
        <w:rPr>
          <w:b/>
          <w:bCs/>
        </w:rPr>
        <w:t>)</w:t>
      </w:r>
    </w:p>
    <w:p w:rsidR="00EC6920" w:rsidRPr="00B52E2C" w:rsidRDefault="00393401" w:rsidP="00EC6920">
      <w:pPr>
        <w:jc w:val="center"/>
        <w:rPr>
          <w:b/>
          <w:bCs/>
          <w:sz w:val="28"/>
          <w:u w:val="single"/>
        </w:rPr>
      </w:pPr>
      <w:r>
        <w:rPr>
          <w:b/>
          <w:bCs/>
        </w:rPr>
        <w:t>Plánované akce Správy železniční dopravní cesty, státní organizace v  Libereckém kraji v období 2015</w:t>
      </w: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jc w:val="center"/>
        <w:rPr>
          <w:b/>
          <w:bCs/>
          <w:sz w:val="28"/>
          <w:u w:val="single"/>
        </w:rPr>
      </w:pPr>
    </w:p>
    <w:p w:rsidR="00EC6920" w:rsidRPr="00B52E2C" w:rsidRDefault="00EC6920" w:rsidP="00EC6920">
      <w:pPr>
        <w:rPr>
          <w:b/>
          <w:bCs/>
          <w:sz w:val="28"/>
          <w:u w:val="single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C6920" w:rsidRPr="00B52E2C" w:rsidTr="003101BB">
        <w:tc>
          <w:tcPr>
            <w:tcW w:w="2050" w:type="dxa"/>
          </w:tcPr>
          <w:p w:rsidR="00EC6920" w:rsidRPr="00B52E2C" w:rsidRDefault="00EC6920" w:rsidP="003101BB"/>
        </w:tc>
        <w:tc>
          <w:tcPr>
            <w:tcW w:w="7160" w:type="dxa"/>
          </w:tcPr>
          <w:p w:rsidR="00EC6920" w:rsidRPr="00B52E2C" w:rsidRDefault="00EC6920" w:rsidP="003101BB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EC6920" w:rsidRPr="00B52E2C" w:rsidTr="003101BB">
        <w:tc>
          <w:tcPr>
            <w:tcW w:w="2050" w:type="dxa"/>
          </w:tcPr>
          <w:p w:rsidR="00EC6920" w:rsidRPr="00B52E2C" w:rsidRDefault="00EC6920" w:rsidP="003101BB"/>
        </w:tc>
        <w:tc>
          <w:tcPr>
            <w:tcW w:w="7160" w:type="dxa"/>
          </w:tcPr>
          <w:p w:rsidR="00EC6920" w:rsidRPr="00B52E2C" w:rsidRDefault="00EC6920" w:rsidP="003101BB"/>
        </w:tc>
      </w:tr>
      <w:tr w:rsidR="00EC6920" w:rsidRPr="00B52E2C" w:rsidTr="003101BB">
        <w:tc>
          <w:tcPr>
            <w:tcW w:w="2050" w:type="dxa"/>
          </w:tcPr>
          <w:p w:rsidR="00EC6920" w:rsidRPr="00B52E2C" w:rsidRDefault="00EC6920" w:rsidP="003101BB">
            <w:r w:rsidRPr="00B52E2C">
              <w:t>Zpracoval:</w:t>
            </w:r>
          </w:p>
        </w:tc>
        <w:tc>
          <w:tcPr>
            <w:tcW w:w="7160" w:type="dxa"/>
          </w:tcPr>
          <w:p w:rsidR="00EC6920" w:rsidRPr="00B52E2C" w:rsidRDefault="00EC6920" w:rsidP="003101BB">
            <w:r w:rsidRPr="00B52E2C">
              <w:t xml:space="preserve">Ing. Jan Čáp </w:t>
            </w:r>
          </w:p>
        </w:tc>
      </w:tr>
      <w:tr w:rsidR="00EC6920" w:rsidRPr="00B52E2C" w:rsidTr="003101BB">
        <w:tc>
          <w:tcPr>
            <w:tcW w:w="2050" w:type="dxa"/>
          </w:tcPr>
          <w:p w:rsidR="00EC6920" w:rsidRPr="00B52E2C" w:rsidRDefault="00EC6920" w:rsidP="003101BB"/>
        </w:tc>
        <w:tc>
          <w:tcPr>
            <w:tcW w:w="7160" w:type="dxa"/>
          </w:tcPr>
          <w:p w:rsidR="00EC6920" w:rsidRPr="00B52E2C" w:rsidRDefault="00EC6920" w:rsidP="003101BB">
            <w:r w:rsidRPr="00B52E2C">
              <w:t>vedoucí odboru dopravy</w:t>
            </w:r>
          </w:p>
        </w:tc>
      </w:tr>
      <w:tr w:rsidR="00EC6920" w:rsidRPr="00B52E2C" w:rsidTr="003101BB">
        <w:tc>
          <w:tcPr>
            <w:tcW w:w="2050" w:type="dxa"/>
          </w:tcPr>
          <w:p w:rsidR="00EC6920" w:rsidRPr="00B52E2C" w:rsidRDefault="00EC6920" w:rsidP="003101BB"/>
        </w:tc>
        <w:tc>
          <w:tcPr>
            <w:tcW w:w="7160" w:type="dxa"/>
          </w:tcPr>
          <w:p w:rsidR="00EC6920" w:rsidRPr="00B52E2C" w:rsidRDefault="00EC6920" w:rsidP="003101BB"/>
        </w:tc>
      </w:tr>
      <w:tr w:rsidR="00EC6920" w:rsidRPr="00B52E2C" w:rsidTr="003101BB">
        <w:tc>
          <w:tcPr>
            <w:tcW w:w="2050" w:type="dxa"/>
          </w:tcPr>
          <w:p w:rsidR="00EC6920" w:rsidRPr="00B52E2C" w:rsidRDefault="00EC6920" w:rsidP="003101BB">
            <w:r w:rsidRPr="00B52E2C">
              <w:t>Předkládá:</w:t>
            </w:r>
          </w:p>
        </w:tc>
        <w:tc>
          <w:tcPr>
            <w:tcW w:w="7160" w:type="dxa"/>
          </w:tcPr>
          <w:p w:rsidR="00EC6920" w:rsidRPr="00B52E2C" w:rsidRDefault="00EC6920" w:rsidP="003101BB">
            <w:r w:rsidRPr="00B52E2C">
              <w:t xml:space="preserve">Vladimír Mastník  </w:t>
            </w:r>
          </w:p>
        </w:tc>
      </w:tr>
      <w:tr w:rsidR="00EC6920" w:rsidRPr="00B52E2C" w:rsidTr="003101BB">
        <w:tc>
          <w:tcPr>
            <w:tcW w:w="2050" w:type="dxa"/>
          </w:tcPr>
          <w:p w:rsidR="00EC6920" w:rsidRPr="00B52E2C" w:rsidRDefault="00EC6920" w:rsidP="003101BB"/>
        </w:tc>
        <w:tc>
          <w:tcPr>
            <w:tcW w:w="7160" w:type="dxa"/>
          </w:tcPr>
          <w:p w:rsidR="00EC6920" w:rsidRPr="00B52E2C" w:rsidRDefault="00EC6920" w:rsidP="003101BB">
            <w:r>
              <w:t>člen rady kraje, řízení resortu dopravy</w:t>
            </w:r>
          </w:p>
        </w:tc>
      </w:tr>
    </w:tbl>
    <w:p w:rsidR="00EC6920" w:rsidRDefault="00EC6920" w:rsidP="00EC6920">
      <w:pPr>
        <w:pStyle w:val="Zhlav"/>
        <w:tabs>
          <w:tab w:val="clear" w:pos="4536"/>
          <w:tab w:val="clear" w:pos="9072"/>
        </w:tabs>
        <w:spacing w:before="120" w:after="120"/>
        <w:rPr>
          <w:rFonts w:ascii="Garamond" w:eastAsia="MS Mincho" w:hAnsi="Garamond"/>
        </w:rPr>
      </w:pPr>
    </w:p>
    <w:p w:rsidR="007C6B91" w:rsidRDefault="007C6B91" w:rsidP="007C6B91">
      <w:pPr>
        <w:autoSpaceDE w:val="0"/>
        <w:autoSpaceDN w:val="0"/>
        <w:jc w:val="center"/>
        <w:rPr>
          <w:b/>
          <w:sz w:val="32"/>
          <w:szCs w:val="32"/>
        </w:rPr>
      </w:pPr>
    </w:p>
    <w:p w:rsidR="007C6B91" w:rsidRDefault="007C6B91" w:rsidP="007C6B91">
      <w:pPr>
        <w:autoSpaceDE w:val="0"/>
        <w:autoSpaceDN w:val="0"/>
        <w:jc w:val="center"/>
        <w:rPr>
          <w:b/>
          <w:sz w:val="32"/>
          <w:szCs w:val="32"/>
        </w:rPr>
      </w:pPr>
    </w:p>
    <w:p w:rsidR="007C6B91" w:rsidRDefault="007C6B91" w:rsidP="007C6B91">
      <w:pPr>
        <w:autoSpaceDE w:val="0"/>
        <w:autoSpaceDN w:val="0"/>
        <w:jc w:val="center"/>
        <w:rPr>
          <w:b/>
          <w:sz w:val="32"/>
          <w:szCs w:val="32"/>
        </w:rPr>
      </w:pPr>
    </w:p>
    <w:p w:rsidR="007C6B91" w:rsidRPr="007C6B91" w:rsidRDefault="007C6B91" w:rsidP="007C6B91">
      <w:pPr>
        <w:autoSpaceDE w:val="0"/>
        <w:autoSpaceDN w:val="0"/>
        <w:jc w:val="center"/>
        <w:rPr>
          <w:b/>
          <w:sz w:val="32"/>
          <w:szCs w:val="32"/>
        </w:rPr>
      </w:pPr>
      <w:r w:rsidRPr="007C6B91">
        <w:rPr>
          <w:b/>
          <w:sz w:val="32"/>
          <w:szCs w:val="32"/>
        </w:rPr>
        <w:lastRenderedPageBreak/>
        <w:t>Důvodová zpráva</w:t>
      </w:r>
    </w:p>
    <w:p w:rsidR="007C6B91" w:rsidRPr="007C6B91" w:rsidRDefault="007C6B91" w:rsidP="007C6B91">
      <w:pPr>
        <w:autoSpaceDE w:val="0"/>
        <w:autoSpaceDN w:val="0"/>
        <w:spacing w:after="120"/>
        <w:jc w:val="both"/>
        <w:rPr>
          <w:sz w:val="8"/>
          <w:szCs w:val="8"/>
        </w:rPr>
      </w:pPr>
    </w:p>
    <w:p w:rsidR="007C6B91" w:rsidRPr="007C6B91" w:rsidRDefault="007C6B91" w:rsidP="007C6B91">
      <w:pPr>
        <w:autoSpaceDE w:val="0"/>
        <w:autoSpaceDN w:val="0"/>
        <w:jc w:val="both"/>
      </w:pPr>
      <w:r w:rsidRPr="007C6B91">
        <w:t>Železniční infrastruktura v Libereckém kraji je zastaralá, do tratí nebyly několik desetiletí investovány žádné prostředky, které by zvyšovaly parametry dráhy na úroveň, která by reflektovala vývoj dopravních potřeb cestujících od doby výstavby železnice v 19. století s konkurencí koňských povozů. Bezpečnost provozu je na většině tratí v Libereckém kraji závislá pouze na telefonickém dorozumívání. Výhybky v nejdůležitějších křižovacích stanicích jsou stále manuálně ovládány v situaci, kdy došlo u provozovatele dráhy k personálním úsporám, ovšem bez náhrady technickými prostředky. Dlouhé technologické intervaly a jízdní doby v konečném důsledku zvyšují turnusovou potřebu vozidel, provozní náklady a naopak snižují kvalitu služeb.</w:t>
      </w:r>
    </w:p>
    <w:p w:rsidR="007C6B91" w:rsidRPr="007C6B91" w:rsidRDefault="007C6B91" w:rsidP="007C6B91">
      <w:pPr>
        <w:autoSpaceDE w:val="0"/>
        <w:autoSpaceDN w:val="0"/>
        <w:jc w:val="both"/>
      </w:pPr>
    </w:p>
    <w:p w:rsidR="007C6B91" w:rsidRPr="007C6B91" w:rsidRDefault="007C6B91" w:rsidP="007C6B91">
      <w:pPr>
        <w:autoSpaceDE w:val="0"/>
        <w:autoSpaceDN w:val="0"/>
        <w:jc w:val="both"/>
      </w:pPr>
      <w:r w:rsidRPr="007C6B91">
        <w:t xml:space="preserve">I v této situaci se resort dopravy ve spolupráci s KORID LK, spol. s.r.o. snaží zlepšit služby pro cestující a konkrétními kroky prokazuje zájem vytvořit z železnice páteř integrovaného dopravního systému. Dlouhodobě spolupracuje se Správou železniční dopravní cesty, státní organizací (dále SŽDC) při tvorbě atraktivních a efektivních dopravních konceptů. Výsledkem této spolupráce bylo na straně Libereckého kraje přispění k významné investice do modernizace vozového parku, realizovaná zadávací řízení a uzavřené dlouhodobé smlouvy s dopravci. </w:t>
      </w:r>
    </w:p>
    <w:p w:rsidR="007C6B91" w:rsidRPr="007C6B91" w:rsidRDefault="007C6B91" w:rsidP="007C6B91">
      <w:pPr>
        <w:autoSpaceDE w:val="0"/>
        <w:autoSpaceDN w:val="0"/>
        <w:jc w:val="both"/>
      </w:pPr>
    </w:p>
    <w:p w:rsidR="007C6B91" w:rsidRPr="007C6B91" w:rsidRDefault="007C6B91" w:rsidP="007C6B91">
      <w:pPr>
        <w:autoSpaceDE w:val="0"/>
        <w:autoSpaceDN w:val="0"/>
        <w:jc w:val="both"/>
      </w:pPr>
      <w:r w:rsidRPr="007C6B91">
        <w:t>V roce 2013 byl ukončen projekt INTER REGIO RAIL, na kterém participovalo 8 partnerů z Německa, Polska a Itálie v rámci dotačního programu CENTRAL EUROPE. Liberecký kraj zastupovala společnost KORID LK spol. s r.o. Výsledkem projektu pro českou stranu je dokument „LIBRAIL – železnice v Libereckém kraji v roce 2030“. S tímto dokumentem byli seznámeni i zástupci SŽDC.</w:t>
      </w:r>
    </w:p>
    <w:p w:rsidR="007C6B91" w:rsidRPr="007C6B91" w:rsidRDefault="007C6B91" w:rsidP="007C6B91">
      <w:pPr>
        <w:autoSpaceDE w:val="0"/>
        <w:autoSpaceDN w:val="0"/>
        <w:jc w:val="both"/>
      </w:pPr>
    </w:p>
    <w:p w:rsidR="007C6B91" w:rsidRPr="007C6B91" w:rsidRDefault="007C6B91" w:rsidP="007C6B91">
      <w:pPr>
        <w:autoSpaceDE w:val="0"/>
        <w:autoSpaceDN w:val="0"/>
        <w:jc w:val="both"/>
      </w:pPr>
      <w:r w:rsidRPr="007C6B91">
        <w:t>Vývoj výše investic do železniční infrastruktury na území Libereckého kraje v letech 2004 až 2015 ukazuje následující tabulka. V dokumentu Analýza dopravy Libereckého kraje jsou v jednotlivých letech uvedeny konkrétní akce, pro potřeby této zprávy uvádíme celková čísla.</w:t>
      </w:r>
    </w:p>
    <w:p w:rsidR="007C6B91" w:rsidRPr="007C6B91" w:rsidRDefault="007C6B91" w:rsidP="007C6B91">
      <w:pPr>
        <w:autoSpaceDE w:val="0"/>
        <w:autoSpaceDN w:val="0"/>
      </w:pPr>
    </w:p>
    <w:tbl>
      <w:tblPr>
        <w:tblW w:w="5315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4"/>
        <w:gridCol w:w="2151"/>
      </w:tblGrid>
      <w:tr w:rsidR="007C6B91" w:rsidRPr="007C6B91" w:rsidTr="000B7879">
        <w:tc>
          <w:tcPr>
            <w:tcW w:w="3164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</w:pPr>
            <w:r w:rsidRPr="007C6B91">
              <w:t>Rok 2004</w:t>
            </w:r>
          </w:p>
        </w:tc>
        <w:tc>
          <w:tcPr>
            <w:tcW w:w="2151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  <w:jc w:val="right"/>
            </w:pPr>
            <w:r w:rsidRPr="007C6B91">
              <w:t xml:space="preserve">  80,500 mil. Kč</w:t>
            </w:r>
          </w:p>
        </w:tc>
      </w:tr>
      <w:tr w:rsidR="007C6B91" w:rsidRPr="007C6B91" w:rsidTr="000B7879">
        <w:tc>
          <w:tcPr>
            <w:tcW w:w="3164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</w:pPr>
            <w:r w:rsidRPr="007C6B91">
              <w:t>Rok 2005</w:t>
            </w:r>
          </w:p>
        </w:tc>
        <w:tc>
          <w:tcPr>
            <w:tcW w:w="2151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  <w:jc w:val="right"/>
            </w:pPr>
            <w:r w:rsidRPr="007C6B91">
              <w:t>151,100 mil. Kč</w:t>
            </w:r>
          </w:p>
        </w:tc>
      </w:tr>
      <w:tr w:rsidR="007C6B91" w:rsidRPr="007C6B91" w:rsidTr="000B7879">
        <w:tc>
          <w:tcPr>
            <w:tcW w:w="3164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</w:pPr>
            <w:r w:rsidRPr="007C6B91">
              <w:t>Rok 2006</w:t>
            </w:r>
          </w:p>
        </w:tc>
        <w:tc>
          <w:tcPr>
            <w:tcW w:w="2151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  <w:jc w:val="right"/>
            </w:pPr>
            <w:r w:rsidRPr="007C6B91">
              <w:t>133,900 mil. Kč</w:t>
            </w:r>
          </w:p>
        </w:tc>
      </w:tr>
      <w:tr w:rsidR="007C6B91" w:rsidRPr="007C6B91" w:rsidTr="000B7879">
        <w:tc>
          <w:tcPr>
            <w:tcW w:w="3164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</w:pPr>
            <w:r w:rsidRPr="007C6B91">
              <w:t>Rok 2007</w:t>
            </w:r>
          </w:p>
        </w:tc>
        <w:tc>
          <w:tcPr>
            <w:tcW w:w="2151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  <w:jc w:val="right"/>
            </w:pPr>
            <w:r w:rsidRPr="007C6B91">
              <w:t>294,500 mil. Kč</w:t>
            </w:r>
          </w:p>
        </w:tc>
      </w:tr>
      <w:tr w:rsidR="007C6B91" w:rsidRPr="007C6B91" w:rsidTr="000B7879">
        <w:tc>
          <w:tcPr>
            <w:tcW w:w="3164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</w:pPr>
            <w:r w:rsidRPr="007C6B91">
              <w:t>Rok 2008</w:t>
            </w:r>
          </w:p>
        </w:tc>
        <w:tc>
          <w:tcPr>
            <w:tcW w:w="2151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  <w:jc w:val="right"/>
            </w:pPr>
            <w:r w:rsidRPr="007C6B91">
              <w:t>278,500 mil. Kč</w:t>
            </w:r>
          </w:p>
        </w:tc>
      </w:tr>
      <w:tr w:rsidR="007C6B91" w:rsidRPr="007C6B91" w:rsidTr="000B7879">
        <w:tc>
          <w:tcPr>
            <w:tcW w:w="3164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</w:pPr>
            <w:r w:rsidRPr="007C6B91">
              <w:t>Rok 2009</w:t>
            </w:r>
          </w:p>
        </w:tc>
        <w:tc>
          <w:tcPr>
            <w:tcW w:w="2151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  <w:jc w:val="right"/>
            </w:pPr>
            <w:r w:rsidRPr="007C6B91">
              <w:t>414,367 mil. Kč</w:t>
            </w:r>
          </w:p>
        </w:tc>
      </w:tr>
      <w:tr w:rsidR="007C6B91" w:rsidRPr="007C6B91" w:rsidTr="000B7879">
        <w:tc>
          <w:tcPr>
            <w:tcW w:w="3164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</w:pPr>
            <w:r w:rsidRPr="007C6B91">
              <w:t>Rok 2010</w:t>
            </w:r>
          </w:p>
        </w:tc>
        <w:tc>
          <w:tcPr>
            <w:tcW w:w="2151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  <w:jc w:val="right"/>
            </w:pPr>
            <w:r w:rsidRPr="007C6B91">
              <w:t>397,032 mil. Kč</w:t>
            </w:r>
          </w:p>
        </w:tc>
      </w:tr>
      <w:tr w:rsidR="007C6B91" w:rsidRPr="007C6B91" w:rsidTr="000B7879">
        <w:tc>
          <w:tcPr>
            <w:tcW w:w="3164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</w:pPr>
            <w:r w:rsidRPr="007C6B91">
              <w:t>Rok 2011</w:t>
            </w:r>
          </w:p>
        </w:tc>
        <w:tc>
          <w:tcPr>
            <w:tcW w:w="2151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  <w:jc w:val="right"/>
            </w:pPr>
            <w:r w:rsidRPr="007C6B91">
              <w:t>102,778 mil. Kč</w:t>
            </w:r>
          </w:p>
        </w:tc>
      </w:tr>
      <w:tr w:rsidR="007C6B91" w:rsidRPr="007C6B91" w:rsidTr="000B7879">
        <w:tc>
          <w:tcPr>
            <w:tcW w:w="3164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</w:pPr>
            <w:r w:rsidRPr="007C6B91">
              <w:t>Rok 2012</w:t>
            </w:r>
          </w:p>
        </w:tc>
        <w:tc>
          <w:tcPr>
            <w:tcW w:w="2151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  <w:jc w:val="right"/>
            </w:pPr>
            <w:r w:rsidRPr="007C6B91">
              <w:t>146,539 mil. Kč</w:t>
            </w:r>
          </w:p>
        </w:tc>
      </w:tr>
      <w:tr w:rsidR="007C6B91" w:rsidRPr="007C6B91" w:rsidTr="000B7879">
        <w:tc>
          <w:tcPr>
            <w:tcW w:w="3164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</w:pPr>
            <w:r w:rsidRPr="007C6B91">
              <w:t>Rok 2013</w:t>
            </w:r>
          </w:p>
        </w:tc>
        <w:tc>
          <w:tcPr>
            <w:tcW w:w="2151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  <w:jc w:val="right"/>
            </w:pPr>
            <w:r w:rsidRPr="007C6B91">
              <w:t>224,050 mil. Kč</w:t>
            </w:r>
          </w:p>
        </w:tc>
      </w:tr>
      <w:tr w:rsidR="007C6B91" w:rsidRPr="007C6B91" w:rsidTr="000B7879">
        <w:tc>
          <w:tcPr>
            <w:tcW w:w="3164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</w:pPr>
            <w:r w:rsidRPr="007C6B91">
              <w:t>Rok 2014</w:t>
            </w:r>
          </w:p>
        </w:tc>
        <w:tc>
          <w:tcPr>
            <w:tcW w:w="2151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  <w:jc w:val="right"/>
            </w:pPr>
            <w:r w:rsidRPr="007C6B91">
              <w:t>612,787 mil. Kč</w:t>
            </w:r>
          </w:p>
        </w:tc>
      </w:tr>
      <w:tr w:rsidR="007C6B91" w:rsidRPr="007C6B91" w:rsidTr="000B7879">
        <w:tc>
          <w:tcPr>
            <w:tcW w:w="3164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</w:pPr>
            <w:r w:rsidRPr="007C6B91">
              <w:t>Rok 2015 – plán</w:t>
            </w:r>
          </w:p>
        </w:tc>
        <w:tc>
          <w:tcPr>
            <w:tcW w:w="2151" w:type="dxa"/>
            <w:shd w:val="clear" w:color="auto" w:fill="auto"/>
          </w:tcPr>
          <w:p w:rsidR="007C6B91" w:rsidRPr="007C6B91" w:rsidRDefault="007C6B91" w:rsidP="007C6B91">
            <w:pPr>
              <w:autoSpaceDE w:val="0"/>
              <w:autoSpaceDN w:val="0"/>
              <w:jc w:val="right"/>
            </w:pPr>
            <w:r w:rsidRPr="007C6B91">
              <w:t>2 440,69 mil. Kč</w:t>
            </w:r>
          </w:p>
        </w:tc>
      </w:tr>
    </w:tbl>
    <w:p w:rsidR="007C6B91" w:rsidRPr="007C6B91" w:rsidRDefault="007C6B91" w:rsidP="007C6B91">
      <w:pPr>
        <w:autoSpaceDE w:val="0"/>
        <w:autoSpaceDN w:val="0"/>
      </w:pPr>
    </w:p>
    <w:p w:rsidR="007C6B91" w:rsidRPr="007C6B91" w:rsidRDefault="007C6B91" w:rsidP="007C6B91">
      <w:pPr>
        <w:autoSpaceDE w:val="0"/>
        <w:autoSpaceDN w:val="0"/>
        <w:jc w:val="both"/>
      </w:pPr>
      <w:r w:rsidRPr="007C6B91">
        <w:t>V příloze č. 1., která byla poskytnuta SŽDC oblastním ředitelstvím Hradec Králové, jsou uvedeny konkrétní akce, v období roku 2015 budou realizovány:</w:t>
      </w:r>
    </w:p>
    <w:p w:rsidR="007C6B91" w:rsidRPr="007C6B91" w:rsidRDefault="007C6B91" w:rsidP="007C6B91">
      <w:pPr>
        <w:numPr>
          <w:ilvl w:val="0"/>
          <w:numId w:val="1"/>
        </w:numPr>
        <w:autoSpaceDE w:val="0"/>
        <w:autoSpaceDN w:val="0"/>
        <w:jc w:val="both"/>
      </w:pPr>
      <w:r w:rsidRPr="007C6B91">
        <w:t xml:space="preserve">investiční akce dle vysoutěžených cen ve výši 901,290 mil. Kč,  </w:t>
      </w:r>
    </w:p>
    <w:p w:rsidR="007C6B91" w:rsidRPr="007C6B91" w:rsidRDefault="007C6B91" w:rsidP="007C6B91">
      <w:pPr>
        <w:numPr>
          <w:ilvl w:val="0"/>
          <w:numId w:val="1"/>
        </w:numPr>
        <w:autoSpaceDE w:val="0"/>
        <w:autoSpaceDN w:val="0"/>
        <w:jc w:val="both"/>
      </w:pPr>
      <w:r w:rsidRPr="007C6B91">
        <w:t>akce na odstranění propadů rychlostí v předpokládané výši 1 472 mil. Kč,</w:t>
      </w:r>
    </w:p>
    <w:p w:rsidR="007C6B91" w:rsidRPr="007C6B91" w:rsidRDefault="007C6B91" w:rsidP="007C6B91">
      <w:pPr>
        <w:numPr>
          <w:ilvl w:val="0"/>
          <w:numId w:val="1"/>
        </w:numPr>
        <w:autoSpaceDE w:val="0"/>
        <w:autoSpaceDN w:val="0"/>
        <w:jc w:val="both"/>
      </w:pPr>
      <w:r w:rsidRPr="007C6B91">
        <w:t>opravy v předpokládané výši 67,4 mil. Kč.</w:t>
      </w:r>
    </w:p>
    <w:p w:rsidR="007C6B91" w:rsidRPr="007C6B91" w:rsidRDefault="007C6B91" w:rsidP="007C6B91">
      <w:pPr>
        <w:autoSpaceDE w:val="0"/>
        <w:autoSpaceDN w:val="0"/>
        <w:jc w:val="both"/>
      </w:pPr>
    </w:p>
    <w:p w:rsidR="007C6B91" w:rsidRPr="007C6B91" w:rsidRDefault="007C6B91" w:rsidP="007C6B91">
      <w:pPr>
        <w:autoSpaceDE w:val="0"/>
        <w:autoSpaceDN w:val="0"/>
        <w:jc w:val="both"/>
      </w:pPr>
      <w:r w:rsidRPr="007C6B91">
        <w:lastRenderedPageBreak/>
        <w:t>Dalším krokem, který směřuje k nastavení efektivní spolupráce, jsou pravidelná jednání pana Vladimíra Mastníka se zástupci SŽDC, oblastní ředitelství Hradec Králové, za účasti zástupců Odboru dopravy a KORID LK, spol. s r.o. Na těchto jednáních jsou projednávány priority a požadavky Libereckého kraje, ze strany oblastního ředitelství Hradec Králové jsou prezentovány informace o vývoji soutěží na zhotovitele akcí, informace týkající se postupu prací na jednotlivých akcích.</w:t>
      </w:r>
    </w:p>
    <w:p w:rsidR="007C6B91" w:rsidRPr="007C6B91" w:rsidRDefault="007C6B91" w:rsidP="007C6B91">
      <w:pPr>
        <w:autoSpaceDE w:val="0"/>
        <w:autoSpaceDN w:val="0"/>
        <w:jc w:val="both"/>
      </w:pPr>
      <w:r w:rsidRPr="007C6B91">
        <w:t>Resort dopravy jednoznačně doporučuje pokračovat v dobře nastartované spolupráci se SŽDC a dále vyvíjet tlak na udržení či zvýšení finančních prostředků směřujících do železniční infrastruktury Libereckého kraje. Na základě žádosti resortu dopravy bude SŽDC spolupracovat i v oblasti technických a technologických požadavků v rámci přípravy výběrových řízení na zajištění dopravní obslužnosti železniční dopravou.</w:t>
      </w:r>
    </w:p>
    <w:p w:rsidR="007C6B91" w:rsidRPr="007C6B91" w:rsidRDefault="007C6B91" w:rsidP="007C6B91">
      <w:pPr>
        <w:autoSpaceDE w:val="0"/>
        <w:autoSpaceDN w:val="0"/>
        <w:rPr>
          <w:highlight w:val="yellow"/>
        </w:rPr>
      </w:pPr>
    </w:p>
    <w:p w:rsidR="007C6B91" w:rsidRPr="007C6B91" w:rsidRDefault="007C6B91" w:rsidP="007C6B91">
      <w:pPr>
        <w:keepNext/>
        <w:spacing w:after="40"/>
        <w:outlineLvl w:val="0"/>
        <w:rPr>
          <w:b/>
          <w:bCs/>
          <w:u w:val="single"/>
        </w:rPr>
      </w:pPr>
      <w:r w:rsidRPr="007C6B91">
        <w:rPr>
          <w:b/>
          <w:bCs/>
          <w:u w:val="single"/>
        </w:rPr>
        <w:t>Přílohy:</w:t>
      </w:r>
    </w:p>
    <w:p w:rsidR="007C6B91" w:rsidRPr="007C6B91" w:rsidRDefault="00027F65" w:rsidP="007C6B91">
      <w:pPr>
        <w:tabs>
          <w:tab w:val="center" w:pos="4536"/>
          <w:tab w:val="right" w:pos="9072"/>
        </w:tabs>
        <w:autoSpaceDE w:val="0"/>
        <w:autoSpaceDN w:val="0"/>
      </w:pPr>
      <w:r>
        <w:t>P02</w:t>
      </w:r>
      <w:r w:rsidR="007C6B91" w:rsidRPr="007C6B91">
        <w:t>_Tabulka_akci_SZDC_LK_2015</w:t>
      </w:r>
    </w:p>
    <w:p w:rsidR="007C6B91" w:rsidRPr="007C6B91" w:rsidRDefault="007C6B91" w:rsidP="007C6B91">
      <w:pPr>
        <w:autoSpaceDE w:val="0"/>
        <w:autoSpaceDN w:val="0"/>
        <w:jc w:val="both"/>
        <w:rPr>
          <w:sz w:val="8"/>
          <w:szCs w:val="8"/>
        </w:rPr>
      </w:pPr>
    </w:p>
    <w:p w:rsidR="007C6B91" w:rsidRPr="007C6B91" w:rsidRDefault="007C6B91" w:rsidP="007C6B91">
      <w:pPr>
        <w:autoSpaceDE w:val="0"/>
        <w:autoSpaceDN w:val="0"/>
        <w:jc w:val="both"/>
        <w:rPr>
          <w:sz w:val="8"/>
          <w:szCs w:val="8"/>
        </w:rPr>
      </w:pPr>
    </w:p>
    <w:p w:rsidR="00B26B0C" w:rsidRDefault="00B26B0C"/>
    <w:sectPr w:rsidR="00B26B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261FEA"/>
    <w:multiLevelType w:val="hybridMultilevel"/>
    <w:tmpl w:val="CF8A5B9C"/>
    <w:lvl w:ilvl="0" w:tplc="AD74ABEA">
      <w:start w:val="2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20"/>
    <w:rsid w:val="00027F65"/>
    <w:rsid w:val="00301C38"/>
    <w:rsid w:val="00393401"/>
    <w:rsid w:val="007C6B91"/>
    <w:rsid w:val="00AE4DC2"/>
    <w:rsid w:val="00B26B0C"/>
    <w:rsid w:val="00E02905"/>
    <w:rsid w:val="00EC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EC69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EC6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hlav">
    <w:name w:val="header"/>
    <w:basedOn w:val="Normln"/>
    <w:link w:val="ZhlavChar"/>
    <w:rsid w:val="00EC69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692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C69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qFormat/>
    <w:rsid w:val="00EC69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EC69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Zhlav">
    <w:name w:val="header"/>
    <w:basedOn w:val="Normln"/>
    <w:link w:val="ZhlavChar"/>
    <w:rsid w:val="00EC69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C6920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Sulcova Eva</dc:creator>
  <cp:lastModifiedBy>Jezkova Zuzana</cp:lastModifiedBy>
  <cp:revision>8</cp:revision>
  <cp:lastPrinted>2015-05-12T08:40:00Z</cp:lastPrinted>
  <dcterms:created xsi:type="dcterms:W3CDTF">2015-04-22T08:58:00Z</dcterms:created>
  <dcterms:modified xsi:type="dcterms:W3CDTF">2015-05-19T09:32:00Z</dcterms:modified>
</cp:coreProperties>
</file>