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66" w:rsidRPr="00E64062" w:rsidRDefault="00B74288" w:rsidP="009F1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</w:t>
      </w:r>
      <w:r w:rsidR="001C5DDA">
        <w:rPr>
          <w:b/>
          <w:sz w:val="32"/>
          <w:szCs w:val="32"/>
        </w:rPr>
        <w:t xml:space="preserve"> </w:t>
      </w:r>
      <w:r w:rsidR="00F53624">
        <w:rPr>
          <w:b/>
          <w:sz w:val="32"/>
          <w:szCs w:val="32"/>
        </w:rPr>
        <w:t>6</w:t>
      </w:r>
      <w:r w:rsidR="009E25A6">
        <w:rPr>
          <w:b/>
          <w:sz w:val="32"/>
          <w:szCs w:val="32"/>
        </w:rPr>
        <w:t>.</w:t>
      </w:r>
      <w:r w:rsidR="009F1D66" w:rsidRPr="00E64062">
        <w:rPr>
          <w:b/>
          <w:sz w:val="32"/>
          <w:szCs w:val="32"/>
        </w:rPr>
        <w:t xml:space="preserve"> zasedání </w:t>
      </w:r>
      <w:r w:rsidR="00713620">
        <w:rPr>
          <w:b/>
          <w:sz w:val="32"/>
          <w:szCs w:val="32"/>
        </w:rPr>
        <w:t>z</w:t>
      </w:r>
      <w:r w:rsidR="009F1D66" w:rsidRPr="00E64062">
        <w:rPr>
          <w:b/>
          <w:sz w:val="32"/>
          <w:szCs w:val="32"/>
        </w:rPr>
        <w:t>astupitelstva kraje</w:t>
      </w:r>
    </w:p>
    <w:p w:rsidR="009F1D66" w:rsidRPr="000F77DB" w:rsidRDefault="00B47539" w:rsidP="009F1D66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dne </w:t>
      </w:r>
      <w:r w:rsidR="00411F3D">
        <w:rPr>
          <w:b/>
          <w:sz w:val="32"/>
          <w:szCs w:val="32"/>
        </w:rPr>
        <w:t>2</w:t>
      </w:r>
      <w:r w:rsidR="00F53624">
        <w:rPr>
          <w:b/>
          <w:sz w:val="32"/>
          <w:szCs w:val="32"/>
        </w:rPr>
        <w:t>3</w:t>
      </w:r>
      <w:r w:rsidR="00CF5715">
        <w:rPr>
          <w:b/>
          <w:sz w:val="32"/>
          <w:szCs w:val="32"/>
        </w:rPr>
        <w:t xml:space="preserve">. </w:t>
      </w:r>
      <w:r w:rsidR="00F53624">
        <w:rPr>
          <w:b/>
          <w:sz w:val="32"/>
          <w:szCs w:val="32"/>
        </w:rPr>
        <w:t>6</w:t>
      </w:r>
      <w:r w:rsidR="006C55A8">
        <w:rPr>
          <w:b/>
          <w:sz w:val="32"/>
          <w:szCs w:val="32"/>
        </w:rPr>
        <w:t>. 2</w:t>
      </w:r>
      <w:r w:rsidR="00FB1AE6">
        <w:rPr>
          <w:b/>
          <w:sz w:val="32"/>
          <w:szCs w:val="32"/>
        </w:rPr>
        <w:t>01</w:t>
      </w:r>
      <w:r w:rsidR="00700778">
        <w:rPr>
          <w:b/>
          <w:sz w:val="32"/>
          <w:szCs w:val="32"/>
        </w:rPr>
        <w:t>5</w:t>
      </w:r>
    </w:p>
    <w:p w:rsidR="009F1D66" w:rsidRDefault="009F1D66" w:rsidP="009F1D66"/>
    <w:p w:rsidR="009F1D66" w:rsidRPr="00E64062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F53624" w:rsidRDefault="00F53624" w:rsidP="00F53624">
      <w:pPr>
        <w:jc w:val="center"/>
        <w:rPr>
          <w:b/>
          <w:sz w:val="32"/>
          <w:szCs w:val="32"/>
        </w:rPr>
      </w:pPr>
    </w:p>
    <w:p w:rsidR="00F53624" w:rsidRDefault="00F53624" w:rsidP="00F53624">
      <w:pPr>
        <w:jc w:val="center"/>
        <w:rPr>
          <w:b/>
          <w:sz w:val="32"/>
          <w:szCs w:val="32"/>
        </w:rPr>
      </w:pPr>
    </w:p>
    <w:p w:rsidR="00F53624" w:rsidRDefault="00F53624" w:rsidP="00F53624">
      <w:pPr>
        <w:jc w:val="center"/>
        <w:rPr>
          <w:b/>
          <w:sz w:val="32"/>
          <w:szCs w:val="32"/>
        </w:rPr>
      </w:pPr>
    </w:p>
    <w:p w:rsidR="009F1D66" w:rsidRPr="00F53624" w:rsidRDefault="00F53624" w:rsidP="00F536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54</w:t>
      </w:r>
      <w:r w:rsidRPr="00F53624">
        <w:rPr>
          <w:b/>
          <w:sz w:val="32"/>
          <w:szCs w:val="32"/>
        </w:rPr>
        <w:t>.</w:t>
      </w:r>
    </w:p>
    <w:p w:rsidR="00F53624" w:rsidRPr="00F53624" w:rsidRDefault="00F53624" w:rsidP="00F53624">
      <w:pPr>
        <w:jc w:val="center"/>
        <w:rPr>
          <w:b/>
          <w:sz w:val="32"/>
          <w:szCs w:val="32"/>
        </w:rPr>
      </w:pPr>
      <w:r w:rsidRPr="00F53624">
        <w:rPr>
          <w:b/>
          <w:sz w:val="32"/>
          <w:szCs w:val="32"/>
        </w:rPr>
        <w:t>k)</w:t>
      </w:r>
    </w:p>
    <w:p w:rsidR="009F1D66" w:rsidRPr="00F53624" w:rsidRDefault="009F1D66" w:rsidP="00F53624">
      <w:pPr>
        <w:jc w:val="center"/>
        <w:rPr>
          <w:b/>
          <w:sz w:val="32"/>
          <w:szCs w:val="32"/>
        </w:rPr>
      </w:pPr>
    </w:p>
    <w:p w:rsidR="009F1D66" w:rsidRPr="00F53624" w:rsidRDefault="009F1D66" w:rsidP="00F53624">
      <w:pPr>
        <w:jc w:val="center"/>
        <w:rPr>
          <w:b/>
          <w:sz w:val="32"/>
          <w:szCs w:val="32"/>
        </w:rPr>
      </w:pPr>
    </w:p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0C6D89" w:rsidRDefault="000C6D89" w:rsidP="000C6D89">
      <w:pPr>
        <w:jc w:val="center"/>
        <w:rPr>
          <w:b/>
          <w:sz w:val="32"/>
          <w:szCs w:val="32"/>
        </w:rPr>
      </w:pPr>
    </w:p>
    <w:p w:rsidR="000C6D89" w:rsidRDefault="000C6D89" w:rsidP="000C6D89">
      <w:pPr>
        <w:jc w:val="center"/>
        <w:rPr>
          <w:b/>
          <w:sz w:val="32"/>
          <w:szCs w:val="32"/>
        </w:rPr>
      </w:pPr>
    </w:p>
    <w:p w:rsidR="009F1D66" w:rsidRPr="000C6D89" w:rsidRDefault="000C6D89" w:rsidP="000C6D89">
      <w:pPr>
        <w:jc w:val="center"/>
        <w:rPr>
          <w:b/>
          <w:sz w:val="32"/>
          <w:szCs w:val="32"/>
        </w:rPr>
      </w:pPr>
      <w:r w:rsidRPr="000C6D89">
        <w:rPr>
          <w:b/>
          <w:sz w:val="32"/>
          <w:szCs w:val="32"/>
        </w:rPr>
        <w:t xml:space="preserve">Program na podporu sportovní činnosti dětí a mládeže </w:t>
      </w:r>
      <w:r w:rsidR="00F53624">
        <w:rPr>
          <w:b/>
          <w:sz w:val="32"/>
          <w:szCs w:val="32"/>
        </w:rPr>
        <w:br/>
      </w:r>
      <w:r w:rsidRPr="000C6D89">
        <w:rPr>
          <w:b/>
          <w:sz w:val="32"/>
          <w:szCs w:val="32"/>
        </w:rPr>
        <w:t>ve sportovních klubech v roce 2015</w:t>
      </w:r>
    </w:p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>
      <w:r>
        <w:t xml:space="preserve">Zpracoval: </w:t>
      </w:r>
      <w:r>
        <w:tab/>
      </w:r>
      <w:r>
        <w:tab/>
      </w:r>
      <w:r w:rsidR="000C6D89">
        <w:t>Tomáš Pokorný</w:t>
      </w:r>
    </w:p>
    <w:p w:rsidR="009F1D66" w:rsidRDefault="000C6D89" w:rsidP="009F1D66">
      <w:pPr>
        <w:ind w:left="1416" w:firstLine="708"/>
      </w:pPr>
      <w:r>
        <w:t>vedoucí oddělení mládeže, sportu a zaměstnanosti</w:t>
      </w:r>
    </w:p>
    <w:p w:rsidR="009F1D66" w:rsidRDefault="009F1D66" w:rsidP="009F1D66"/>
    <w:p w:rsidR="009F1D66" w:rsidRDefault="00BB73D7" w:rsidP="009F1D66">
      <w:r>
        <w:t>Předkládá:</w:t>
      </w:r>
      <w:r>
        <w:tab/>
      </w:r>
      <w:r>
        <w:tab/>
      </w:r>
      <w:r w:rsidR="009E25A6">
        <w:t>Alena Losová</w:t>
      </w:r>
    </w:p>
    <w:p w:rsidR="00F53624" w:rsidRDefault="009E25A6" w:rsidP="00F53624">
      <w:pPr>
        <w:ind w:left="2127"/>
      </w:pPr>
      <w:r>
        <w:t xml:space="preserve">členka </w:t>
      </w:r>
      <w:r w:rsidR="00F978ED">
        <w:t>r</w:t>
      </w:r>
      <w:r>
        <w:t>ady kraje</w:t>
      </w:r>
      <w:r w:rsidR="008B66B8">
        <w:t xml:space="preserve">, </w:t>
      </w:r>
      <w:r w:rsidR="00442ED5" w:rsidRPr="00442ED5">
        <w:t>řízení resortu školství, mládeže, tělovýchovy, sportu a zaměstnanosti</w:t>
      </w:r>
    </w:p>
    <w:p w:rsidR="00F53624" w:rsidRPr="00F53624" w:rsidRDefault="00F53624" w:rsidP="00F53624">
      <w:pPr>
        <w:widowControl/>
        <w:rPr>
          <w:b/>
          <w:sz w:val="32"/>
          <w:szCs w:val="24"/>
          <w:lang w:eastAsia="cs-CZ"/>
        </w:rPr>
      </w:pPr>
      <w:r>
        <w:br w:type="page"/>
      </w:r>
      <w:r w:rsidRPr="00F53624">
        <w:rPr>
          <w:b/>
          <w:sz w:val="32"/>
          <w:szCs w:val="24"/>
          <w:lang w:eastAsia="cs-CZ"/>
        </w:rPr>
        <w:lastRenderedPageBreak/>
        <w:t>Důvodová zpráva: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 xml:space="preserve">Rada Libereckého kraje na svém jednání dne 2. 6. 2015 přijala usnesení č. 965/15/RK, kterým schválila znění smlouvy o přijetí peněžního daru v celkové výši 2.178.764 Kč od Českého olympijského výboru. Dar je účelově určený na podporu sportovní činnosti dětí a mládeže. 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 xml:space="preserve">Darovací smlouva vymezuje, že z uvedené peněžní částky musí být 500.000 Kč poskytnuto formou dotace na projekt: Česko sportuje – Sazka Olympijský víceboj a Odznak Všestrannosti Olympijských Vítězů (dále jen OVOV). Nositelem tohoto projektu je Česká olympijská a.s. Tato podmínka darovací smlouvy bude řešena prostřednictvím </w:t>
      </w:r>
      <w:r w:rsidRPr="00F53624">
        <w:rPr>
          <w:szCs w:val="24"/>
          <w:lang w:eastAsia="cs-CZ"/>
        </w:rPr>
        <w:br/>
        <w:t>tzv. individuální dotace, kdy účel dotace je dán žádostí o poskytnutí dotace (dle § 10a odst. 2 zákona 250/2000 Sb., o rozpočtových pravidlech územních rozpočtů, ve znění pozdějších předpisů).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 xml:space="preserve">Po odečtení peněžních prostředků na OVOV zůstává disponibilní část ve výši 1.678.764 Kč. Záměrem resortu školství, mládeže, tělovýchovy, sportu a zaměstnanosti je tyto peněžní prostředky rozdělit formou neinvestičních účelových dotací na sportovní činnost dětí a mládeže, a to formou „Programu na podporu sportovní činnosti dětí a mládeže </w:t>
      </w:r>
      <w:r w:rsidRPr="00F53624">
        <w:rPr>
          <w:szCs w:val="24"/>
          <w:lang w:eastAsia="cs-CZ"/>
        </w:rPr>
        <w:br/>
        <w:t>ve sportovních klubech v roce 2015“ (dále jen Program). Program je</w:t>
      </w:r>
      <w:bookmarkStart w:id="0" w:name="_GoBack"/>
      <w:bookmarkEnd w:id="0"/>
      <w:r w:rsidRPr="00F53624">
        <w:rPr>
          <w:szCs w:val="24"/>
          <w:lang w:eastAsia="cs-CZ"/>
        </w:rPr>
        <w:t xml:space="preserve"> strukturován v souladu s ustanovením § 10c zákona 250/2000 Sb., o rozpočtových pravidlech územních rozpočtů, </w:t>
      </w:r>
      <w:r w:rsidRPr="00F53624">
        <w:rPr>
          <w:szCs w:val="24"/>
          <w:lang w:eastAsia="cs-CZ"/>
        </w:rPr>
        <w:br/>
        <w:t>ve znění pozdějších předpisů).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>Plné znění Programu je přílohou č. 1 této důvodové zprávy.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>Základní charakteristiky Programu: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b/>
          <w:szCs w:val="24"/>
          <w:lang w:eastAsia="cs-CZ"/>
        </w:rPr>
        <w:t>Peněžní parametry</w:t>
      </w:r>
    </w:p>
    <w:tbl>
      <w:tblPr>
        <w:tblW w:w="8925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456"/>
        <w:gridCol w:w="4469"/>
      </w:tblGrid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celková alokace peněžních prostředků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881F67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>
              <w:rPr>
                <w:szCs w:val="24"/>
                <w:lang w:eastAsia="cs-CZ"/>
              </w:rPr>
              <w:t>1.678.</w:t>
            </w:r>
            <w:r w:rsidR="00F53624" w:rsidRPr="00F53624">
              <w:rPr>
                <w:szCs w:val="24"/>
                <w:lang w:eastAsia="cs-CZ"/>
              </w:rPr>
              <w:t>7</w:t>
            </w:r>
            <w:r>
              <w:rPr>
                <w:szCs w:val="24"/>
                <w:lang w:eastAsia="cs-CZ"/>
              </w:rPr>
              <w:t>6</w:t>
            </w:r>
            <w:r w:rsidR="00F53624" w:rsidRPr="00F53624">
              <w:rPr>
                <w:szCs w:val="24"/>
                <w:lang w:eastAsia="cs-CZ"/>
              </w:rPr>
              <w:t>4 Kč</w:t>
            </w:r>
          </w:p>
        </w:tc>
      </w:tr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minimální výše dotace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5.000 Kč</w:t>
            </w:r>
          </w:p>
        </w:tc>
      </w:tr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maximální výše dotace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není stanovena</w:t>
            </w:r>
          </w:p>
        </w:tc>
      </w:tr>
    </w:tbl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b/>
          <w:szCs w:val="24"/>
          <w:lang w:eastAsia="cs-CZ"/>
        </w:rPr>
        <w:t>Termíny</w:t>
      </w:r>
    </w:p>
    <w:tbl>
      <w:tblPr>
        <w:tblW w:w="8925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456"/>
        <w:gridCol w:w="4469"/>
      </w:tblGrid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zveřejnění Programu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17. 6. 2015</w:t>
            </w:r>
          </w:p>
        </w:tc>
      </w:tr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zahájení příjmu žádostí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20. 7. 2015</w:t>
            </w:r>
          </w:p>
        </w:tc>
      </w:tr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ukončení příjmu žádostí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28. 8. 2015</w:t>
            </w:r>
          </w:p>
        </w:tc>
      </w:tr>
      <w:tr w:rsidR="00F53624" w:rsidRPr="00F53624" w:rsidTr="00AF0752"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 w:after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rozhodnutí o poskytnutí dotace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before="120"/>
              <w:rPr>
                <w:szCs w:val="24"/>
                <w:lang w:eastAsia="cs-CZ"/>
              </w:rPr>
            </w:pPr>
            <w:r w:rsidRPr="00F53624">
              <w:rPr>
                <w:szCs w:val="24"/>
                <w:lang w:eastAsia="cs-CZ"/>
              </w:rPr>
              <w:t>6. 10. 2015 nebo 27. 10. 2015</w:t>
            </w:r>
          </w:p>
          <w:p w:rsidR="00F53624" w:rsidRPr="00F53624" w:rsidRDefault="00F53624" w:rsidP="00F53624">
            <w:pPr>
              <w:widowControl/>
              <w:kinsoku/>
              <w:overflowPunct/>
              <w:adjustRightInd w:val="0"/>
              <w:spacing w:after="120"/>
              <w:rPr>
                <w:sz w:val="20"/>
                <w:szCs w:val="24"/>
                <w:lang w:eastAsia="cs-CZ"/>
              </w:rPr>
            </w:pPr>
            <w:r w:rsidRPr="00F53624">
              <w:rPr>
                <w:sz w:val="20"/>
                <w:szCs w:val="24"/>
                <w:lang w:eastAsia="cs-CZ"/>
              </w:rPr>
              <w:t>rozhoduje rada či zastupitelstvo kraje dle návrhu výše dotace</w:t>
            </w:r>
          </w:p>
        </w:tc>
      </w:tr>
    </w:tbl>
    <w:p w:rsidR="00F53624" w:rsidRPr="00F53624" w:rsidRDefault="00F53624" w:rsidP="00F53624">
      <w:pPr>
        <w:widowControl/>
        <w:kinsoku/>
        <w:overflowPunct/>
        <w:adjustRightInd w:val="0"/>
        <w:ind w:left="36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b/>
          <w:szCs w:val="24"/>
          <w:lang w:eastAsia="cs-CZ"/>
        </w:rPr>
        <w:t>Potenciální příjemci dotací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szCs w:val="24"/>
          <w:lang w:eastAsia="cs-CZ"/>
        </w:rPr>
        <w:t xml:space="preserve">Příjemcem dotace může být sportovní klub, který je členem sportovního svazu a má sídlo </w:t>
      </w:r>
      <w:r w:rsidRPr="00F53624">
        <w:rPr>
          <w:szCs w:val="24"/>
          <w:lang w:eastAsia="cs-CZ"/>
        </w:rPr>
        <w:br/>
        <w:t>na území Libereckého kraje.</w:t>
      </w:r>
      <w:r w:rsidRPr="00F53624">
        <w:rPr>
          <w:b/>
          <w:szCs w:val="24"/>
          <w:lang w:eastAsia="cs-CZ"/>
        </w:rPr>
        <w:t xml:space="preserve"> Z možnosti čerpat dotaci v rámci tohoto programu jsou vyloučeny sportovní kluby, které obdrželi peněžní prostředky z rozpočtu Libereckého kraje v „Programu 3 – program resortu zdravotnictví, tělovýchovy a sportu“ předmětu podpory „Významné kluby a reprezentace“ Jedná se o mládežnické kategorie klubů </w:t>
      </w:r>
      <w:r w:rsidRPr="00F53624">
        <w:rPr>
          <w:b/>
          <w:szCs w:val="24"/>
          <w:lang w:eastAsia="cs-CZ"/>
        </w:rPr>
        <w:lastRenderedPageBreak/>
        <w:t>sídlících v Libereckém kraji hrající nejvyšší domácí soutěž v kolektivních sportech. Mezi těchto 5 subjektů bylo v roce 2015 rozděleno v rámci uvedeného předmětu podpory celkem 2.750.000 Kč.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b/>
          <w:szCs w:val="24"/>
          <w:lang w:eastAsia="cs-CZ"/>
        </w:rPr>
        <w:t>Hodnocení žádostí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>Hodnotícím orgánem předložených žádostí je Výbor pro tělovýchovu a sport Zastupitelstva Libereckého kraje. Jediným hodnotícím kritériem je počet členů daného sportovního klubu k 1. 6. 2015 v kategoriích mladších než juniorských. Počet členů se dokládá čestným prohlášením.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b/>
          <w:szCs w:val="24"/>
          <w:lang w:eastAsia="cs-CZ"/>
        </w:rPr>
      </w:pPr>
      <w:r w:rsidRPr="00F53624">
        <w:rPr>
          <w:b/>
          <w:szCs w:val="24"/>
          <w:lang w:eastAsia="cs-CZ"/>
        </w:rPr>
        <w:t>Administrativa spojená s předložením žádostí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 xml:space="preserve">Žadatel o dotaci dokládá pouze formulář Žádostí o poskytnutí dotace z rozpočtu Libereckého kraje 2015, který je standardizován a je umístěn na webových stránkách kraje. Jedinou přílohou je výše uvedené čestné prohlášení o počtu členů sportovního klubu. 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>Přílohy:</w:t>
      </w:r>
    </w:p>
    <w:p w:rsidR="00F53624" w:rsidRPr="00F53624" w:rsidRDefault="00F53624" w:rsidP="00F53624">
      <w:pPr>
        <w:widowControl/>
        <w:kinsoku/>
        <w:overflowPunct/>
        <w:adjustRightInd w:val="0"/>
        <w:rPr>
          <w:szCs w:val="24"/>
          <w:lang w:eastAsia="cs-CZ"/>
        </w:rPr>
      </w:pPr>
      <w:r w:rsidRPr="00F53624">
        <w:rPr>
          <w:szCs w:val="24"/>
          <w:lang w:eastAsia="cs-CZ"/>
        </w:rPr>
        <w:t xml:space="preserve">Program na podporu sportovní činnosti dětí a mládeže ve sportovních klubech v roce 2015    </w:t>
      </w:r>
    </w:p>
    <w:p w:rsidR="00F53624" w:rsidRPr="00F53624" w:rsidRDefault="00F53624" w:rsidP="00F53624">
      <w:pPr>
        <w:widowControl/>
        <w:kinsoku/>
        <w:overflowPunct/>
        <w:autoSpaceDE/>
        <w:autoSpaceDN/>
        <w:jc w:val="left"/>
        <w:rPr>
          <w:szCs w:val="24"/>
          <w:lang w:eastAsia="cs-CZ"/>
        </w:rPr>
      </w:pPr>
    </w:p>
    <w:p w:rsidR="00F53624" w:rsidRDefault="00F53624" w:rsidP="00F53624">
      <w:pPr>
        <w:jc w:val="left"/>
      </w:pPr>
    </w:p>
    <w:sectPr w:rsidR="00F5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D66"/>
    <w:rsid w:val="00020C41"/>
    <w:rsid w:val="000638B6"/>
    <w:rsid w:val="000C6D89"/>
    <w:rsid w:val="00132A1C"/>
    <w:rsid w:val="00162642"/>
    <w:rsid w:val="00172794"/>
    <w:rsid w:val="001C5DDA"/>
    <w:rsid w:val="00206066"/>
    <w:rsid w:val="00256987"/>
    <w:rsid w:val="00284BB3"/>
    <w:rsid w:val="0029076F"/>
    <w:rsid w:val="002D4320"/>
    <w:rsid w:val="002F219C"/>
    <w:rsid w:val="00322BDE"/>
    <w:rsid w:val="00343E71"/>
    <w:rsid w:val="00391986"/>
    <w:rsid w:val="003A6FD7"/>
    <w:rsid w:val="003C0B03"/>
    <w:rsid w:val="003E0289"/>
    <w:rsid w:val="00411F3D"/>
    <w:rsid w:val="0042166C"/>
    <w:rsid w:val="00435F72"/>
    <w:rsid w:val="00442ED5"/>
    <w:rsid w:val="0045305B"/>
    <w:rsid w:val="004C6037"/>
    <w:rsid w:val="00507E99"/>
    <w:rsid w:val="005B6821"/>
    <w:rsid w:val="005F552D"/>
    <w:rsid w:val="0060402C"/>
    <w:rsid w:val="00676579"/>
    <w:rsid w:val="006B2D20"/>
    <w:rsid w:val="006C55A8"/>
    <w:rsid w:val="00700778"/>
    <w:rsid w:val="00704581"/>
    <w:rsid w:val="00713620"/>
    <w:rsid w:val="007224B3"/>
    <w:rsid w:val="00725900"/>
    <w:rsid w:val="00741209"/>
    <w:rsid w:val="00767784"/>
    <w:rsid w:val="0077080F"/>
    <w:rsid w:val="007D3999"/>
    <w:rsid w:val="007E78D2"/>
    <w:rsid w:val="00842FE5"/>
    <w:rsid w:val="008537DA"/>
    <w:rsid w:val="00881F67"/>
    <w:rsid w:val="008B66B8"/>
    <w:rsid w:val="008E15FC"/>
    <w:rsid w:val="008F4C56"/>
    <w:rsid w:val="008F5BAD"/>
    <w:rsid w:val="009277C5"/>
    <w:rsid w:val="009465F1"/>
    <w:rsid w:val="009955E6"/>
    <w:rsid w:val="009E07EC"/>
    <w:rsid w:val="009E25A6"/>
    <w:rsid w:val="009F1D66"/>
    <w:rsid w:val="00A24A2F"/>
    <w:rsid w:val="00A47126"/>
    <w:rsid w:val="00A56C65"/>
    <w:rsid w:val="00A832EE"/>
    <w:rsid w:val="00AB6C7A"/>
    <w:rsid w:val="00AE39DE"/>
    <w:rsid w:val="00B47539"/>
    <w:rsid w:val="00B55C18"/>
    <w:rsid w:val="00B74288"/>
    <w:rsid w:val="00BB2E55"/>
    <w:rsid w:val="00BB73D7"/>
    <w:rsid w:val="00BC1676"/>
    <w:rsid w:val="00BC35AA"/>
    <w:rsid w:val="00CB77A0"/>
    <w:rsid w:val="00CC3E44"/>
    <w:rsid w:val="00CF5715"/>
    <w:rsid w:val="00CF7865"/>
    <w:rsid w:val="00D22073"/>
    <w:rsid w:val="00D36B20"/>
    <w:rsid w:val="00D60AB2"/>
    <w:rsid w:val="00DA580A"/>
    <w:rsid w:val="00DB5B89"/>
    <w:rsid w:val="00DF1F62"/>
    <w:rsid w:val="00E772FF"/>
    <w:rsid w:val="00E82F50"/>
    <w:rsid w:val="00E90573"/>
    <w:rsid w:val="00E979C6"/>
    <w:rsid w:val="00EC6501"/>
    <w:rsid w:val="00F10A86"/>
    <w:rsid w:val="00F27BDC"/>
    <w:rsid w:val="00F33F0B"/>
    <w:rsid w:val="00F53624"/>
    <w:rsid w:val="00F7578F"/>
    <w:rsid w:val="00F9689D"/>
    <w:rsid w:val="00F978ED"/>
    <w:rsid w:val="00FB1AE6"/>
    <w:rsid w:val="00FD06B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D66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4</cp:revision>
  <cp:lastPrinted>2015-06-18T05:34:00Z</cp:lastPrinted>
  <dcterms:created xsi:type="dcterms:W3CDTF">2015-06-16T11:00:00Z</dcterms:created>
  <dcterms:modified xsi:type="dcterms:W3CDTF">2015-06-18T05:38:00Z</dcterms:modified>
</cp:coreProperties>
</file>