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5E" w:rsidRPr="007A115D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  <w:bookmarkStart w:id="0" w:name="_GoBack"/>
      <w:bookmarkEnd w:id="0"/>
      <w:r w:rsidRPr="007A115D">
        <w:rPr>
          <w:b/>
          <w:sz w:val="28"/>
          <w:u w:val="single"/>
        </w:rPr>
        <w:t xml:space="preserve">PÍSEMNÁ INFORMACE pro </w:t>
      </w:r>
      <w:r w:rsidR="00C5176B" w:rsidRPr="007A115D">
        <w:rPr>
          <w:b/>
          <w:sz w:val="28"/>
          <w:u w:val="single"/>
        </w:rPr>
        <w:t>8</w:t>
      </w:r>
      <w:r w:rsidRPr="007A115D">
        <w:rPr>
          <w:b/>
          <w:sz w:val="28"/>
          <w:u w:val="single"/>
        </w:rPr>
        <w:t xml:space="preserve">. zasedání Zastupitelstva Libereckého kraje dne </w:t>
      </w:r>
      <w:r w:rsidR="00440895" w:rsidRPr="007A115D">
        <w:rPr>
          <w:b/>
          <w:sz w:val="28"/>
          <w:u w:val="single"/>
        </w:rPr>
        <w:t>2</w:t>
      </w:r>
      <w:r w:rsidR="00C5176B" w:rsidRPr="007A115D">
        <w:rPr>
          <w:b/>
          <w:sz w:val="28"/>
          <w:u w:val="single"/>
        </w:rPr>
        <w:t>9</w:t>
      </w:r>
      <w:r w:rsidRPr="007A115D">
        <w:rPr>
          <w:b/>
          <w:sz w:val="28"/>
          <w:u w:val="single"/>
        </w:rPr>
        <w:t xml:space="preserve">. </w:t>
      </w:r>
      <w:r w:rsidR="00440895" w:rsidRPr="007A115D">
        <w:rPr>
          <w:b/>
          <w:sz w:val="28"/>
          <w:u w:val="single"/>
        </w:rPr>
        <w:t>9. 2015</w:t>
      </w:r>
    </w:p>
    <w:p w:rsidR="00FF525E" w:rsidRPr="007A115D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</w:p>
    <w:p w:rsidR="00FF525E" w:rsidRPr="007A115D" w:rsidRDefault="00FF525E" w:rsidP="00FF525E">
      <w:pPr>
        <w:jc w:val="center"/>
        <w:rPr>
          <w:b/>
          <w:bCs/>
        </w:rPr>
      </w:pPr>
    </w:p>
    <w:p w:rsidR="00FF525E" w:rsidRPr="007A115D" w:rsidRDefault="00FF525E" w:rsidP="00FF525E">
      <w:pPr>
        <w:jc w:val="center"/>
        <w:rPr>
          <w:b/>
          <w:bCs/>
        </w:rPr>
      </w:pPr>
    </w:p>
    <w:p w:rsidR="00FF525E" w:rsidRPr="007A115D" w:rsidRDefault="00FF525E" w:rsidP="00FF525E">
      <w:pPr>
        <w:jc w:val="center"/>
        <w:rPr>
          <w:b/>
          <w:bCs/>
        </w:rPr>
      </w:pPr>
    </w:p>
    <w:p w:rsidR="00FF525E" w:rsidRPr="007A115D" w:rsidRDefault="00FF525E" w:rsidP="00FF525E">
      <w:pPr>
        <w:jc w:val="center"/>
        <w:rPr>
          <w:b/>
          <w:bCs/>
        </w:rPr>
      </w:pPr>
    </w:p>
    <w:p w:rsidR="00FF525E" w:rsidRPr="007A115D" w:rsidRDefault="00FF525E" w:rsidP="00FF525E">
      <w:pPr>
        <w:jc w:val="center"/>
        <w:rPr>
          <w:b/>
          <w:bCs/>
        </w:rPr>
      </w:pPr>
    </w:p>
    <w:p w:rsidR="00FF525E" w:rsidRPr="007A115D" w:rsidRDefault="00FF525E" w:rsidP="00FF525E">
      <w:pPr>
        <w:jc w:val="center"/>
        <w:rPr>
          <w:b/>
          <w:bCs/>
        </w:rPr>
      </w:pPr>
    </w:p>
    <w:p w:rsidR="00FF525E" w:rsidRPr="007A115D" w:rsidRDefault="00FF525E" w:rsidP="00FF525E">
      <w:pPr>
        <w:jc w:val="center"/>
        <w:rPr>
          <w:b/>
          <w:bCs/>
        </w:rPr>
      </w:pPr>
    </w:p>
    <w:p w:rsidR="00FF525E" w:rsidRPr="007A115D" w:rsidRDefault="00FF525E" w:rsidP="00FF525E">
      <w:pPr>
        <w:jc w:val="center"/>
        <w:rPr>
          <w:b/>
          <w:bCs/>
        </w:rPr>
      </w:pPr>
    </w:p>
    <w:p w:rsidR="00FF525E" w:rsidRPr="007A115D" w:rsidRDefault="00FF525E" w:rsidP="00FF525E">
      <w:pPr>
        <w:jc w:val="center"/>
        <w:rPr>
          <w:b/>
          <w:bCs/>
        </w:rPr>
      </w:pPr>
    </w:p>
    <w:p w:rsidR="00FF525E" w:rsidRPr="007A115D" w:rsidRDefault="00C5176B" w:rsidP="00FF525E">
      <w:pPr>
        <w:jc w:val="center"/>
        <w:rPr>
          <w:b/>
          <w:bCs/>
        </w:rPr>
      </w:pPr>
      <w:r w:rsidRPr="007A115D">
        <w:rPr>
          <w:b/>
          <w:bCs/>
        </w:rPr>
        <w:t>52</w:t>
      </w:r>
      <w:r w:rsidR="00FF525E" w:rsidRPr="007A115D">
        <w:rPr>
          <w:b/>
          <w:bCs/>
        </w:rPr>
        <w:t xml:space="preserve"> </w:t>
      </w:r>
      <w:r w:rsidR="005335DE" w:rsidRPr="007A115D">
        <w:rPr>
          <w:b/>
          <w:bCs/>
        </w:rPr>
        <w:t>o</w:t>
      </w:r>
      <w:r w:rsidR="00FF525E" w:rsidRPr="007A115D">
        <w:rPr>
          <w:b/>
          <w:bCs/>
        </w:rPr>
        <w:t>)</w:t>
      </w:r>
    </w:p>
    <w:p w:rsidR="00FF525E" w:rsidRPr="007A115D" w:rsidRDefault="00FF525E" w:rsidP="00FF525E">
      <w:pPr>
        <w:jc w:val="center"/>
        <w:rPr>
          <w:b/>
          <w:bCs/>
        </w:rPr>
      </w:pPr>
    </w:p>
    <w:p w:rsidR="00FF525E" w:rsidRPr="007A115D" w:rsidRDefault="00FF525E" w:rsidP="00FF525E">
      <w:pPr>
        <w:jc w:val="center"/>
        <w:rPr>
          <w:b/>
          <w:bCs/>
        </w:rPr>
      </w:pPr>
    </w:p>
    <w:p w:rsidR="00FF525E" w:rsidRPr="007A115D" w:rsidRDefault="00FF525E" w:rsidP="00FF525E">
      <w:pPr>
        <w:jc w:val="center"/>
        <w:rPr>
          <w:b/>
          <w:bCs/>
        </w:rPr>
      </w:pPr>
    </w:p>
    <w:p w:rsidR="00FF525E" w:rsidRPr="007A115D" w:rsidRDefault="008978B2" w:rsidP="00FF525E">
      <w:pPr>
        <w:jc w:val="center"/>
        <w:rPr>
          <w:b/>
          <w:bCs/>
          <w:sz w:val="28"/>
          <w:u w:val="single"/>
        </w:rPr>
      </w:pPr>
      <w:r w:rsidRPr="007A115D">
        <w:rPr>
          <w:b/>
          <w:sz w:val="28"/>
          <w:szCs w:val="28"/>
          <w:u w:val="single"/>
        </w:rPr>
        <w:t xml:space="preserve">Informace o </w:t>
      </w:r>
      <w:r w:rsidR="00161CDE" w:rsidRPr="007A115D">
        <w:rPr>
          <w:b/>
          <w:sz w:val="28"/>
          <w:szCs w:val="28"/>
          <w:u w:val="single"/>
        </w:rPr>
        <w:t xml:space="preserve">výsledcích </w:t>
      </w:r>
      <w:r w:rsidRPr="007A115D">
        <w:rPr>
          <w:b/>
          <w:sz w:val="28"/>
          <w:szCs w:val="28"/>
          <w:u w:val="single"/>
        </w:rPr>
        <w:t>auditního šetření v a</w:t>
      </w:r>
      <w:r w:rsidR="00440895" w:rsidRPr="007A115D">
        <w:rPr>
          <w:b/>
          <w:sz w:val="28"/>
          <w:szCs w:val="28"/>
          <w:u w:val="single"/>
        </w:rPr>
        <w:t xml:space="preserve">gendě projektu IP 1 </w:t>
      </w:r>
      <w:r w:rsidR="00440895" w:rsidRPr="007A115D">
        <w:rPr>
          <w:b/>
          <w:sz w:val="28"/>
          <w:szCs w:val="28"/>
          <w:u w:val="single"/>
        </w:rPr>
        <w:br/>
        <w:t>– Služby sociální prevence v Libereckém kraji v roce 2009 a 2010</w:t>
      </w:r>
    </w:p>
    <w:p w:rsidR="00FF525E" w:rsidRPr="007A115D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7A115D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7A115D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7A115D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7A115D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7A115D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7A115D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7A115D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7A115D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7A115D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7A115D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7A115D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7A115D" w:rsidRDefault="00FF525E" w:rsidP="00FF525E">
      <w:pPr>
        <w:jc w:val="center"/>
        <w:rPr>
          <w:b/>
          <w:bCs/>
          <w:sz w:val="28"/>
          <w:u w:val="single"/>
        </w:rPr>
      </w:pPr>
    </w:p>
    <w:p w:rsidR="004C0F67" w:rsidRPr="007A115D" w:rsidRDefault="004C0F67" w:rsidP="00FF525E">
      <w:pPr>
        <w:jc w:val="center"/>
        <w:rPr>
          <w:b/>
          <w:bCs/>
          <w:sz w:val="28"/>
          <w:u w:val="single"/>
        </w:rPr>
      </w:pPr>
    </w:p>
    <w:p w:rsidR="004C0F67" w:rsidRPr="007A115D" w:rsidRDefault="004C0F67" w:rsidP="00FF525E">
      <w:pPr>
        <w:jc w:val="center"/>
        <w:rPr>
          <w:b/>
          <w:bCs/>
          <w:sz w:val="28"/>
          <w:u w:val="single"/>
        </w:rPr>
      </w:pPr>
    </w:p>
    <w:p w:rsidR="004C0F67" w:rsidRPr="007A115D" w:rsidRDefault="004C0F67" w:rsidP="00FF525E">
      <w:pPr>
        <w:jc w:val="center"/>
        <w:rPr>
          <w:b/>
          <w:bCs/>
          <w:sz w:val="28"/>
          <w:u w:val="single"/>
        </w:rPr>
      </w:pPr>
    </w:p>
    <w:p w:rsidR="004C0F67" w:rsidRPr="007A115D" w:rsidRDefault="004C0F67" w:rsidP="00FF525E">
      <w:pPr>
        <w:jc w:val="center"/>
        <w:rPr>
          <w:b/>
          <w:bCs/>
          <w:sz w:val="28"/>
          <w:u w:val="single"/>
        </w:rPr>
      </w:pPr>
    </w:p>
    <w:p w:rsidR="00FF525E" w:rsidRPr="007A115D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7A115D" w:rsidRDefault="00FF525E" w:rsidP="00FF525E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7A115D" w:rsidRPr="007A115D" w:rsidTr="005335DE">
        <w:tc>
          <w:tcPr>
            <w:tcW w:w="2050" w:type="dxa"/>
            <w:hideMark/>
          </w:tcPr>
          <w:p w:rsidR="00FF525E" w:rsidRPr="007A115D" w:rsidRDefault="00FF525E" w:rsidP="00EF1176">
            <w:r w:rsidRPr="007A115D">
              <w:t>Zpracoval:</w:t>
            </w:r>
          </w:p>
        </w:tc>
        <w:tc>
          <w:tcPr>
            <w:tcW w:w="7160" w:type="dxa"/>
          </w:tcPr>
          <w:p w:rsidR="00FF525E" w:rsidRPr="007A115D" w:rsidRDefault="00440895" w:rsidP="00440895">
            <w:pPr>
              <w:tabs>
                <w:tab w:val="left" w:pos="708"/>
                <w:tab w:val="center" w:pos="4536"/>
                <w:tab w:val="right" w:pos="9072"/>
              </w:tabs>
            </w:pPr>
            <w:r w:rsidRPr="007A115D">
              <w:t>Ing. Josef Vincenec</w:t>
            </w:r>
          </w:p>
        </w:tc>
      </w:tr>
      <w:tr w:rsidR="007A115D" w:rsidRPr="007A115D" w:rsidTr="005335DE">
        <w:tc>
          <w:tcPr>
            <w:tcW w:w="2050" w:type="dxa"/>
          </w:tcPr>
          <w:p w:rsidR="00FF525E" w:rsidRPr="007A115D" w:rsidRDefault="00FF525E" w:rsidP="00EF1176"/>
        </w:tc>
        <w:tc>
          <w:tcPr>
            <w:tcW w:w="7160" w:type="dxa"/>
          </w:tcPr>
          <w:p w:rsidR="00FF525E" w:rsidRPr="007A115D" w:rsidRDefault="00440895" w:rsidP="00440895">
            <w:r w:rsidRPr="007A115D">
              <w:t>oddělení interního auditu</w:t>
            </w:r>
          </w:p>
        </w:tc>
      </w:tr>
      <w:tr w:rsidR="007A115D" w:rsidRPr="007A115D" w:rsidTr="00EF1176">
        <w:tc>
          <w:tcPr>
            <w:tcW w:w="2050" w:type="dxa"/>
          </w:tcPr>
          <w:p w:rsidR="00FF525E" w:rsidRPr="007A115D" w:rsidRDefault="00FF525E" w:rsidP="00EF1176"/>
        </w:tc>
        <w:tc>
          <w:tcPr>
            <w:tcW w:w="7160" w:type="dxa"/>
          </w:tcPr>
          <w:p w:rsidR="00FF525E" w:rsidRPr="007A115D" w:rsidRDefault="00FF525E" w:rsidP="00EF1176"/>
        </w:tc>
      </w:tr>
      <w:tr w:rsidR="007A115D" w:rsidRPr="007A115D" w:rsidTr="00EF1176">
        <w:tc>
          <w:tcPr>
            <w:tcW w:w="2050" w:type="dxa"/>
            <w:hideMark/>
          </w:tcPr>
          <w:p w:rsidR="00FF525E" w:rsidRPr="007A115D" w:rsidRDefault="00FF525E" w:rsidP="00EF1176">
            <w:r w:rsidRPr="007A115D">
              <w:t>Předkládá:</w:t>
            </w:r>
          </w:p>
        </w:tc>
        <w:tc>
          <w:tcPr>
            <w:tcW w:w="7160" w:type="dxa"/>
            <w:hideMark/>
          </w:tcPr>
          <w:p w:rsidR="00FF525E" w:rsidRPr="007A115D" w:rsidRDefault="005335DE" w:rsidP="00C5176B">
            <w:r w:rsidRPr="007A115D">
              <w:t>Mgr. René Havlík</w:t>
            </w:r>
          </w:p>
        </w:tc>
      </w:tr>
      <w:tr w:rsidR="00FF525E" w:rsidRPr="007A115D" w:rsidTr="00EF1176">
        <w:tc>
          <w:tcPr>
            <w:tcW w:w="2050" w:type="dxa"/>
          </w:tcPr>
          <w:p w:rsidR="00FF525E" w:rsidRPr="007A115D" w:rsidRDefault="00FF525E" w:rsidP="00EF1176"/>
        </w:tc>
        <w:tc>
          <w:tcPr>
            <w:tcW w:w="7160" w:type="dxa"/>
            <w:hideMark/>
          </w:tcPr>
          <w:p w:rsidR="00FF525E" w:rsidRPr="007A115D" w:rsidRDefault="005335DE" w:rsidP="00C5176B">
            <w:r w:rsidRPr="007A115D">
              <w:t>ředitel KÚLK</w:t>
            </w:r>
            <w:r w:rsidR="00440895" w:rsidRPr="007A115D">
              <w:t xml:space="preserve"> </w:t>
            </w:r>
          </w:p>
        </w:tc>
      </w:tr>
    </w:tbl>
    <w:p w:rsidR="00FF525E" w:rsidRPr="007A115D" w:rsidRDefault="00FF525E" w:rsidP="00FF525E">
      <w:pPr>
        <w:jc w:val="center"/>
        <w:outlineLvl w:val="0"/>
        <w:rPr>
          <w:b/>
          <w:sz w:val="36"/>
          <w:szCs w:val="36"/>
        </w:rPr>
      </w:pPr>
    </w:p>
    <w:p w:rsidR="00FF525E" w:rsidRPr="007A115D" w:rsidRDefault="00FF525E" w:rsidP="00FF525E"/>
    <w:p w:rsidR="00FF525E" w:rsidRPr="007A115D" w:rsidRDefault="00FF525E" w:rsidP="00FF525E"/>
    <w:p w:rsidR="003A62B2" w:rsidRPr="007A115D" w:rsidRDefault="003A62B2" w:rsidP="00C954B9">
      <w:pPr>
        <w:spacing w:after="120"/>
        <w:rPr>
          <w:b/>
        </w:rPr>
      </w:pPr>
    </w:p>
    <w:p w:rsidR="003A62B2" w:rsidRPr="007A115D" w:rsidRDefault="003A62B2" w:rsidP="00C954B9">
      <w:pPr>
        <w:spacing w:after="120"/>
        <w:jc w:val="both"/>
      </w:pPr>
      <w:r w:rsidRPr="007A115D">
        <w:lastRenderedPageBreak/>
        <w:t>Orgány finanční správy rozhodly o porušení rozpočtové kázně při realizaci projektu IP 1</w:t>
      </w:r>
      <w:r w:rsidR="00C954B9" w:rsidRPr="007A115D">
        <w:t xml:space="preserve"> -</w:t>
      </w:r>
      <w:r w:rsidRPr="007A115D">
        <w:t xml:space="preserve"> Služby sociální prevence v Libereckém kraji v roce 2009 a 2010. </w:t>
      </w:r>
      <w:r w:rsidR="00DB4176" w:rsidRPr="007A115D">
        <w:t xml:space="preserve">Jedná se o porušení </w:t>
      </w:r>
      <w:r w:rsidR="009359DA" w:rsidRPr="007A115D">
        <w:t xml:space="preserve">ve fázi tvorby zadávací dokumentace. </w:t>
      </w:r>
      <w:r w:rsidR="00052B36" w:rsidRPr="007A115D">
        <w:t xml:space="preserve">Dalším pochybením bylo, že některým uchazečům byly poskytovány dotace i přesto, že v požadovaném termínu 30 dnů po podpisu smlouvy nedoložili rozšířenou kvalifikaci na příslušnou lokalitu. </w:t>
      </w:r>
      <w:r w:rsidRPr="007A115D">
        <w:t>V této souvislosti prověřili interní auditoři KÚ LK</w:t>
      </w:r>
      <w:r w:rsidR="00132BE0" w:rsidRPr="007A115D">
        <w:t>,</w:t>
      </w:r>
      <w:r w:rsidR="00C954B9" w:rsidRPr="007A115D">
        <w:t xml:space="preserve"> zda jsou vnitřní směrnice a postupy v souladu se zákonnými normami. Zhodnotili také, zda byly zákony i vnitřní normy dodrženy.</w:t>
      </w:r>
    </w:p>
    <w:p w:rsidR="00FE6066" w:rsidRPr="007A115D" w:rsidRDefault="009359DA" w:rsidP="00FE6066">
      <w:pPr>
        <w:jc w:val="both"/>
      </w:pPr>
      <w:r w:rsidRPr="007A115D">
        <w:t>Navzdory zjištěným nedostatkům o</w:t>
      </w:r>
      <w:r w:rsidR="003246B4" w:rsidRPr="007A115D">
        <w:t>dvolací finanční ředitelství v Brně ve svém rozhodnutí konstatuje, že</w:t>
      </w:r>
      <w:r w:rsidR="00FE6066" w:rsidRPr="007A115D">
        <w:t>:</w:t>
      </w:r>
    </w:p>
    <w:p w:rsidR="00FE6066" w:rsidRPr="007A115D" w:rsidRDefault="003246B4" w:rsidP="00FE6066">
      <w:pPr>
        <w:pStyle w:val="Odstavecseseznamem"/>
        <w:numPr>
          <w:ilvl w:val="0"/>
          <w:numId w:val="4"/>
        </w:numPr>
        <w:spacing w:after="120"/>
        <w:jc w:val="both"/>
      </w:pPr>
      <w:r w:rsidRPr="007A115D">
        <w:t>účelem dotace bylo poskytování a rozvoj vybraných druhů sociálních služeb, především služeb sociální prevence v</w:t>
      </w:r>
      <w:r w:rsidR="00280A10" w:rsidRPr="007A115D">
        <w:t> celkové maximální</w:t>
      </w:r>
      <w:r w:rsidR="00F86E20" w:rsidRPr="007A115D">
        <w:t xml:space="preserve"> výši 225 247 847 Kč,</w:t>
      </w:r>
      <w:r w:rsidRPr="007A115D">
        <w:t xml:space="preserve"> </w:t>
      </w:r>
    </w:p>
    <w:p w:rsidR="00FE6066" w:rsidRPr="007A115D" w:rsidRDefault="00F86E20" w:rsidP="00FE6066">
      <w:pPr>
        <w:pStyle w:val="Odstavecseseznamem"/>
        <w:numPr>
          <w:ilvl w:val="0"/>
          <w:numId w:val="4"/>
        </w:numPr>
        <w:spacing w:after="120"/>
        <w:jc w:val="both"/>
      </w:pPr>
      <w:r w:rsidRPr="007A115D">
        <w:t>d</w:t>
      </w:r>
      <w:r w:rsidR="003246B4" w:rsidRPr="007A115D">
        <w:t>otace byla poskytnuta v souladu se zá</w:t>
      </w:r>
      <w:r w:rsidRPr="007A115D">
        <w:t>konem o rozpočtových pravidlech,</w:t>
      </w:r>
      <w:r w:rsidR="003246B4" w:rsidRPr="007A115D">
        <w:t xml:space="preserve"> </w:t>
      </w:r>
    </w:p>
    <w:p w:rsidR="00FE6066" w:rsidRPr="007A115D" w:rsidRDefault="00F86E20" w:rsidP="00FE6066">
      <w:pPr>
        <w:pStyle w:val="Odstavecseseznamem"/>
        <w:numPr>
          <w:ilvl w:val="0"/>
          <w:numId w:val="4"/>
        </w:numPr>
        <w:spacing w:after="120"/>
        <w:jc w:val="both"/>
      </w:pPr>
      <w:r w:rsidRPr="007A115D">
        <w:t>v</w:t>
      </w:r>
      <w:r w:rsidR="003246B4" w:rsidRPr="007A115D">
        <w:t>šechny finanční prostředky byly použity</w:t>
      </w:r>
      <w:r w:rsidRPr="007A115D">
        <w:t xml:space="preserve"> na účel stanovený rozhodnutím,</w:t>
      </w:r>
    </w:p>
    <w:p w:rsidR="008978B2" w:rsidRPr="007A115D" w:rsidRDefault="00F86E20" w:rsidP="00FE6066">
      <w:pPr>
        <w:pStyle w:val="Odstavecseseznamem"/>
        <w:numPr>
          <w:ilvl w:val="0"/>
          <w:numId w:val="4"/>
        </w:numPr>
        <w:spacing w:after="120"/>
        <w:jc w:val="both"/>
      </w:pPr>
      <w:r w:rsidRPr="007A115D">
        <w:t>p</w:t>
      </w:r>
      <w:r w:rsidR="003246B4" w:rsidRPr="007A115D">
        <w:t xml:space="preserve">oskytnuté peněžní prostředky nebyly zneužity. </w:t>
      </w:r>
    </w:p>
    <w:p w:rsidR="009359DA" w:rsidRPr="007A115D" w:rsidRDefault="009359DA" w:rsidP="009359DA">
      <w:pPr>
        <w:spacing w:after="120"/>
        <w:jc w:val="both"/>
      </w:pPr>
      <w:r w:rsidRPr="007A115D">
        <w:t>Z auditní zprávy i jejích příloh vyplývá, že úřad má vnitřní předpisy i Směrnici rady LK k zadávání veřejných zakázek nastaveny v souladu se zákonem. Příslušná ustanovení směrnice byla ze strany úřadu dodržena.</w:t>
      </w:r>
    </w:p>
    <w:p w:rsidR="00353B43" w:rsidRPr="007A115D" w:rsidRDefault="00AF3D0A" w:rsidP="00353B43">
      <w:pPr>
        <w:spacing w:after="120"/>
        <w:jc w:val="both"/>
      </w:pPr>
      <w:r w:rsidRPr="007A115D">
        <w:t xml:space="preserve">Vzhledem ke značnému počtu připravovaných veřejných zakázek v rámci projektu byla uzavřena mandátní smlouva s externím administrátorem. </w:t>
      </w:r>
      <w:r w:rsidR="00353B43" w:rsidRPr="007A115D">
        <w:t xml:space="preserve">Tento postup byl v dané </w:t>
      </w:r>
      <w:r w:rsidR="00161CDE" w:rsidRPr="007A115D">
        <w:t xml:space="preserve">době </w:t>
      </w:r>
      <w:r w:rsidR="00025F3A" w:rsidRPr="007A115D">
        <w:t xml:space="preserve">na kraji </w:t>
      </w:r>
      <w:r w:rsidR="00161CDE" w:rsidRPr="007A115D">
        <w:t>standard</w:t>
      </w:r>
      <w:r w:rsidR="00353B43" w:rsidRPr="007A115D">
        <w:t>ní</w:t>
      </w:r>
      <w:r w:rsidR="00AD3E7B" w:rsidRPr="007A115D">
        <w:t>. N</w:t>
      </w:r>
      <w:r w:rsidR="00025F3A" w:rsidRPr="007A115D">
        <w:t xml:space="preserve">a oddělení veřejných zakázek </w:t>
      </w:r>
      <w:r w:rsidR="00AD3E7B" w:rsidRPr="007A115D">
        <w:t xml:space="preserve">pracovali tři zaměstnanci. </w:t>
      </w:r>
      <w:r w:rsidR="00353B43" w:rsidRPr="007A115D">
        <w:t xml:space="preserve">Na financování této smlouvy byly v projektu samostatně vyčleněny finanční prostředky. Smluvní vztah tedy nebyl </w:t>
      </w:r>
      <w:r w:rsidR="00161CDE" w:rsidRPr="007A115D">
        <w:t xml:space="preserve">uzavřen </w:t>
      </w:r>
      <w:r w:rsidR="00353B43" w:rsidRPr="007A115D">
        <w:t>na úkor poskytování sociálních služeb. Mandatář, Ing. Petra Vokasová, měl dle smlouvy zajišťovat administraci</w:t>
      </w:r>
      <w:r w:rsidR="00AD3E7B" w:rsidRPr="007A115D">
        <w:t xml:space="preserve"> 11 veřejných zakázek v otevřeném nadlimitním řízení dle § 27 zákona o veřejných zakázkách. </w:t>
      </w:r>
      <w:r w:rsidR="00353B43" w:rsidRPr="007A115D">
        <w:t>Zmiňovaná ma</w:t>
      </w:r>
      <w:r w:rsidRPr="007A115D">
        <w:t>ndátní smlouva byla podepsána na základě řádného výběrového</w:t>
      </w:r>
      <w:r w:rsidR="00353B43" w:rsidRPr="007A115D">
        <w:t xml:space="preserve"> řízení. Kvalifikaci i všechny další věcné parametry smluvních vztahů a jejich naplňování měl v popisu práce projektový manažer. Mandátní smlouva byla uzavřena 23. 6. </w:t>
      </w:r>
      <w:r w:rsidR="00161CDE" w:rsidRPr="007A115D">
        <w:t>2009.</w:t>
      </w:r>
      <w:r w:rsidR="00353B43" w:rsidRPr="007A115D">
        <w:t xml:space="preserve"> </w:t>
      </w:r>
      <w:r w:rsidR="00161CDE" w:rsidRPr="007A115D">
        <w:t>Kvůli</w:t>
      </w:r>
      <w:r w:rsidR="00353B43" w:rsidRPr="007A115D">
        <w:t xml:space="preserve"> časovému harmonogramu projektu byly prováděny přípravné práce a </w:t>
      </w:r>
      <w:r w:rsidR="00161CDE" w:rsidRPr="007A115D">
        <w:t xml:space="preserve">nastaveny </w:t>
      </w:r>
      <w:r w:rsidR="00353B43" w:rsidRPr="007A115D">
        <w:t>zadávací podmínky některých veřejných zakázek před tímto datem.</w:t>
      </w:r>
    </w:p>
    <w:p w:rsidR="00F86E20" w:rsidRPr="007A115D" w:rsidRDefault="00353B43" w:rsidP="00FE6066">
      <w:pPr>
        <w:spacing w:after="120"/>
        <w:jc w:val="both"/>
      </w:pPr>
      <w:r w:rsidRPr="007A115D">
        <w:t xml:space="preserve">U veřejných zakázek, které byly vypsány v období 05/2009 – 06/2009, je ve spisové službě </w:t>
      </w:r>
      <w:r w:rsidR="00025F3A" w:rsidRPr="007A115D">
        <w:t xml:space="preserve">GINIS </w:t>
      </w:r>
      <w:r w:rsidRPr="007A115D">
        <w:t xml:space="preserve">uvedena jako zpracovatelka materiálu předkládaného ke schválení radě kraje finanční manažerka projektu Ing. Iva Dromníková, protože ještě nebyla obsazena pozice projektového manažera. </w:t>
      </w:r>
      <w:r w:rsidR="00025F3A" w:rsidRPr="007A115D">
        <w:t>Pozice manažera projektu byla obsazena od 25.</w:t>
      </w:r>
      <w:r w:rsidR="002B40EB" w:rsidRPr="007A115D">
        <w:t xml:space="preserve"> </w:t>
      </w:r>
      <w:r w:rsidR="00025F3A" w:rsidRPr="007A115D">
        <w:t>5.</w:t>
      </w:r>
      <w:r w:rsidR="002B40EB" w:rsidRPr="007A115D">
        <w:t xml:space="preserve"> </w:t>
      </w:r>
      <w:r w:rsidR="00025F3A" w:rsidRPr="007A115D">
        <w:t>2009 Ing. Miroslavem Kroutilem, a to až do 31.</w:t>
      </w:r>
      <w:r w:rsidR="002B40EB" w:rsidRPr="007A115D">
        <w:t xml:space="preserve"> </w:t>
      </w:r>
      <w:r w:rsidR="00025F3A" w:rsidRPr="007A115D">
        <w:t>8.</w:t>
      </w:r>
      <w:r w:rsidR="002B40EB" w:rsidRPr="007A115D">
        <w:t xml:space="preserve"> </w:t>
      </w:r>
      <w:r w:rsidR="00025F3A" w:rsidRPr="007A115D">
        <w:t xml:space="preserve">2010. </w:t>
      </w:r>
      <w:r w:rsidR="007649FF" w:rsidRPr="007A115D">
        <w:t xml:space="preserve">Jako odborník na problematiku projektu IP1 byl </w:t>
      </w:r>
      <w:r w:rsidR="00025F3A" w:rsidRPr="007A115D">
        <w:t xml:space="preserve">po svém nástupu </w:t>
      </w:r>
      <w:r w:rsidRPr="007A115D">
        <w:t xml:space="preserve">členem komisí pro otevírání obálek, členem hodnotících komisí a současně zpracovatelem materiálů do rady kraje, </w:t>
      </w:r>
      <w:r w:rsidR="00797D56" w:rsidRPr="007A115D">
        <w:t>jejichž</w:t>
      </w:r>
      <w:r w:rsidRPr="007A115D">
        <w:t xml:space="preserve"> předmětem bylo rozhodnutí o výběru nejv</w:t>
      </w:r>
      <w:r w:rsidR="007649FF" w:rsidRPr="007A115D">
        <w:t xml:space="preserve">hodnější nabídky či rozhodnutí </w:t>
      </w:r>
      <w:r w:rsidRPr="007A115D">
        <w:t>o zrušení zadávacího řízení. Návrhy v materiálech do rady kraje byly zpracovány na základě doporučení hodnotící komise. Jmenovaný manažer p</w:t>
      </w:r>
      <w:r w:rsidR="007649FF" w:rsidRPr="007A115D">
        <w:t xml:space="preserve">rojektu se neúčastnil přípravy </w:t>
      </w:r>
      <w:r w:rsidR="00DB4176" w:rsidRPr="007A115D">
        <w:t xml:space="preserve">pouze </w:t>
      </w:r>
      <w:r w:rsidRPr="007A115D">
        <w:t>VZ č. OŘ/08/2009. Byl však členem komisí a zpracovatelem materiál</w:t>
      </w:r>
      <w:r w:rsidR="00797D56" w:rsidRPr="007A115D">
        <w:t xml:space="preserve">ů </w:t>
      </w:r>
      <w:r w:rsidRPr="007A115D">
        <w:t>pro rozhodnutí v radě kraje.</w:t>
      </w:r>
      <w:r w:rsidR="00DB4176" w:rsidRPr="007A115D">
        <w:t xml:space="preserve"> </w:t>
      </w:r>
      <w:r w:rsidR="009359DA" w:rsidRPr="007A115D">
        <w:t>Na přípravě m</w:t>
      </w:r>
      <w:r w:rsidR="00DB4176" w:rsidRPr="007A115D">
        <w:t>ateriál</w:t>
      </w:r>
      <w:r w:rsidR="009359DA" w:rsidRPr="007A115D">
        <w:t>ů</w:t>
      </w:r>
      <w:r w:rsidR="00DB4176" w:rsidRPr="007A115D">
        <w:t xml:space="preserve"> </w:t>
      </w:r>
      <w:r w:rsidR="009359DA" w:rsidRPr="007A115D">
        <w:t xml:space="preserve">pro jednání rady kraje </w:t>
      </w:r>
      <w:r w:rsidR="00DB4176" w:rsidRPr="007A115D">
        <w:t>k dalším 2</w:t>
      </w:r>
      <w:r w:rsidR="007A0BD9" w:rsidRPr="007A115D">
        <w:t>1</w:t>
      </w:r>
      <w:r w:rsidR="00DB4176" w:rsidRPr="007A115D">
        <w:t xml:space="preserve"> zakázkám </w:t>
      </w:r>
      <w:r w:rsidR="009359DA" w:rsidRPr="007A115D">
        <w:t xml:space="preserve">se projektový manažer podílel. </w:t>
      </w:r>
    </w:p>
    <w:sectPr w:rsidR="00F86E20" w:rsidRPr="007A1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3356"/>
    <w:multiLevelType w:val="hybridMultilevel"/>
    <w:tmpl w:val="4AC82C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61549E"/>
    <w:multiLevelType w:val="hybridMultilevel"/>
    <w:tmpl w:val="85BE6206"/>
    <w:lvl w:ilvl="0" w:tplc="A3E8A9B4">
      <w:start w:val="1"/>
      <w:numFmt w:val="bullet"/>
      <w:lvlText w:val="-"/>
      <w:lvlJc w:val="left"/>
      <w:pPr>
        <w:tabs>
          <w:tab w:val="num" w:pos="-201"/>
        </w:tabs>
        <w:ind w:left="-184" w:hanging="170"/>
      </w:pPr>
      <w:rPr>
        <w:rFonts w:ascii="Courier New" w:hAnsi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2">
    <w:nsid w:val="5CF1469D"/>
    <w:multiLevelType w:val="hybridMultilevel"/>
    <w:tmpl w:val="52E8FC66"/>
    <w:lvl w:ilvl="0" w:tplc="033433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C76F44"/>
    <w:multiLevelType w:val="hybridMultilevel"/>
    <w:tmpl w:val="7B587C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5E"/>
    <w:rsid w:val="00025F3A"/>
    <w:rsid w:val="000433A6"/>
    <w:rsid w:val="00052B36"/>
    <w:rsid w:val="00084A71"/>
    <w:rsid w:val="000A67E3"/>
    <w:rsid w:val="000F7BE5"/>
    <w:rsid w:val="001277E3"/>
    <w:rsid w:val="00132BE0"/>
    <w:rsid w:val="00161CDE"/>
    <w:rsid w:val="00161DC6"/>
    <w:rsid w:val="001716D3"/>
    <w:rsid w:val="0018292E"/>
    <w:rsid w:val="001C1285"/>
    <w:rsid w:val="00214400"/>
    <w:rsid w:val="00222F96"/>
    <w:rsid w:val="00246FEA"/>
    <w:rsid w:val="00272024"/>
    <w:rsid w:val="00280A10"/>
    <w:rsid w:val="002B40EB"/>
    <w:rsid w:val="002D115A"/>
    <w:rsid w:val="003246B4"/>
    <w:rsid w:val="00353B43"/>
    <w:rsid w:val="003A3172"/>
    <w:rsid w:val="003A62B2"/>
    <w:rsid w:val="003B0950"/>
    <w:rsid w:val="003F45F1"/>
    <w:rsid w:val="0040069E"/>
    <w:rsid w:val="004013B4"/>
    <w:rsid w:val="00411352"/>
    <w:rsid w:val="00440895"/>
    <w:rsid w:val="00481E81"/>
    <w:rsid w:val="004C0F67"/>
    <w:rsid w:val="005335DE"/>
    <w:rsid w:val="006224F5"/>
    <w:rsid w:val="00762377"/>
    <w:rsid w:val="007649FF"/>
    <w:rsid w:val="00785B10"/>
    <w:rsid w:val="00794233"/>
    <w:rsid w:val="0079731A"/>
    <w:rsid w:val="00797D56"/>
    <w:rsid w:val="007A0BD9"/>
    <w:rsid w:val="007A115D"/>
    <w:rsid w:val="007C092F"/>
    <w:rsid w:val="00854C34"/>
    <w:rsid w:val="00855680"/>
    <w:rsid w:val="008978B2"/>
    <w:rsid w:val="009359DA"/>
    <w:rsid w:val="00AD3E7B"/>
    <w:rsid w:val="00AF3D0A"/>
    <w:rsid w:val="00B24664"/>
    <w:rsid w:val="00B2577D"/>
    <w:rsid w:val="00BE3646"/>
    <w:rsid w:val="00C5176B"/>
    <w:rsid w:val="00C7239A"/>
    <w:rsid w:val="00C954B9"/>
    <w:rsid w:val="00CF3722"/>
    <w:rsid w:val="00D2413D"/>
    <w:rsid w:val="00D67622"/>
    <w:rsid w:val="00DB4176"/>
    <w:rsid w:val="00DC521A"/>
    <w:rsid w:val="00DE1D83"/>
    <w:rsid w:val="00EB47FC"/>
    <w:rsid w:val="00ED62C0"/>
    <w:rsid w:val="00F650A3"/>
    <w:rsid w:val="00F67F5E"/>
    <w:rsid w:val="00F72952"/>
    <w:rsid w:val="00F86E20"/>
    <w:rsid w:val="00FE6066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44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723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39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44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723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39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397D-6CC2-4C54-B0F4-28B2D98F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Hlozkova Lucie</dc:creator>
  <cp:lastModifiedBy>Kolomaznikova Marie</cp:lastModifiedBy>
  <cp:revision>2</cp:revision>
  <cp:lastPrinted>2015-09-29T07:07:00Z</cp:lastPrinted>
  <dcterms:created xsi:type="dcterms:W3CDTF">2015-09-29T09:57:00Z</dcterms:created>
  <dcterms:modified xsi:type="dcterms:W3CDTF">2015-09-29T09:57:00Z</dcterms:modified>
</cp:coreProperties>
</file>