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F08" w:rsidRDefault="00413F08" w:rsidP="00413F08">
      <w:pPr>
        <w:pStyle w:val="HHTitle2"/>
        <w:shd w:val="clear" w:color="auto" w:fill="FFFFFF" w:themeFill="background1"/>
        <w:jc w:val="left"/>
      </w:pPr>
      <w:r>
        <w:t>Příloha č. 2</w:t>
      </w:r>
      <w:bookmarkStart w:id="0" w:name="_GoBack"/>
      <w:bookmarkEnd w:id="0"/>
    </w:p>
    <w:p w:rsidR="007342DE" w:rsidRPr="006047EC" w:rsidRDefault="007342DE" w:rsidP="006047EC">
      <w:pPr>
        <w:pStyle w:val="HHTitle2"/>
        <w:shd w:val="clear" w:color="auto" w:fill="FFFFFF" w:themeFill="background1"/>
      </w:pPr>
      <w:r w:rsidRPr="006047EC">
        <w:t>Dodatek</w:t>
      </w:r>
      <w:r w:rsidR="00DE5D56" w:rsidRPr="006047EC">
        <w:t xml:space="preserve"> č</w:t>
      </w:r>
      <w:r w:rsidRPr="006047EC">
        <w:t>.</w:t>
      </w:r>
      <w:r w:rsidR="00DE5D56" w:rsidRPr="006047EC">
        <w:t xml:space="preserve"> </w:t>
      </w:r>
      <w:r w:rsidRPr="006047EC">
        <w:t xml:space="preserve">1. ke SMLOUVĚ MEZI AKCIONÁŘI </w:t>
      </w:r>
    </w:p>
    <w:p w:rsidR="007342DE" w:rsidRPr="006047EC" w:rsidRDefault="007342DE" w:rsidP="006047EC">
      <w:pPr>
        <w:pStyle w:val="HHTitle2"/>
        <w:shd w:val="clear" w:color="auto" w:fill="FFFFFF" w:themeFill="background1"/>
      </w:pPr>
    </w:p>
    <w:p w:rsidR="007342DE" w:rsidRPr="006047EC" w:rsidRDefault="00DE5D56" w:rsidP="006047EC">
      <w:pPr>
        <w:shd w:val="clear" w:color="auto" w:fill="FFFFFF" w:themeFill="background1"/>
        <w:jc w:val="center"/>
      </w:pPr>
      <w:r w:rsidRPr="006047EC">
        <w:t>u</w:t>
      </w:r>
      <w:r w:rsidR="007342DE" w:rsidRPr="006047EC">
        <w:t>zavřený dle ustanovení zákona č. 90/2012 Sb., o obchodních společnostech a družstvech a zákona č.89/2012 Občanského zákoníku</w:t>
      </w:r>
      <w:r w:rsidR="007342DE" w:rsidRPr="006047EC">
        <w:br/>
        <w:t xml:space="preserve">(„ </w:t>
      </w:r>
      <w:r w:rsidR="007342DE" w:rsidRPr="006047EC">
        <w:rPr>
          <w:b/>
        </w:rPr>
        <w:t>Dodatek ke Smlouvě</w:t>
      </w:r>
      <w:r w:rsidR="007342DE" w:rsidRPr="006047EC">
        <w:t>“)</w:t>
      </w:r>
    </w:p>
    <w:p w:rsidR="007342DE" w:rsidRPr="006047EC" w:rsidRDefault="007342DE" w:rsidP="006047EC">
      <w:pPr>
        <w:pStyle w:val="Smluvnistranypreambule"/>
        <w:shd w:val="clear" w:color="auto" w:fill="FFFFFF" w:themeFill="background1"/>
      </w:pPr>
      <w:r w:rsidRPr="006047EC">
        <w:t>Smluvní strany</w:t>
      </w:r>
    </w:p>
    <w:p w:rsidR="007342DE" w:rsidRPr="006047EC" w:rsidRDefault="007342DE" w:rsidP="006047EC">
      <w:pPr>
        <w:shd w:val="clear" w:color="auto" w:fill="FFFFFF" w:themeFill="background1"/>
        <w:rPr>
          <w:szCs w:val="22"/>
        </w:rPr>
      </w:pPr>
    </w:p>
    <w:p w:rsidR="007342DE" w:rsidRPr="006047EC" w:rsidRDefault="007342DE" w:rsidP="006047EC">
      <w:pPr>
        <w:shd w:val="clear" w:color="auto" w:fill="FFFFFF" w:themeFill="background1"/>
        <w:rPr>
          <w:szCs w:val="22"/>
        </w:rPr>
      </w:pPr>
      <w:r w:rsidRPr="006047EC">
        <w:rPr>
          <w:szCs w:val="22"/>
        </w:rPr>
        <w:t>1.</w:t>
      </w:r>
    </w:p>
    <w:p w:rsidR="007342DE" w:rsidRPr="006047EC" w:rsidRDefault="007342DE" w:rsidP="006047EC">
      <w:pPr>
        <w:shd w:val="clear" w:color="auto" w:fill="FFFFFF" w:themeFill="background1"/>
        <w:rPr>
          <w:szCs w:val="22"/>
        </w:rPr>
      </w:pPr>
      <w:r w:rsidRPr="006047EC">
        <w:rPr>
          <w:szCs w:val="22"/>
        </w:rPr>
        <w:t xml:space="preserve">Liberecký Kraj                                                     </w:t>
      </w:r>
    </w:p>
    <w:p w:rsidR="007342DE" w:rsidRPr="006047EC" w:rsidRDefault="007342DE" w:rsidP="006047EC">
      <w:pPr>
        <w:shd w:val="clear" w:color="auto" w:fill="FFFFFF" w:themeFill="background1"/>
        <w:rPr>
          <w:i/>
          <w:szCs w:val="22"/>
        </w:rPr>
      </w:pPr>
      <w:r w:rsidRPr="006047EC">
        <w:rPr>
          <w:i/>
          <w:szCs w:val="22"/>
        </w:rPr>
        <w:t>Zastoupený hejtmanem panem Bc. Martinem Půtou</w:t>
      </w:r>
    </w:p>
    <w:p w:rsidR="007342DE" w:rsidRPr="006047EC" w:rsidRDefault="007342DE" w:rsidP="006047EC">
      <w:pPr>
        <w:shd w:val="clear" w:color="auto" w:fill="FFFFFF" w:themeFill="background1"/>
        <w:rPr>
          <w:szCs w:val="22"/>
        </w:rPr>
      </w:pPr>
      <w:r w:rsidRPr="006047EC">
        <w:rPr>
          <w:szCs w:val="22"/>
        </w:rPr>
        <w:t xml:space="preserve">U Jezu 642/2a                                                          </w:t>
      </w:r>
    </w:p>
    <w:p w:rsidR="007342DE" w:rsidRPr="006047EC" w:rsidRDefault="007342DE" w:rsidP="006047EC">
      <w:pPr>
        <w:shd w:val="clear" w:color="auto" w:fill="FFFFFF" w:themeFill="background1"/>
        <w:rPr>
          <w:szCs w:val="22"/>
        </w:rPr>
      </w:pPr>
      <w:r w:rsidRPr="006047EC">
        <w:rPr>
          <w:szCs w:val="22"/>
        </w:rPr>
        <w:t xml:space="preserve">461 80 Liberec                                                           </w:t>
      </w:r>
    </w:p>
    <w:p w:rsidR="007342DE" w:rsidRPr="006047EC" w:rsidRDefault="007342DE" w:rsidP="006047EC">
      <w:pPr>
        <w:shd w:val="clear" w:color="auto" w:fill="FFFFFF" w:themeFill="background1"/>
        <w:rPr>
          <w:szCs w:val="22"/>
        </w:rPr>
      </w:pPr>
      <w:r w:rsidRPr="006047EC">
        <w:rPr>
          <w:szCs w:val="22"/>
        </w:rPr>
        <w:t>IČ: 708 91 508</w:t>
      </w:r>
    </w:p>
    <w:p w:rsidR="007342DE" w:rsidRPr="006047EC" w:rsidRDefault="007342DE" w:rsidP="006047EC">
      <w:pPr>
        <w:shd w:val="clear" w:color="auto" w:fill="FFFFFF" w:themeFill="background1"/>
        <w:rPr>
          <w:b/>
          <w:szCs w:val="22"/>
        </w:rPr>
      </w:pPr>
      <w:r w:rsidRPr="006047EC">
        <w:rPr>
          <w:b/>
          <w:szCs w:val="22"/>
        </w:rPr>
        <w:t xml:space="preserve"> „ Akcionář 1“</w:t>
      </w:r>
    </w:p>
    <w:p w:rsidR="007342DE" w:rsidRPr="006047EC" w:rsidRDefault="007342DE" w:rsidP="006047EC">
      <w:pPr>
        <w:shd w:val="clear" w:color="auto" w:fill="FFFFFF" w:themeFill="background1"/>
        <w:rPr>
          <w:szCs w:val="22"/>
        </w:rPr>
      </w:pPr>
    </w:p>
    <w:p w:rsidR="007342DE" w:rsidRPr="006047EC" w:rsidRDefault="007342DE" w:rsidP="006047EC">
      <w:pPr>
        <w:shd w:val="clear" w:color="auto" w:fill="FFFFFF" w:themeFill="background1"/>
        <w:rPr>
          <w:szCs w:val="22"/>
        </w:rPr>
      </w:pPr>
      <w:r w:rsidRPr="006047EC">
        <w:rPr>
          <w:szCs w:val="22"/>
        </w:rPr>
        <w:t>2.</w:t>
      </w:r>
    </w:p>
    <w:p w:rsidR="007342DE" w:rsidRPr="006047EC" w:rsidRDefault="007342DE" w:rsidP="006047EC">
      <w:pPr>
        <w:shd w:val="clear" w:color="auto" w:fill="FFFFFF" w:themeFill="background1"/>
        <w:rPr>
          <w:szCs w:val="22"/>
        </w:rPr>
      </w:pPr>
      <w:r w:rsidRPr="006047EC">
        <w:rPr>
          <w:szCs w:val="22"/>
        </w:rPr>
        <w:t>Statutární město Liberec</w:t>
      </w:r>
    </w:p>
    <w:p w:rsidR="007342DE" w:rsidRPr="006047EC" w:rsidRDefault="007342DE" w:rsidP="006047EC">
      <w:pPr>
        <w:shd w:val="clear" w:color="auto" w:fill="FFFFFF" w:themeFill="background1"/>
        <w:rPr>
          <w:i/>
          <w:szCs w:val="22"/>
        </w:rPr>
      </w:pPr>
      <w:r w:rsidRPr="006047EC">
        <w:rPr>
          <w:i/>
          <w:szCs w:val="22"/>
        </w:rPr>
        <w:t xml:space="preserve">zastoupeno primátorem panem </w:t>
      </w:r>
      <w:r w:rsidRPr="006047EC">
        <w:rPr>
          <w:i/>
          <w:color w:val="000000"/>
          <w:szCs w:val="22"/>
        </w:rPr>
        <w:t xml:space="preserve">Tiborem </w:t>
      </w:r>
      <w:proofErr w:type="spellStart"/>
      <w:r w:rsidRPr="006047EC">
        <w:rPr>
          <w:i/>
          <w:color w:val="000000"/>
          <w:szCs w:val="22"/>
        </w:rPr>
        <w:t>Batthyánym</w:t>
      </w:r>
      <w:proofErr w:type="spellEnd"/>
      <w:r w:rsidRPr="006047EC">
        <w:rPr>
          <w:i/>
          <w:szCs w:val="22"/>
        </w:rPr>
        <w:t xml:space="preserve">                                                             </w:t>
      </w:r>
    </w:p>
    <w:p w:rsidR="007342DE" w:rsidRPr="006047EC" w:rsidRDefault="007342DE" w:rsidP="006047EC">
      <w:pPr>
        <w:shd w:val="clear" w:color="auto" w:fill="FFFFFF" w:themeFill="background1"/>
        <w:rPr>
          <w:szCs w:val="22"/>
        </w:rPr>
      </w:pPr>
      <w:r w:rsidRPr="006047EC">
        <w:rPr>
          <w:szCs w:val="22"/>
        </w:rPr>
        <w:t>nám. Dr. E. Beneše 1</w:t>
      </w:r>
    </w:p>
    <w:p w:rsidR="007342DE" w:rsidRPr="006047EC" w:rsidRDefault="007342DE" w:rsidP="006047EC">
      <w:pPr>
        <w:shd w:val="clear" w:color="auto" w:fill="FFFFFF" w:themeFill="background1"/>
        <w:rPr>
          <w:szCs w:val="22"/>
        </w:rPr>
      </w:pPr>
      <w:r w:rsidRPr="006047EC">
        <w:rPr>
          <w:szCs w:val="22"/>
        </w:rPr>
        <w:t xml:space="preserve">460 01 Liberec                                                      </w:t>
      </w:r>
    </w:p>
    <w:p w:rsidR="007342DE" w:rsidRPr="006047EC" w:rsidRDefault="007342DE" w:rsidP="006047EC">
      <w:pPr>
        <w:shd w:val="clear" w:color="auto" w:fill="FFFFFF" w:themeFill="background1"/>
        <w:rPr>
          <w:szCs w:val="22"/>
        </w:rPr>
      </w:pPr>
      <w:r w:rsidRPr="006047EC">
        <w:rPr>
          <w:szCs w:val="22"/>
        </w:rPr>
        <w:t>IČ: 00262978</w:t>
      </w:r>
    </w:p>
    <w:p w:rsidR="007342DE" w:rsidRPr="006047EC" w:rsidRDefault="007342DE" w:rsidP="006047EC">
      <w:pPr>
        <w:shd w:val="clear" w:color="auto" w:fill="FFFFFF" w:themeFill="background1"/>
        <w:rPr>
          <w:b/>
          <w:szCs w:val="22"/>
        </w:rPr>
      </w:pPr>
      <w:r w:rsidRPr="006047EC">
        <w:rPr>
          <w:b/>
          <w:szCs w:val="22"/>
        </w:rPr>
        <w:t xml:space="preserve"> „ Akcionář 2“</w:t>
      </w:r>
    </w:p>
    <w:p w:rsidR="007342DE" w:rsidRPr="006047EC" w:rsidRDefault="007342DE" w:rsidP="006047EC">
      <w:pPr>
        <w:shd w:val="clear" w:color="auto" w:fill="FFFFFF" w:themeFill="background1"/>
        <w:rPr>
          <w:szCs w:val="22"/>
        </w:rPr>
      </w:pPr>
      <w:r w:rsidRPr="006047EC">
        <w:rPr>
          <w:szCs w:val="22"/>
        </w:rPr>
        <w:t xml:space="preserve"> </w:t>
      </w:r>
    </w:p>
    <w:p w:rsidR="007342DE" w:rsidRPr="006047EC" w:rsidRDefault="007342DE" w:rsidP="006047EC">
      <w:pPr>
        <w:shd w:val="clear" w:color="auto" w:fill="FFFFFF" w:themeFill="background1"/>
        <w:rPr>
          <w:szCs w:val="22"/>
        </w:rPr>
      </w:pPr>
      <w:r w:rsidRPr="006047EC">
        <w:rPr>
          <w:szCs w:val="22"/>
        </w:rPr>
        <w:t>3.</w:t>
      </w:r>
    </w:p>
    <w:p w:rsidR="007342DE" w:rsidRPr="006047EC" w:rsidRDefault="007342DE" w:rsidP="006047EC">
      <w:pPr>
        <w:shd w:val="clear" w:color="auto" w:fill="FFFFFF" w:themeFill="background1"/>
        <w:rPr>
          <w:szCs w:val="22"/>
        </w:rPr>
      </w:pPr>
      <w:r w:rsidRPr="006047EC">
        <w:rPr>
          <w:szCs w:val="22"/>
        </w:rPr>
        <w:t>Město Turnov</w:t>
      </w:r>
    </w:p>
    <w:p w:rsidR="007342DE" w:rsidRPr="006047EC" w:rsidRDefault="007342DE" w:rsidP="006047EC">
      <w:pPr>
        <w:shd w:val="clear" w:color="auto" w:fill="FFFFFF" w:themeFill="background1"/>
        <w:rPr>
          <w:szCs w:val="22"/>
        </w:rPr>
      </w:pPr>
      <w:r w:rsidRPr="006047EC">
        <w:rPr>
          <w:i/>
          <w:szCs w:val="22"/>
        </w:rPr>
        <w:t xml:space="preserve">zastoupeno starostou panem Ing. Tomášem </w:t>
      </w:r>
      <w:proofErr w:type="spellStart"/>
      <w:r w:rsidRPr="006047EC">
        <w:rPr>
          <w:i/>
          <w:szCs w:val="22"/>
        </w:rPr>
        <w:t>Hockem</w:t>
      </w:r>
      <w:proofErr w:type="spellEnd"/>
      <w:r w:rsidRPr="006047EC">
        <w:rPr>
          <w:i/>
          <w:szCs w:val="22"/>
        </w:rPr>
        <w:t xml:space="preserve">                                                               </w:t>
      </w:r>
    </w:p>
    <w:p w:rsidR="007342DE" w:rsidRPr="006047EC" w:rsidRDefault="007342DE" w:rsidP="006047EC">
      <w:pPr>
        <w:shd w:val="clear" w:color="auto" w:fill="FFFFFF" w:themeFill="background1"/>
        <w:rPr>
          <w:szCs w:val="22"/>
        </w:rPr>
      </w:pPr>
      <w:r w:rsidRPr="006047EC">
        <w:rPr>
          <w:szCs w:val="22"/>
        </w:rPr>
        <w:t>Antonína Dvořáka 335</w:t>
      </w:r>
    </w:p>
    <w:p w:rsidR="007342DE" w:rsidRPr="006047EC" w:rsidRDefault="007342DE" w:rsidP="006047EC">
      <w:pPr>
        <w:shd w:val="clear" w:color="auto" w:fill="FFFFFF" w:themeFill="background1"/>
        <w:rPr>
          <w:szCs w:val="22"/>
        </w:rPr>
      </w:pPr>
      <w:r w:rsidRPr="006047EC">
        <w:rPr>
          <w:szCs w:val="22"/>
        </w:rPr>
        <w:t>511 01 Turnov</w:t>
      </w:r>
    </w:p>
    <w:p w:rsidR="007342DE" w:rsidRPr="006047EC" w:rsidRDefault="007342DE" w:rsidP="006047EC">
      <w:pPr>
        <w:shd w:val="clear" w:color="auto" w:fill="FFFFFF" w:themeFill="background1"/>
        <w:rPr>
          <w:szCs w:val="22"/>
        </w:rPr>
      </w:pPr>
      <w:r w:rsidRPr="006047EC">
        <w:rPr>
          <w:szCs w:val="22"/>
        </w:rPr>
        <w:t>IČ: 00276227</w:t>
      </w:r>
    </w:p>
    <w:p w:rsidR="007342DE" w:rsidRPr="006047EC" w:rsidRDefault="007342DE" w:rsidP="006047EC">
      <w:pPr>
        <w:shd w:val="clear" w:color="auto" w:fill="FFFFFF" w:themeFill="background1"/>
        <w:spacing w:before="0" w:after="0"/>
        <w:rPr>
          <w:b/>
          <w:szCs w:val="22"/>
        </w:rPr>
      </w:pPr>
      <w:r w:rsidRPr="006047EC">
        <w:rPr>
          <w:b/>
          <w:szCs w:val="22"/>
        </w:rPr>
        <w:t>„ Akcionář 3“</w:t>
      </w:r>
    </w:p>
    <w:p w:rsidR="007342DE" w:rsidRPr="006047EC" w:rsidRDefault="007342DE" w:rsidP="006047EC">
      <w:pPr>
        <w:pStyle w:val="Text11"/>
        <w:shd w:val="clear" w:color="auto" w:fill="FFFFFF" w:themeFill="background1"/>
        <w:spacing w:before="0" w:after="0"/>
        <w:ind w:left="0"/>
        <w:rPr>
          <w:szCs w:val="22"/>
        </w:rPr>
      </w:pPr>
    </w:p>
    <w:p w:rsidR="00DE5D56" w:rsidRPr="006047EC" w:rsidRDefault="00DE5D56" w:rsidP="006047EC">
      <w:pPr>
        <w:pStyle w:val="Text11"/>
        <w:shd w:val="clear" w:color="auto" w:fill="FFFFFF" w:themeFill="background1"/>
        <w:spacing w:before="0" w:after="0"/>
        <w:ind w:left="0"/>
        <w:rPr>
          <w:bCs/>
        </w:rPr>
      </w:pPr>
    </w:p>
    <w:p w:rsidR="00DE5D56" w:rsidRPr="006047EC" w:rsidRDefault="00DE5D56" w:rsidP="006047EC">
      <w:pPr>
        <w:pStyle w:val="Text11"/>
        <w:shd w:val="clear" w:color="auto" w:fill="FFFFFF" w:themeFill="background1"/>
        <w:spacing w:before="0" w:after="0"/>
        <w:ind w:left="0"/>
        <w:rPr>
          <w:bCs/>
        </w:rPr>
      </w:pPr>
    </w:p>
    <w:p w:rsidR="00DE5D56" w:rsidRPr="006047EC" w:rsidRDefault="00DE5D56" w:rsidP="006047EC">
      <w:pPr>
        <w:pStyle w:val="Text11"/>
        <w:shd w:val="clear" w:color="auto" w:fill="FFFFFF" w:themeFill="background1"/>
        <w:spacing w:before="0" w:after="0"/>
        <w:ind w:left="0"/>
        <w:rPr>
          <w:bCs/>
        </w:rPr>
      </w:pPr>
    </w:p>
    <w:p w:rsidR="00DE5D56" w:rsidRPr="006047EC" w:rsidRDefault="00DE5D56" w:rsidP="006047EC">
      <w:pPr>
        <w:pStyle w:val="Text11"/>
        <w:shd w:val="clear" w:color="auto" w:fill="FFFFFF" w:themeFill="background1"/>
        <w:spacing w:before="0" w:after="0"/>
        <w:ind w:left="0"/>
        <w:rPr>
          <w:bCs/>
        </w:rPr>
      </w:pPr>
    </w:p>
    <w:p w:rsidR="00DE5D56" w:rsidRPr="006047EC" w:rsidRDefault="00DE5D56" w:rsidP="006047EC">
      <w:pPr>
        <w:pStyle w:val="Text11"/>
        <w:shd w:val="clear" w:color="auto" w:fill="FFFFFF" w:themeFill="background1"/>
        <w:spacing w:before="0" w:after="0"/>
        <w:ind w:left="0"/>
        <w:rPr>
          <w:bCs/>
        </w:rPr>
      </w:pPr>
    </w:p>
    <w:p w:rsidR="007342DE" w:rsidRPr="006047EC" w:rsidRDefault="007342DE" w:rsidP="006047EC">
      <w:pPr>
        <w:pStyle w:val="Text11"/>
        <w:shd w:val="clear" w:color="auto" w:fill="FFFFFF" w:themeFill="background1"/>
        <w:spacing w:before="0" w:after="0"/>
        <w:ind w:left="0"/>
      </w:pPr>
      <w:r w:rsidRPr="006047EC">
        <w:rPr>
          <w:bCs/>
        </w:rPr>
        <w:t>(</w:t>
      </w:r>
      <w:r w:rsidRPr="006047EC">
        <w:t>Akcionáři 1 až 3 jsou dále označeni</w:t>
      </w:r>
      <w:r w:rsidRPr="006047EC">
        <w:rPr>
          <w:bCs/>
        </w:rPr>
        <w:t xml:space="preserve"> </w:t>
      </w:r>
      <w:r w:rsidRPr="006047EC">
        <w:t>společně jako „</w:t>
      </w:r>
      <w:r w:rsidRPr="006047EC">
        <w:rPr>
          <w:b/>
          <w:bCs/>
        </w:rPr>
        <w:t>Společníci</w:t>
      </w:r>
      <w:r w:rsidRPr="006047EC">
        <w:rPr>
          <w:bCs/>
        </w:rPr>
        <w:t xml:space="preserve">“; </w:t>
      </w:r>
      <w:r w:rsidRPr="006047EC">
        <w:t>„</w:t>
      </w:r>
      <w:r w:rsidRPr="006047EC">
        <w:rPr>
          <w:b/>
          <w:bCs/>
        </w:rPr>
        <w:t>Společník</w:t>
      </w:r>
      <w:r w:rsidRPr="006047EC">
        <w:rPr>
          <w:bCs/>
        </w:rPr>
        <w:t>“ znamená kteréhokoli ze Společníků)</w:t>
      </w:r>
    </w:p>
    <w:p w:rsidR="00DE5D56" w:rsidRPr="006047EC" w:rsidRDefault="00DE5D56" w:rsidP="006047EC">
      <w:pPr>
        <w:pStyle w:val="Smluvnistranypreambule"/>
        <w:shd w:val="clear" w:color="auto" w:fill="FFFFFF" w:themeFill="background1"/>
        <w:spacing w:before="0" w:after="0"/>
      </w:pPr>
    </w:p>
    <w:p w:rsidR="00874153" w:rsidRPr="006047EC" w:rsidRDefault="007342DE" w:rsidP="006047EC">
      <w:pPr>
        <w:pStyle w:val="Smluvnistranypreambule"/>
        <w:shd w:val="clear" w:color="auto" w:fill="FFFFFF" w:themeFill="background1"/>
        <w:spacing w:before="0" w:after="0"/>
      </w:pPr>
      <w:r w:rsidRPr="006047EC">
        <w:t>Preambule</w:t>
      </w:r>
    </w:p>
    <w:p w:rsidR="007342DE" w:rsidRPr="006047EC" w:rsidRDefault="007342DE" w:rsidP="006047EC">
      <w:pPr>
        <w:shd w:val="clear" w:color="auto" w:fill="FFFFFF" w:themeFill="background1"/>
        <w:spacing w:before="0" w:after="0"/>
      </w:pPr>
      <w:r w:rsidRPr="006047EC">
        <w:t>VZHLEDEM K TOMU, ŽE:</w:t>
      </w:r>
    </w:p>
    <w:p w:rsidR="007342DE" w:rsidRPr="006047EC" w:rsidRDefault="007342DE" w:rsidP="006047EC">
      <w:pPr>
        <w:pStyle w:val="Preambule"/>
        <w:shd w:val="clear" w:color="auto" w:fill="FFFFFF" w:themeFill="background1"/>
      </w:pPr>
      <w:r w:rsidRPr="006047EC">
        <w:t xml:space="preserve">Společníci dne </w:t>
      </w:r>
      <w:r w:rsidR="00874153" w:rsidRPr="006047EC">
        <w:t>6. 11. 2013</w:t>
      </w:r>
      <w:r w:rsidRPr="006047EC">
        <w:t xml:space="preserve"> uzavřeli spolu smlouvu o způsobu vykonávaní svých akcionářských práv vůči společnosti i třetím stranám, kde definovali své vzájemné práva a povinnosti</w:t>
      </w:r>
    </w:p>
    <w:p w:rsidR="007342DE" w:rsidRPr="006047EC" w:rsidRDefault="007342DE" w:rsidP="006047EC">
      <w:pPr>
        <w:pStyle w:val="Preambule"/>
        <w:numPr>
          <w:ilvl w:val="0"/>
          <w:numId w:val="0"/>
        </w:numPr>
        <w:shd w:val="clear" w:color="auto" w:fill="FFFFFF" w:themeFill="background1"/>
        <w:ind w:left="567"/>
      </w:pPr>
      <w:r w:rsidRPr="006047EC">
        <w:t>a</w:t>
      </w:r>
    </w:p>
    <w:p w:rsidR="007342DE" w:rsidRPr="006047EC" w:rsidRDefault="007342DE" w:rsidP="006047EC">
      <w:pPr>
        <w:pStyle w:val="Preambule"/>
        <w:shd w:val="clear" w:color="auto" w:fill="FFFFFF" w:themeFill="background1"/>
        <w:rPr>
          <w:caps/>
        </w:rPr>
      </w:pPr>
      <w:bookmarkStart w:id="1" w:name="_Ref216451943"/>
      <w:r w:rsidRPr="006047EC">
        <w:t>Společníci chtějí ve střednědobém horizontu ze svých prostředků financovat investiční výstavbu a přejí si, aby jejich příspěvky byly přesně definované a určené na konkrétní účely</w:t>
      </w:r>
      <w:r w:rsidR="00874153" w:rsidRPr="006047EC">
        <w:t>.</w:t>
      </w:r>
    </w:p>
    <w:bookmarkEnd w:id="1"/>
    <w:p w:rsidR="007342DE" w:rsidRPr="006047EC" w:rsidRDefault="007342DE" w:rsidP="008B7941">
      <w:pPr>
        <w:pStyle w:val="Preambule"/>
        <w:numPr>
          <w:ilvl w:val="0"/>
          <w:numId w:val="0"/>
        </w:numPr>
        <w:shd w:val="clear" w:color="auto" w:fill="FFFFFF" w:themeFill="background1"/>
        <w:rPr>
          <w:caps/>
        </w:rPr>
      </w:pPr>
    </w:p>
    <w:p w:rsidR="007342DE" w:rsidRPr="006047EC" w:rsidRDefault="007342DE" w:rsidP="006047EC">
      <w:pPr>
        <w:shd w:val="clear" w:color="auto" w:fill="FFFFFF" w:themeFill="background1"/>
        <w:rPr>
          <w:caps/>
        </w:rPr>
      </w:pPr>
      <w:r w:rsidRPr="006047EC">
        <w:rPr>
          <w:caps/>
        </w:rPr>
        <w:t xml:space="preserve">Vzhledem k výše uvedenému se Smluvní strany níže uvedeného dne, měsíce a roku rozhodlY UZAvřít tento dodatek </w:t>
      </w:r>
      <w:r w:rsidR="00CF1217">
        <w:rPr>
          <w:caps/>
        </w:rPr>
        <w:t>KE</w:t>
      </w:r>
      <w:r w:rsidRPr="006047EC">
        <w:rPr>
          <w:caps/>
        </w:rPr>
        <w:t xml:space="preserve"> SMLOUV</w:t>
      </w:r>
      <w:r w:rsidR="00CF1217">
        <w:rPr>
          <w:caps/>
        </w:rPr>
        <w:t>Ě</w:t>
      </w:r>
      <w:r w:rsidRPr="006047EC">
        <w:rPr>
          <w:caps/>
        </w:rPr>
        <w:t>.</w:t>
      </w:r>
    </w:p>
    <w:p w:rsidR="007342DE" w:rsidRPr="006047EC" w:rsidRDefault="007342DE" w:rsidP="006047EC">
      <w:pPr>
        <w:shd w:val="clear" w:color="auto" w:fill="FFFFFF" w:themeFill="background1"/>
        <w:jc w:val="right"/>
      </w:pPr>
    </w:p>
    <w:p w:rsidR="007342DE" w:rsidRPr="006047EC" w:rsidRDefault="007342DE" w:rsidP="006047EC">
      <w:pPr>
        <w:pStyle w:val="Nadpis1"/>
        <w:shd w:val="clear" w:color="auto" w:fill="FFFFFF" w:themeFill="background1"/>
      </w:pPr>
      <w:bookmarkStart w:id="2" w:name="_Toc233181278"/>
      <w:r w:rsidRPr="006047EC">
        <w:t>Definice</w:t>
      </w:r>
      <w:bookmarkEnd w:id="2"/>
    </w:p>
    <w:p w:rsidR="007342DE" w:rsidRPr="006047EC" w:rsidRDefault="007342DE" w:rsidP="006047EC">
      <w:pPr>
        <w:pStyle w:val="Clanek11"/>
        <w:shd w:val="clear" w:color="auto" w:fill="FFFFFF" w:themeFill="background1"/>
      </w:pPr>
      <w:r w:rsidRPr="006047EC">
        <w:t>Pro účely tohoto Dodatku</w:t>
      </w:r>
      <w:r w:rsidR="0004003F" w:rsidRPr="006047EC">
        <w:t xml:space="preserve"> ke Smlouvě</w:t>
      </w:r>
      <w:r w:rsidRPr="006047EC">
        <w:t xml:space="preserve"> mají následující výrazy psané s velkým počátečním písmenem níže uvedený význam:</w:t>
      </w:r>
    </w:p>
    <w:p w:rsidR="007342DE" w:rsidRPr="006047EC" w:rsidRDefault="007342DE" w:rsidP="006047EC">
      <w:pPr>
        <w:widowControl w:val="0"/>
        <w:numPr>
          <w:ilvl w:val="2"/>
          <w:numId w:val="4"/>
        </w:numPr>
        <w:shd w:val="clear" w:color="auto" w:fill="FFFFFF" w:themeFill="background1"/>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Dnem podpisu</w:t>
      </w:r>
      <w:r w:rsidRPr="006047EC">
        <w:rPr>
          <w:rFonts w:eastAsia="MS Mincho"/>
          <w:szCs w:val="22"/>
        </w:rPr>
        <w:t>“ se rozumí den podpisu tohoto dodatku Smlouvy smluvními stranami.</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Minimální cena</w:t>
      </w:r>
      <w:r w:rsidRPr="006047EC">
        <w:rPr>
          <w:rFonts w:eastAsia="MS Mincho"/>
          <w:szCs w:val="22"/>
        </w:rPr>
        <w:t xml:space="preserve">“ </w:t>
      </w:r>
      <w:r w:rsidRPr="006047EC">
        <w:t>znamená reálnou cenu, kdy se 100% Akcií Společnosti ocení ve výši vlastního kapitálu. Minimální cena pouze části Akcií se určí násobkem Minimální ceny pro 100% Akcií a poměru jmenovité hodnoty převáděných akcií ke jmenovité hodnotě všech Akcií</w:t>
      </w:r>
      <w:r w:rsidRPr="006047EC">
        <w:rPr>
          <w:rFonts w:eastAsia="MS Mincho"/>
          <w:szCs w:val="22"/>
        </w:rPr>
        <w:t>.</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Akcie</w:t>
      </w:r>
      <w:r w:rsidRPr="006047EC">
        <w:rPr>
          <w:rFonts w:eastAsia="MS Mincho"/>
          <w:szCs w:val="22"/>
        </w:rPr>
        <w:t xml:space="preserve">“ znamenají jakékoliv akcie emitované Společností. </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bCs/>
          <w:szCs w:val="22"/>
        </w:rPr>
        <w:t>ZOK</w:t>
      </w:r>
      <w:r w:rsidRPr="006047EC">
        <w:rPr>
          <w:rFonts w:eastAsia="MS Mincho"/>
          <w:szCs w:val="22"/>
        </w:rPr>
        <w:t xml:space="preserve">“ znamená zákon </w:t>
      </w:r>
      <w:r w:rsidRPr="006047EC">
        <w:t>č. 90/2012 Sb., o obchodních společnostech a družstvech</w:t>
      </w:r>
      <w:r w:rsidRPr="006047EC">
        <w:rPr>
          <w:rFonts w:eastAsia="MS Mincho"/>
          <w:szCs w:val="22"/>
        </w:rPr>
        <w:t>.</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Vlastní kapitál</w:t>
      </w:r>
      <w:r w:rsidRPr="006047EC">
        <w:rPr>
          <w:rFonts w:eastAsia="MS Mincho"/>
          <w:szCs w:val="22"/>
        </w:rPr>
        <w:t>“ znamená auditovaný vlastní kapitál Společnosti dle českých účetních standardů za poslední uzavřené účetní období společnosti.</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Propojená osoba</w:t>
      </w:r>
      <w:r w:rsidRPr="006047EC">
        <w:rPr>
          <w:rFonts w:eastAsia="MS Mincho"/>
          <w:szCs w:val="22"/>
        </w:rPr>
        <w:t xml:space="preserve">“ znamená jakýkoli subjekt touto osobou ovládaný, tuto osobu ovládající nebo pod společným ovládáním s touto osobou, resp. subjekt propojený s touto osobou (ve smyslu §74 až 77 ZOK ) nebo subjekt této osobě blízký (ve smyslu občanskoprávních předpisů). </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Ovládání</w:t>
      </w:r>
      <w:r w:rsidRPr="006047EC">
        <w:rPr>
          <w:rFonts w:eastAsia="MS Mincho"/>
          <w:szCs w:val="22"/>
        </w:rPr>
        <w:t>“ znamená přímé či nepřímé ovládání nebo řízení osoby ve smyslu §74 až §77 ZOK</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Smlouva</w:t>
      </w:r>
      <w:r w:rsidRPr="006047EC">
        <w:rPr>
          <w:rFonts w:eastAsia="MS Mincho"/>
          <w:szCs w:val="22"/>
        </w:rPr>
        <w:t xml:space="preserve">“ znamená akcionářskou smlouvu podepsanou smluvními stranami dne </w:t>
      </w:r>
      <w:r w:rsidR="00874153" w:rsidRPr="006047EC">
        <w:t>6. 11. 2013.</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Společník</w:t>
      </w:r>
      <w:r w:rsidRPr="006047EC">
        <w:rPr>
          <w:rFonts w:eastAsia="MS Mincho"/>
          <w:szCs w:val="22"/>
        </w:rPr>
        <w:t xml:space="preserve">“ znamená jednotlivé společníky a jakoukoli další osobu, která se v souladu se zákonem, Stanovami a touto Smlouvou stane společníkem Společnosti. </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Stanovy</w:t>
      </w:r>
      <w:r w:rsidRPr="006047EC">
        <w:rPr>
          <w:rFonts w:eastAsia="MS Mincho"/>
          <w:szCs w:val="22"/>
        </w:rPr>
        <w:t xml:space="preserve">“ znamená stanovy Společnosti reflektující ustanovení tohoto </w:t>
      </w:r>
      <w:r w:rsidR="00874153" w:rsidRPr="006047EC">
        <w:rPr>
          <w:rFonts w:eastAsia="MS Mincho"/>
          <w:szCs w:val="22"/>
        </w:rPr>
        <w:t>d</w:t>
      </w:r>
      <w:r w:rsidRPr="006047EC">
        <w:rPr>
          <w:rFonts w:eastAsia="MS Mincho"/>
          <w:szCs w:val="22"/>
        </w:rPr>
        <w:t>odatku, které budou schváleny ke Dni podpisu.</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bCs/>
          <w:szCs w:val="22"/>
        </w:rPr>
        <w:t>„</w:t>
      </w:r>
      <w:r w:rsidRPr="006047EC">
        <w:rPr>
          <w:rFonts w:eastAsia="MS Mincho"/>
          <w:b/>
          <w:bCs/>
          <w:szCs w:val="22"/>
        </w:rPr>
        <w:t>Společnost</w:t>
      </w:r>
      <w:r w:rsidRPr="006047EC">
        <w:rPr>
          <w:rFonts w:eastAsia="MS Mincho"/>
          <w:bCs/>
          <w:szCs w:val="22"/>
        </w:rPr>
        <w:t xml:space="preserve">“ má význam uvedený v části (A) preambule. </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bCs/>
          <w:szCs w:val="22"/>
        </w:rPr>
        <w:t>„</w:t>
      </w:r>
      <w:r w:rsidRPr="006047EC">
        <w:rPr>
          <w:rFonts w:eastAsia="MS Mincho"/>
          <w:b/>
          <w:bCs/>
          <w:szCs w:val="22"/>
        </w:rPr>
        <w:t>Spor</w:t>
      </w:r>
      <w:r w:rsidRPr="006047EC">
        <w:rPr>
          <w:rFonts w:eastAsia="MS Mincho"/>
          <w:bCs/>
          <w:szCs w:val="22"/>
        </w:rPr>
        <w:t>“</w:t>
      </w:r>
      <w:r w:rsidRPr="006047EC">
        <w:rPr>
          <w:rFonts w:eastAsia="MS Mincho"/>
          <w:b/>
          <w:bCs/>
          <w:szCs w:val="22"/>
        </w:rPr>
        <w:t xml:space="preserve"> </w:t>
      </w:r>
      <w:r w:rsidRPr="006047EC">
        <w:rPr>
          <w:rFonts w:eastAsia="MS Mincho"/>
          <w:szCs w:val="22"/>
        </w:rPr>
        <w:t>znamená jakýkoliv spor mezi Společníky vzešlý z tohoto Dodatku nebo v souvislosti s ním.</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lastRenderedPageBreak/>
        <w:t>„</w:t>
      </w:r>
      <w:r w:rsidRPr="006047EC">
        <w:rPr>
          <w:rFonts w:eastAsia="MS Mincho"/>
          <w:b/>
          <w:szCs w:val="22"/>
        </w:rPr>
        <w:t>Liberecká Nemocnice</w:t>
      </w:r>
      <w:r w:rsidRPr="006047EC">
        <w:rPr>
          <w:rFonts w:eastAsia="MS Mincho"/>
          <w:szCs w:val="22"/>
        </w:rPr>
        <w:t>“ znamená územní pracoviště v Liberci v rámci Společnosti</w:t>
      </w:r>
      <w:r w:rsidR="00874153" w:rsidRPr="006047EC">
        <w:rPr>
          <w:rFonts w:eastAsia="MS Mincho"/>
          <w:szCs w:val="22"/>
        </w:rPr>
        <w:t>.</w:t>
      </w:r>
    </w:p>
    <w:p w:rsidR="007342DE" w:rsidRPr="006047EC" w:rsidRDefault="007342DE" w:rsidP="006047EC">
      <w:pPr>
        <w:widowControl w:val="0"/>
        <w:numPr>
          <w:ilvl w:val="2"/>
          <w:numId w:val="4"/>
        </w:numPr>
        <w:shd w:val="clear" w:color="auto" w:fill="FFFFFF" w:themeFill="background1"/>
        <w:tabs>
          <w:tab w:val="num" w:pos="567"/>
          <w:tab w:val="num" w:pos="1134"/>
        </w:tabs>
        <w:spacing w:before="60" w:after="60"/>
        <w:ind w:left="1134" w:hanging="567"/>
        <w:outlineLvl w:val="2"/>
        <w:rPr>
          <w:rFonts w:eastAsia="MS Mincho"/>
          <w:szCs w:val="22"/>
        </w:rPr>
      </w:pPr>
      <w:r w:rsidRPr="006047EC">
        <w:rPr>
          <w:rFonts w:eastAsia="MS Mincho"/>
          <w:szCs w:val="22"/>
        </w:rPr>
        <w:t>„</w:t>
      </w:r>
      <w:r w:rsidRPr="006047EC">
        <w:rPr>
          <w:rFonts w:eastAsia="MS Mincho"/>
          <w:b/>
          <w:szCs w:val="22"/>
        </w:rPr>
        <w:t>Turnovská Nemocnice</w:t>
      </w:r>
      <w:r w:rsidRPr="006047EC">
        <w:rPr>
          <w:rFonts w:eastAsia="MS Mincho"/>
          <w:szCs w:val="22"/>
        </w:rPr>
        <w:t>“ znamená územní pracoviště v Turnově v rámci Společnosti</w:t>
      </w:r>
      <w:r w:rsidR="00874153" w:rsidRPr="006047EC">
        <w:rPr>
          <w:rFonts w:eastAsia="MS Mincho"/>
          <w:szCs w:val="22"/>
        </w:rPr>
        <w:t>.</w:t>
      </w:r>
    </w:p>
    <w:p w:rsidR="00874153" w:rsidRPr="006047EC" w:rsidRDefault="00874153" w:rsidP="008B7941">
      <w:pPr>
        <w:widowControl w:val="0"/>
        <w:shd w:val="clear" w:color="auto" w:fill="FFFFFF" w:themeFill="background1"/>
        <w:spacing w:before="60" w:after="60"/>
        <w:outlineLvl w:val="2"/>
        <w:rPr>
          <w:rFonts w:eastAsia="MS Mincho"/>
          <w:szCs w:val="22"/>
        </w:rPr>
      </w:pPr>
    </w:p>
    <w:p w:rsidR="007342DE" w:rsidRPr="006047EC" w:rsidRDefault="007342DE" w:rsidP="006047EC">
      <w:pPr>
        <w:pStyle w:val="Clanek11"/>
        <w:shd w:val="clear" w:color="auto" w:fill="FFFFFF" w:themeFill="background1"/>
      </w:pPr>
      <w:r w:rsidRPr="006047EC">
        <w:t>Jestliže kontext nevyžaduje jinak, pak v t</w:t>
      </w:r>
      <w:r w:rsidR="00874153" w:rsidRPr="006047EC">
        <w:t>omto Dodatku</w:t>
      </w:r>
      <w:r w:rsidR="0004003F" w:rsidRPr="006047EC">
        <w:t xml:space="preserve"> ke Smlouvě</w:t>
      </w:r>
      <w:r w:rsidRPr="006047EC">
        <w:t>:</w:t>
      </w:r>
    </w:p>
    <w:p w:rsidR="007342DE" w:rsidRPr="006047EC" w:rsidRDefault="007342DE" w:rsidP="006047EC">
      <w:pPr>
        <w:pStyle w:val="Claneka"/>
        <w:shd w:val="clear" w:color="auto" w:fill="FFFFFF" w:themeFill="background1"/>
      </w:pPr>
      <w:r w:rsidRPr="006047EC">
        <w:t>odkazy na „</w:t>
      </w:r>
      <w:r w:rsidRPr="006047EC">
        <w:rPr>
          <w:rStyle w:val="StyleHeading3BoldCharChar"/>
          <w:bCs/>
          <w:szCs w:val="22"/>
        </w:rPr>
        <w:t>články</w:t>
      </w:r>
      <w:r w:rsidRPr="006047EC">
        <w:t>”, „</w:t>
      </w:r>
      <w:r w:rsidRPr="006047EC">
        <w:rPr>
          <w:b/>
        </w:rPr>
        <w:t>ustanovení</w:t>
      </w:r>
      <w:r w:rsidRPr="006047EC">
        <w:t>“, „</w:t>
      </w:r>
      <w:r w:rsidRPr="006047EC">
        <w:rPr>
          <w:b/>
        </w:rPr>
        <w:t>odstavce</w:t>
      </w:r>
      <w:r w:rsidRPr="006047EC">
        <w:t>“ a „</w:t>
      </w:r>
      <w:r w:rsidRPr="006047EC">
        <w:rPr>
          <w:b/>
        </w:rPr>
        <w:t>přílohy</w:t>
      </w:r>
      <w:r w:rsidRPr="006047EC">
        <w:t>“ budou vykládány jako odkazy na články, ustanovení, odstavce a přílohy tohoto Dodatku</w:t>
      </w:r>
      <w:r w:rsidR="00CF1217">
        <w:t xml:space="preserve"> ke Smlouvě</w:t>
      </w:r>
      <w:r w:rsidRPr="006047EC">
        <w:t>;</w:t>
      </w:r>
    </w:p>
    <w:p w:rsidR="007342DE" w:rsidRPr="006047EC" w:rsidRDefault="007342DE" w:rsidP="006047EC">
      <w:pPr>
        <w:pStyle w:val="Claneka"/>
        <w:shd w:val="clear" w:color="auto" w:fill="FFFFFF" w:themeFill="background1"/>
      </w:pPr>
      <w:r w:rsidRPr="006047EC">
        <w:t xml:space="preserve">odkazy na jakýkoli zákon, právní předpis, nebo ustanovení právního předpisu budou vykládány jako odkaz na tentýž zákon, právní předpis nebo ustanovení právního předpisu tak, jak případně tyto byly nebo budou průběžně doplněny, změněny, rozšířeny nebo znovu přijaty; </w:t>
      </w:r>
    </w:p>
    <w:p w:rsidR="007342DE" w:rsidRPr="006047EC" w:rsidRDefault="007342DE" w:rsidP="006047EC">
      <w:pPr>
        <w:pStyle w:val="Claneka"/>
        <w:shd w:val="clear" w:color="auto" w:fill="FFFFFF" w:themeFill="background1"/>
      </w:pPr>
      <w:r w:rsidRPr="006047EC">
        <w:t>odkazy na „</w:t>
      </w:r>
      <w:r w:rsidRPr="006047EC">
        <w:rPr>
          <w:b/>
        </w:rPr>
        <w:t>osobu</w:t>
      </w:r>
      <w:r w:rsidRPr="006047EC">
        <w:t>” nebo „</w:t>
      </w:r>
      <w:r w:rsidRPr="006047EC">
        <w:rPr>
          <w:b/>
        </w:rPr>
        <w:t>stranu</w:t>
      </w:r>
      <w:r w:rsidRPr="006047EC">
        <w:t>” a jejich výklad budou zahrnovat jakoukoli fyzickou osobu, společnost, vládu, stát, státní úřad, společný podnik, sdružení nebo konsorcium (ať již tyto mají, či nemají samostatnou právní subjektivitu);</w:t>
      </w:r>
    </w:p>
    <w:p w:rsidR="007342DE" w:rsidRPr="006047EC" w:rsidRDefault="007342DE" w:rsidP="006047EC">
      <w:pPr>
        <w:pStyle w:val="Claneka"/>
        <w:shd w:val="clear" w:color="auto" w:fill="FFFFFF" w:themeFill="background1"/>
      </w:pPr>
      <w:r w:rsidRPr="006047EC">
        <w:t>odkazy na „</w:t>
      </w:r>
      <w:r w:rsidRPr="006047EC">
        <w:rPr>
          <w:b/>
          <w:bCs/>
        </w:rPr>
        <w:t>dny</w:t>
      </w:r>
      <w:r w:rsidRPr="006047EC">
        <w:t>“ znamenají odkazy na kalendářní dny;</w:t>
      </w:r>
    </w:p>
    <w:p w:rsidR="007342DE" w:rsidRPr="006047EC" w:rsidRDefault="007342DE" w:rsidP="006047EC">
      <w:pPr>
        <w:pStyle w:val="Claneka"/>
        <w:shd w:val="clear" w:color="auto" w:fill="FFFFFF" w:themeFill="background1"/>
      </w:pPr>
      <w:r w:rsidRPr="006047EC">
        <w:t>odkazy na „</w:t>
      </w:r>
      <w:r w:rsidRPr="006047EC">
        <w:rPr>
          <w:b/>
        </w:rPr>
        <w:t xml:space="preserve">pracovní </w:t>
      </w:r>
      <w:r w:rsidRPr="006047EC">
        <w:rPr>
          <w:b/>
          <w:bCs/>
        </w:rPr>
        <w:t>dny</w:t>
      </w:r>
      <w:r w:rsidRPr="006047EC">
        <w:t>“ znamenají odkazy na kterýkoli den kromě soboty a neděle a dnů, na něž připadá státní svátek podle platných právních předpisů České republiky;</w:t>
      </w:r>
    </w:p>
    <w:p w:rsidR="007342DE" w:rsidRPr="006047EC" w:rsidRDefault="007342DE" w:rsidP="006047EC">
      <w:pPr>
        <w:pStyle w:val="Claneka"/>
        <w:shd w:val="clear" w:color="auto" w:fill="FFFFFF" w:themeFill="background1"/>
      </w:pPr>
      <w:r w:rsidRPr="006047EC">
        <w:t xml:space="preserve">pojmy definované v tomto Dodatku </w:t>
      </w:r>
      <w:r w:rsidR="00CF1217">
        <w:t xml:space="preserve">ke Smlouvě </w:t>
      </w:r>
      <w:r w:rsidRPr="006047EC">
        <w:t>v množném čísle mají shodný význam i v jednotném čísle a naopak.</w:t>
      </w:r>
    </w:p>
    <w:p w:rsidR="007342DE" w:rsidRPr="006047EC" w:rsidRDefault="007342DE" w:rsidP="006047EC">
      <w:pPr>
        <w:pStyle w:val="Clanek11"/>
        <w:shd w:val="clear" w:color="auto" w:fill="FFFFFF" w:themeFill="background1"/>
      </w:pPr>
      <w:r w:rsidRPr="006047EC">
        <w:t>Nadpisy užívané v tomto Dodatku</w:t>
      </w:r>
      <w:r w:rsidR="0004003F" w:rsidRPr="006047EC">
        <w:t xml:space="preserve"> ke Smlouvě</w:t>
      </w:r>
      <w:r w:rsidRPr="006047EC">
        <w:t xml:space="preserve"> se vkládají pouze</w:t>
      </w:r>
      <w:r w:rsidR="00874153" w:rsidRPr="006047EC">
        <w:t xml:space="preserve"> pro přehlednost a při výkladu </w:t>
      </w:r>
      <w:r w:rsidRPr="006047EC">
        <w:t>Dodatku</w:t>
      </w:r>
      <w:r w:rsidR="00CF1217">
        <w:t xml:space="preserve"> ke Smlouvě</w:t>
      </w:r>
      <w:r w:rsidRPr="006047EC">
        <w:t xml:space="preserve"> či Smlouvy nebudou brány v úvahu.</w:t>
      </w:r>
    </w:p>
    <w:p w:rsidR="007342DE" w:rsidRPr="006047EC" w:rsidRDefault="007342DE" w:rsidP="006047EC">
      <w:pPr>
        <w:pStyle w:val="Clanek11"/>
        <w:numPr>
          <w:ilvl w:val="0"/>
          <w:numId w:val="0"/>
        </w:numPr>
        <w:shd w:val="clear" w:color="auto" w:fill="FFFFFF" w:themeFill="background1"/>
      </w:pPr>
    </w:p>
    <w:p w:rsidR="007342DE" w:rsidRPr="006047EC" w:rsidRDefault="007342DE" w:rsidP="006047EC">
      <w:pPr>
        <w:pStyle w:val="Nadpis1"/>
        <w:shd w:val="clear" w:color="auto" w:fill="FFFFFF" w:themeFill="background1"/>
        <w:tabs>
          <w:tab w:val="clear" w:pos="567"/>
        </w:tabs>
      </w:pPr>
      <w:r w:rsidRPr="006047EC">
        <w:t>INvestiční Činnost Z Účelových prostředků akcionářů</w:t>
      </w:r>
    </w:p>
    <w:p w:rsidR="007342DE" w:rsidRPr="006047EC" w:rsidRDefault="007342DE" w:rsidP="006047EC">
      <w:pPr>
        <w:pStyle w:val="Clanek11"/>
        <w:shd w:val="clear" w:color="auto" w:fill="FFFFFF" w:themeFill="background1"/>
      </w:pPr>
      <w:r w:rsidRPr="006047EC">
        <w:t>Společníci se dohodli, že každý Společník je oprávněn učinit dobrovolnou příplatkovou povinnost společnosti za účelem poskytnutí finančních prostředků, či spoluúčasti finančních prostředků v případě vícesložkového financování</w:t>
      </w:r>
      <w:r w:rsidR="00374D45">
        <w:t>,</w:t>
      </w:r>
      <w:r w:rsidRPr="006047EC">
        <w:t xml:space="preserve"> a to s určením předmětu investice a lokace investice v rámci Společnosti.</w:t>
      </w:r>
    </w:p>
    <w:p w:rsidR="007342DE" w:rsidRPr="006047EC" w:rsidRDefault="007342DE" w:rsidP="006047EC">
      <w:pPr>
        <w:pStyle w:val="Clanek11"/>
        <w:shd w:val="clear" w:color="auto" w:fill="FFFFFF" w:themeFill="background1"/>
      </w:pPr>
      <w:r w:rsidRPr="006047EC">
        <w:t>V rámci příplatkové povinnosti bude vždy Společnost povinna takovéto prostředky evidovat a uchovat na samostatném transparentním bankovním účtu a je povinna je vždy využít dle předem jasně stanoveného investičního záměru akcionáře v rámci projektu „ Modernizace KNL – Etapač.1“, který bude stanoven v rámci účelu příplatkové povinnosti.</w:t>
      </w:r>
    </w:p>
    <w:p w:rsidR="007342DE" w:rsidRPr="006047EC" w:rsidRDefault="007342DE" w:rsidP="006047EC">
      <w:pPr>
        <w:pStyle w:val="Clanek11"/>
        <w:shd w:val="clear" w:color="auto" w:fill="FFFFFF" w:themeFill="background1"/>
      </w:pPr>
      <w:r w:rsidRPr="006047EC">
        <w:t>V případě, že se tento investiční záměr nebude realizovat v dohodnutém termínu, bude mít Společník, který investiční prostředky formou příplatkové povinnosti Společnosti poskytl</w:t>
      </w:r>
      <w:r w:rsidR="00374D45">
        <w:t>,</w:t>
      </w:r>
      <w:r w:rsidRPr="006047EC">
        <w:t xml:space="preserve"> právo </w:t>
      </w:r>
      <w:r w:rsidR="00854840" w:rsidRPr="006047EC">
        <w:t xml:space="preserve">požádat o jejich </w:t>
      </w:r>
      <w:r w:rsidRPr="006047EC">
        <w:t>vrácení, a to do výš</w:t>
      </w:r>
      <w:r w:rsidR="00874153" w:rsidRPr="006047EC">
        <w:t xml:space="preserve">e, ve které prostředky poskytl </w:t>
      </w:r>
      <w:r w:rsidRPr="006047EC">
        <w:t>po odečtení již vynaložených prostředků Společností na realizaci takovéhoto záměru a za podmínek stanovených právními předpisy, stanovami Společnosti a smlouvou o poskytnutí příplatku.</w:t>
      </w:r>
    </w:p>
    <w:p w:rsidR="007342DE" w:rsidRPr="006047EC" w:rsidRDefault="007342DE" w:rsidP="006047EC">
      <w:pPr>
        <w:pStyle w:val="Clanek11"/>
        <w:shd w:val="clear" w:color="auto" w:fill="FFFFFF" w:themeFill="background1"/>
      </w:pPr>
      <w:r w:rsidRPr="006047EC">
        <w:t>Sp</w:t>
      </w:r>
      <w:r w:rsidR="00874153" w:rsidRPr="006047EC">
        <w:t xml:space="preserve">olečník bude mít právo požádat o </w:t>
      </w:r>
      <w:r w:rsidRPr="006047EC">
        <w:t>vrácení poskytnutých investičních prostředků formou příplatkové povinnosti společnosti, také v případě že projekt</w:t>
      </w:r>
      <w:r w:rsidR="00874153" w:rsidRPr="006047EC">
        <w:t xml:space="preserve"> „ Modernizace KNL – Etapa č. 1“ </w:t>
      </w:r>
      <w:r w:rsidR="00854840" w:rsidRPr="006047EC">
        <w:t>bude dokončen</w:t>
      </w:r>
      <w:r w:rsidRPr="006047EC">
        <w:t>, ale na transparentním účtu bude stále zůstatek finančních prostředků. Zůstatek prostředků se rozdě</w:t>
      </w:r>
      <w:r w:rsidR="00854840" w:rsidRPr="006047EC">
        <w:t xml:space="preserve">lí mezi Společníky dle procentuálního poměru </w:t>
      </w:r>
      <w:r w:rsidRPr="006047EC">
        <w:t xml:space="preserve">jejich poskytnutých příplatkových povinností s tím, že přípatky budou vyplaceny za podmínek stanovených právními předpisy, stanovami Společnosti a smlouvou o poskytnutí příplatku.     </w:t>
      </w:r>
    </w:p>
    <w:p w:rsidR="007342DE" w:rsidRPr="006047EC" w:rsidRDefault="007342DE" w:rsidP="006047EC">
      <w:pPr>
        <w:pStyle w:val="Clanek11"/>
        <w:shd w:val="clear" w:color="auto" w:fill="FFFFFF" w:themeFill="background1"/>
      </w:pPr>
      <w:r w:rsidRPr="006047EC">
        <w:t>Společníci se zavazují, že budou společně spolupracovat a společně hlasovat na každé valné hromadě Společnosti, kterou Společnost uskuteční a která bude rozhodovat:</w:t>
      </w:r>
    </w:p>
    <w:p w:rsidR="007342DE" w:rsidRPr="006047EC" w:rsidRDefault="007342DE" w:rsidP="006047EC">
      <w:pPr>
        <w:pStyle w:val="Claneka"/>
        <w:shd w:val="clear" w:color="auto" w:fill="FFFFFF" w:themeFill="background1"/>
      </w:pPr>
      <w:r w:rsidRPr="006047EC">
        <w:t>O dobrovolném příplatku mimo základní kapitál učiněným Společníkem, či několika Společníky za účelem poskytnutí finančních prostředků dle článku 2.</w:t>
      </w:r>
      <w:r w:rsidR="00874153" w:rsidRPr="006047EC">
        <w:t xml:space="preserve"> </w:t>
      </w:r>
      <w:r w:rsidRPr="006047EC">
        <w:t>2. a 2.</w:t>
      </w:r>
      <w:r w:rsidR="00874153" w:rsidRPr="006047EC">
        <w:t xml:space="preserve"> </w:t>
      </w:r>
      <w:r w:rsidRPr="006047EC">
        <w:t xml:space="preserve">3. tohoto Dodatku </w:t>
      </w:r>
      <w:r w:rsidR="0004003F" w:rsidRPr="006047EC">
        <w:t>ke Smlouvě</w:t>
      </w:r>
      <w:r w:rsidRPr="006047EC">
        <w:t>.</w:t>
      </w:r>
    </w:p>
    <w:p w:rsidR="007342DE" w:rsidRPr="006047EC" w:rsidRDefault="007342DE" w:rsidP="006047EC">
      <w:pPr>
        <w:pStyle w:val="Claneka"/>
        <w:shd w:val="clear" w:color="auto" w:fill="FFFFFF" w:themeFill="background1"/>
      </w:pPr>
      <w:r w:rsidRPr="006047EC">
        <w:lastRenderedPageBreak/>
        <w:t>O zpětném vyplacení účelově vázaného příplatku na investici mimo základní kapitál Společníka, či</w:t>
      </w:r>
      <w:r w:rsidR="00874153" w:rsidRPr="006047EC">
        <w:t xml:space="preserve"> </w:t>
      </w:r>
      <w:r w:rsidRPr="006047EC">
        <w:t>Společníků v případě její neuskutečnění v dohodnutém termínu a to</w:t>
      </w:r>
      <w:r w:rsidR="00874153" w:rsidRPr="006047EC">
        <w:t xml:space="preserve"> ve výši poskytnuté Společníkem </w:t>
      </w:r>
      <w:r w:rsidRPr="006047EC">
        <w:t>či Společníky po odečtení již vynaložených prostředků Společností v rámci tohoto investičního záměru, či o</w:t>
      </w:r>
      <w:r w:rsidR="00874153" w:rsidRPr="006047EC">
        <w:t xml:space="preserve"> zpětném vyplacení dle článku 2. </w:t>
      </w:r>
      <w:r w:rsidRPr="006047EC">
        <w:t>4. tohoto Dodatku</w:t>
      </w:r>
      <w:r w:rsidR="0004003F" w:rsidRPr="006047EC">
        <w:t xml:space="preserve"> ke Smlouvě</w:t>
      </w:r>
      <w:r w:rsidRPr="006047EC">
        <w:t>.</w:t>
      </w:r>
    </w:p>
    <w:p w:rsidR="007342DE" w:rsidRPr="006047EC" w:rsidRDefault="007342DE" w:rsidP="006047EC">
      <w:pPr>
        <w:pStyle w:val="Claneka"/>
        <w:shd w:val="clear" w:color="auto" w:fill="FFFFFF" w:themeFill="background1"/>
      </w:pPr>
      <w:r w:rsidRPr="006047EC">
        <w:t xml:space="preserve">O </w:t>
      </w:r>
      <w:r w:rsidR="0004003F" w:rsidRPr="006047EC">
        <w:t>schválení řádné</w:t>
      </w:r>
      <w:r w:rsidRPr="006047EC">
        <w:t xml:space="preserve"> účetní závěrky </w:t>
      </w:r>
      <w:r w:rsidR="0004003F" w:rsidRPr="006047EC">
        <w:t>Společnosti po</w:t>
      </w:r>
      <w:r w:rsidRPr="006047EC">
        <w:t xml:space="preserve"> dobu </w:t>
      </w:r>
      <w:proofErr w:type="gramStart"/>
      <w:r w:rsidRPr="006047EC">
        <w:t>20-ti</w:t>
      </w:r>
      <w:proofErr w:type="gramEnd"/>
      <w:r w:rsidRPr="006047EC">
        <w:t xml:space="preserve"> účetních období následujících po podpisu tohoto Dodatku</w:t>
      </w:r>
      <w:r w:rsidR="00CF1217">
        <w:t xml:space="preserve"> ke Smlouvě</w:t>
      </w:r>
      <w:r w:rsidRPr="006047EC">
        <w:t xml:space="preserve"> tak, že bude-li dosaženo kladného hospodářského v</w:t>
      </w:r>
      <w:r w:rsidR="00854840" w:rsidRPr="006047EC">
        <w:t>ýsledku převyšujícího částku 20.</w:t>
      </w:r>
      <w:r w:rsidRPr="006047EC">
        <w:t>000</w:t>
      </w:r>
      <w:r w:rsidR="00854840" w:rsidRPr="006047EC">
        <w:t>.</w:t>
      </w:r>
      <w:r w:rsidR="00374D45">
        <w:t xml:space="preserve">000 Kč (slovy: </w:t>
      </w:r>
      <w:proofErr w:type="spellStart"/>
      <w:r w:rsidR="00374D45">
        <w:t>dvacetmilionůkorun</w:t>
      </w:r>
      <w:r w:rsidRPr="006047EC">
        <w:t>českých</w:t>
      </w:r>
      <w:proofErr w:type="spellEnd"/>
      <w:r w:rsidRPr="006047EC">
        <w:t xml:space="preserve">), bude </w:t>
      </w:r>
      <w:r w:rsidR="0004003F" w:rsidRPr="006047EC">
        <w:t>vždy 20.000.000</w:t>
      </w:r>
      <w:r w:rsidR="00874153" w:rsidRPr="006047EC">
        <w:t xml:space="preserve"> Kč (</w:t>
      </w:r>
      <w:r w:rsidRPr="006047EC">
        <w:t>slovy</w:t>
      </w:r>
      <w:r w:rsidR="00374D45">
        <w:t xml:space="preserve">: </w:t>
      </w:r>
      <w:proofErr w:type="spellStart"/>
      <w:r w:rsidR="00374D45">
        <w:t>dvacetmiliónůkorun</w:t>
      </w:r>
      <w:r w:rsidR="0004003F" w:rsidRPr="006047EC">
        <w:t>českých</w:t>
      </w:r>
      <w:proofErr w:type="spellEnd"/>
      <w:r w:rsidR="0004003F" w:rsidRPr="006047EC">
        <w:t>) alokováno</w:t>
      </w:r>
      <w:r w:rsidRPr="006047EC">
        <w:t xml:space="preserve"> na investiční </w:t>
      </w:r>
      <w:r w:rsidR="0004003F" w:rsidRPr="006047EC">
        <w:t>záměr „Modernizace</w:t>
      </w:r>
      <w:r w:rsidR="00854840" w:rsidRPr="006047EC">
        <w:t xml:space="preserve"> KNL – Etapa č.</w:t>
      </w:r>
      <w:r w:rsidR="0004003F" w:rsidRPr="006047EC">
        <w:t xml:space="preserve"> </w:t>
      </w:r>
      <w:r w:rsidR="00854840" w:rsidRPr="006047EC">
        <w:t xml:space="preserve">1“. </w:t>
      </w:r>
      <w:r w:rsidRPr="006047EC">
        <w:t xml:space="preserve"> Pro případ, že Společnost v jednotlivém účetním období nedosáhne hospodářského výsledku alespoň</w:t>
      </w:r>
      <w:r w:rsidR="00374D45">
        <w:t xml:space="preserve"> 20.000.000 Kč (slovy: </w:t>
      </w:r>
      <w:proofErr w:type="spellStart"/>
      <w:r w:rsidR="00374D45">
        <w:t>dvacetmilionů</w:t>
      </w:r>
      <w:r w:rsidRPr="006047EC">
        <w:t>korun</w:t>
      </w:r>
      <w:proofErr w:type="spellEnd"/>
      <w:r w:rsidRPr="006047EC">
        <w:t xml:space="preserve"> českých) zavazují se Sp</w:t>
      </w:r>
      <w:r w:rsidR="00874153" w:rsidRPr="006047EC">
        <w:t xml:space="preserve">olečníci </w:t>
      </w:r>
      <w:r w:rsidRPr="006047EC">
        <w:t>rozhodnout o ro</w:t>
      </w:r>
      <w:r w:rsidR="00854840" w:rsidRPr="006047EC">
        <w:t xml:space="preserve">zdělení zisku minulých období </w:t>
      </w:r>
      <w:r w:rsidRPr="006047EC">
        <w:t>tak</w:t>
      </w:r>
      <w:r w:rsidR="00854840" w:rsidRPr="006047EC">
        <w:t>,</w:t>
      </w:r>
      <w:r w:rsidRPr="006047EC">
        <w:t xml:space="preserve"> aby celková alokace finančních zdrojů na projekt </w:t>
      </w:r>
      <w:r w:rsidR="0004003F" w:rsidRPr="006047EC">
        <w:t>„ Modernizace KNL – Etapa č. 1“,</w:t>
      </w:r>
      <w:r w:rsidRPr="006047EC">
        <w:t xml:space="preserve"> v jednotlivých </w:t>
      </w:r>
      <w:proofErr w:type="gramStart"/>
      <w:r w:rsidRPr="006047EC">
        <w:t>20-ti</w:t>
      </w:r>
      <w:proofErr w:type="gramEnd"/>
      <w:r w:rsidRPr="006047EC">
        <w:t xml:space="preserve">  účetních ob</w:t>
      </w:r>
      <w:r w:rsidR="00374D45">
        <w:t>dobí činila vždy kumulativně 20.000.</w:t>
      </w:r>
      <w:r w:rsidRPr="006047EC">
        <w:t xml:space="preserve">000 </w:t>
      </w:r>
      <w:r w:rsidR="0004003F" w:rsidRPr="006047EC">
        <w:t>Kč (slovy</w:t>
      </w:r>
      <w:r w:rsidR="00374D45">
        <w:t xml:space="preserve">: </w:t>
      </w:r>
      <w:proofErr w:type="spellStart"/>
      <w:r w:rsidR="00374D45">
        <w:t>dvacetmiliónůkorun</w:t>
      </w:r>
      <w:r w:rsidRPr="006047EC">
        <w:t>českých</w:t>
      </w:r>
      <w:proofErr w:type="spellEnd"/>
      <w:r w:rsidRPr="006047EC">
        <w:t xml:space="preserve">). Aplikace tohoto článku je vždy podmíněna splněním zákonných požadavků pro rozhodování o zisku, jakož i stanovami Společnosti. </w:t>
      </w:r>
    </w:p>
    <w:p w:rsidR="007342DE" w:rsidRPr="006047EC" w:rsidRDefault="007342DE" w:rsidP="006047EC">
      <w:pPr>
        <w:pStyle w:val="Claneka"/>
        <w:numPr>
          <w:ilvl w:val="0"/>
          <w:numId w:val="0"/>
        </w:numPr>
        <w:shd w:val="clear" w:color="auto" w:fill="FFFFFF" w:themeFill="background1"/>
        <w:ind w:left="567"/>
      </w:pPr>
    </w:p>
    <w:p w:rsidR="007342DE" w:rsidRPr="006047EC" w:rsidRDefault="007342DE" w:rsidP="006047EC">
      <w:pPr>
        <w:shd w:val="clear" w:color="auto" w:fill="FFFFFF" w:themeFill="background1"/>
        <w:ind w:left="708" w:hanging="421"/>
      </w:pPr>
      <w:r w:rsidRPr="006047EC">
        <w:rPr>
          <w:b/>
          <w:bCs/>
        </w:rPr>
        <w:t>2.6</w:t>
      </w:r>
      <w:r w:rsidRPr="006047EC">
        <w:tab/>
        <w:t>(a) V případě, že Společník bude hlasovat v rozporu s tímto Dodatkem</w:t>
      </w:r>
      <w:r w:rsidR="0004003F" w:rsidRPr="006047EC">
        <w:t xml:space="preserve"> ke Smlouvě</w:t>
      </w:r>
      <w:r w:rsidRPr="006047EC">
        <w:t xml:space="preserve"> o zpětné výplatě prostředků ve smyslu článku 2.</w:t>
      </w:r>
      <w:r w:rsidR="00854840" w:rsidRPr="006047EC">
        <w:t xml:space="preserve"> </w:t>
      </w:r>
      <w:r w:rsidRPr="006047EC">
        <w:t>5. písm. (b) Dodatku</w:t>
      </w:r>
      <w:r w:rsidR="00CF1217">
        <w:t xml:space="preserve"> ke Smlouvě</w:t>
      </w:r>
      <w:r w:rsidRPr="006047EC">
        <w:t>, ačkoli byly splněny zákonné předpoklady pro příslušnou výplatu, zavazuje se tento Společník zaplatit ostatním Společníkům smluvní pokutu ve výši, která odpovídá částce, jež by byla jednotlivým Společníkům vyplacena na základě kladného rozhodnutí valné hromady Společnosti.</w:t>
      </w:r>
    </w:p>
    <w:p w:rsidR="007342DE" w:rsidRPr="006047EC" w:rsidRDefault="007342DE" w:rsidP="006047EC">
      <w:pPr>
        <w:shd w:val="clear" w:color="auto" w:fill="FFFFFF" w:themeFill="background1"/>
        <w:ind w:left="705"/>
      </w:pPr>
      <w:r w:rsidRPr="006047EC">
        <w:t xml:space="preserve">(b) V případě, že Společník bude kdykoli během jednotlivých </w:t>
      </w:r>
      <w:proofErr w:type="gramStart"/>
      <w:r w:rsidRPr="006047EC">
        <w:t>20-ti</w:t>
      </w:r>
      <w:proofErr w:type="gramEnd"/>
      <w:r w:rsidRPr="006047EC">
        <w:t xml:space="preserve"> účetních období hlasova</w:t>
      </w:r>
      <w:r w:rsidR="00854840" w:rsidRPr="006047EC">
        <w:t>t v rozporu s tímto Dodatkem</w:t>
      </w:r>
      <w:r w:rsidR="00CF1217">
        <w:t xml:space="preserve"> ke Smlouvě</w:t>
      </w:r>
      <w:r w:rsidR="00854840" w:rsidRPr="006047EC">
        <w:t xml:space="preserve"> o </w:t>
      </w:r>
      <w:r w:rsidRPr="006047EC">
        <w:t>schválení řádné účetní závěrky a rozdělení zisku ve smyslu článku 2.5 písm. (c) tohoto Dodatku</w:t>
      </w:r>
      <w:r w:rsidR="00CF1217">
        <w:t xml:space="preserve"> ke Smlouvě</w:t>
      </w:r>
      <w:r w:rsidRPr="006047EC">
        <w:t>, ačkoli byly splněny zákonné předpoklady pro toto rozhodnutí, zavazuje se tento Společník uhradit každému ze Spol</w:t>
      </w:r>
      <w:r w:rsidR="00854840" w:rsidRPr="006047EC">
        <w:t>ečníků smluvní pokutu ve výši 3.000.</w:t>
      </w:r>
      <w:r w:rsidR="00374D45">
        <w:t xml:space="preserve">000 Kč (slovy: </w:t>
      </w:r>
      <w:proofErr w:type="spellStart"/>
      <w:r w:rsidR="00374D45">
        <w:t>třimilionykorun</w:t>
      </w:r>
      <w:r w:rsidRPr="006047EC">
        <w:t>českých</w:t>
      </w:r>
      <w:proofErr w:type="spellEnd"/>
      <w:r w:rsidRPr="006047EC">
        <w:t>) za každé jednotlivé hlasování v rozporu s tímto Dodatkem</w:t>
      </w:r>
      <w:r w:rsidR="00CF1217">
        <w:t xml:space="preserve"> ke Smlouvě</w:t>
      </w:r>
      <w:r w:rsidRPr="006047EC">
        <w:t xml:space="preserve">. </w:t>
      </w:r>
      <w:r w:rsidRPr="006047EC">
        <w:tab/>
        <w:t xml:space="preserve"> </w:t>
      </w:r>
    </w:p>
    <w:p w:rsidR="007342DE" w:rsidRPr="006047EC" w:rsidRDefault="007342DE" w:rsidP="006047EC">
      <w:pPr>
        <w:pStyle w:val="Claneka"/>
        <w:numPr>
          <w:ilvl w:val="0"/>
          <w:numId w:val="0"/>
        </w:numPr>
        <w:shd w:val="clear" w:color="auto" w:fill="FFFFFF" w:themeFill="background1"/>
        <w:ind w:left="992" w:hanging="425"/>
      </w:pPr>
    </w:p>
    <w:p w:rsidR="007342DE" w:rsidRPr="006047EC" w:rsidRDefault="008F34E5" w:rsidP="006047EC">
      <w:pPr>
        <w:pStyle w:val="Clanek11"/>
        <w:numPr>
          <w:ilvl w:val="0"/>
          <w:numId w:val="0"/>
        </w:numPr>
        <w:shd w:val="clear" w:color="auto" w:fill="FFFFFF" w:themeFill="background1"/>
        <w:ind w:left="705" w:hanging="705"/>
        <w:rPr>
          <w:u w:val="single"/>
        </w:rPr>
      </w:pPr>
      <w:r w:rsidRPr="006047EC">
        <w:t xml:space="preserve">    </w:t>
      </w:r>
      <w:r w:rsidR="007342DE" w:rsidRPr="006047EC">
        <w:rPr>
          <w:b/>
        </w:rPr>
        <w:t>2.7</w:t>
      </w:r>
      <w:r w:rsidRPr="006047EC">
        <w:rPr>
          <w:b/>
        </w:rPr>
        <w:tab/>
      </w:r>
      <w:r w:rsidRPr="006047EC">
        <w:rPr>
          <w:b/>
        </w:rPr>
        <w:tab/>
      </w:r>
      <w:r w:rsidR="007342DE" w:rsidRPr="006047EC">
        <w:t>Společníci Společnosti se dohodli, že jejich zástupci ve společnosti vždy vypracují samostatný investiční plán pro  Turnovskou Nemocnici a to v minimální výši rovné odpisům uvedeným v účetnictví Turnovské nemocnice</w:t>
      </w:r>
      <w:r w:rsidR="00854840" w:rsidRPr="006047EC">
        <w:t xml:space="preserve"> navýšené </w:t>
      </w:r>
      <w:r w:rsidR="007342DE" w:rsidRPr="006047EC">
        <w:t xml:space="preserve">o </w:t>
      </w:r>
      <w:r w:rsidRPr="006047EC">
        <w:t>3</w:t>
      </w:r>
      <w:r w:rsidR="00854840" w:rsidRPr="006047EC">
        <w:t>.000.</w:t>
      </w:r>
      <w:r w:rsidR="007342DE" w:rsidRPr="006047EC">
        <w:t>000 Kč</w:t>
      </w:r>
      <w:r w:rsidR="00374D45">
        <w:t xml:space="preserve"> (slovy: </w:t>
      </w:r>
      <w:proofErr w:type="spellStart"/>
      <w:r w:rsidR="00374D45">
        <w:t>třimilionykorun</w:t>
      </w:r>
      <w:r w:rsidR="0004003F" w:rsidRPr="006047EC">
        <w:t>českých</w:t>
      </w:r>
      <w:proofErr w:type="spellEnd"/>
      <w:r w:rsidR="0004003F" w:rsidRPr="006047EC">
        <w:t>)</w:t>
      </w:r>
      <w:r w:rsidR="007342DE" w:rsidRPr="006047EC">
        <w:t xml:space="preserve"> pro každý kalendářní rok. Tento investiční plán bude vžd</w:t>
      </w:r>
      <w:r w:rsidR="00854840" w:rsidRPr="006047EC">
        <w:t xml:space="preserve">y schválen zástupci Společníků v dozorčí radě </w:t>
      </w:r>
      <w:r w:rsidR="007342DE" w:rsidRPr="006047EC">
        <w:t>s</w:t>
      </w:r>
      <w:r w:rsidR="00854840" w:rsidRPr="006047EC">
        <w:t> </w:t>
      </w:r>
      <w:r w:rsidR="007342DE" w:rsidRPr="006047EC">
        <w:t>tím</w:t>
      </w:r>
      <w:r w:rsidR="00854840" w:rsidRPr="006047EC">
        <w:t>,</w:t>
      </w:r>
      <w:r w:rsidR="007342DE" w:rsidRPr="006047EC">
        <w:t xml:space="preserve"> že zástupci Akcionáře 3 mají právo veta u jednotlivých investic v rámci investičního plánu pro Turnovskou nemocnici</w:t>
      </w:r>
      <w:r w:rsidR="00854840" w:rsidRPr="006047EC">
        <w:t xml:space="preserve"> nad 3.000.</w:t>
      </w:r>
      <w:r w:rsidR="007342DE" w:rsidRPr="006047EC">
        <w:t>000 Kč</w:t>
      </w:r>
      <w:r w:rsidR="00374D45">
        <w:t xml:space="preserve"> (slovy: </w:t>
      </w:r>
      <w:proofErr w:type="spellStart"/>
      <w:r w:rsidR="00374D45">
        <w:t>třimilionykorun</w:t>
      </w:r>
      <w:r w:rsidR="00374D45" w:rsidRPr="006047EC">
        <w:t>českých</w:t>
      </w:r>
      <w:proofErr w:type="spellEnd"/>
      <w:r w:rsidR="00374D45" w:rsidRPr="006047EC">
        <w:t xml:space="preserve">) </w:t>
      </w:r>
      <w:r w:rsidR="007342DE" w:rsidRPr="006047EC">
        <w:t>pro každou jednotlivou investici.</w:t>
      </w:r>
    </w:p>
    <w:p w:rsidR="007342DE" w:rsidRPr="006047EC" w:rsidRDefault="007342DE" w:rsidP="006047EC">
      <w:pPr>
        <w:pStyle w:val="Clanek11"/>
        <w:numPr>
          <w:ilvl w:val="0"/>
          <w:numId w:val="0"/>
        </w:numPr>
        <w:shd w:val="clear" w:color="auto" w:fill="FFFFFF" w:themeFill="background1"/>
        <w:ind w:left="567"/>
        <w:rPr>
          <w:u w:val="single"/>
        </w:rPr>
      </w:pPr>
      <w:r w:rsidRPr="006047EC">
        <w:rPr>
          <w:u w:val="single"/>
        </w:rPr>
        <w:t xml:space="preserve"> </w:t>
      </w:r>
    </w:p>
    <w:p w:rsidR="007342DE" w:rsidRPr="006047EC" w:rsidRDefault="007342DE" w:rsidP="006047EC">
      <w:pPr>
        <w:pStyle w:val="Nadpis1"/>
        <w:shd w:val="clear" w:color="auto" w:fill="FFFFFF" w:themeFill="background1"/>
        <w:tabs>
          <w:tab w:val="clear" w:pos="567"/>
        </w:tabs>
      </w:pPr>
      <w:r w:rsidRPr="006047EC">
        <w:t xml:space="preserve">Závěrečná ustanovení </w:t>
      </w:r>
    </w:p>
    <w:p w:rsidR="007342DE" w:rsidRPr="006047EC" w:rsidRDefault="007342DE" w:rsidP="006047EC">
      <w:pPr>
        <w:pStyle w:val="Clanek11"/>
        <w:shd w:val="clear" w:color="auto" w:fill="FFFFFF" w:themeFill="background1"/>
      </w:pPr>
      <w:r w:rsidRPr="006047EC">
        <w:t xml:space="preserve">Účelem žádného ze závazků vyplývajících z tohoto Dodatku </w:t>
      </w:r>
      <w:r w:rsidR="0004003F" w:rsidRPr="006047EC">
        <w:t>ke</w:t>
      </w:r>
      <w:r w:rsidRPr="006047EC">
        <w:t xml:space="preserve"> Smlouv</w:t>
      </w:r>
      <w:r w:rsidR="0004003F" w:rsidRPr="006047EC">
        <w:t>ě</w:t>
      </w:r>
      <w:r w:rsidRPr="006047EC">
        <w:t xml:space="preserve"> nebo jeho </w:t>
      </w:r>
      <w:r w:rsidR="00854840" w:rsidRPr="006047EC">
        <w:t>kteréhokoli ustanovení</w:t>
      </w:r>
      <w:r w:rsidRPr="006047EC">
        <w:t xml:space="preserve"> není udělit práva osobě, která není smluvní stranou tohoto Dodatku </w:t>
      </w:r>
      <w:r w:rsidR="00CF1217">
        <w:t xml:space="preserve">ke Smlouvě </w:t>
      </w:r>
      <w:r w:rsidRPr="006047EC">
        <w:t>ve smyslu tohoto Dodatku</w:t>
      </w:r>
      <w:r w:rsidR="00CF1217">
        <w:t xml:space="preserve"> ke Smlouvě</w:t>
      </w:r>
      <w:r w:rsidRPr="006047EC">
        <w:t>, pokud není výslovně uvedeno jinak.</w:t>
      </w:r>
    </w:p>
    <w:p w:rsidR="007342DE" w:rsidRPr="006047EC" w:rsidRDefault="007342DE" w:rsidP="006047EC">
      <w:pPr>
        <w:pStyle w:val="Clanek11"/>
        <w:numPr>
          <w:ilvl w:val="0"/>
          <w:numId w:val="0"/>
        </w:numPr>
        <w:shd w:val="clear" w:color="auto" w:fill="FFFFFF" w:themeFill="background1"/>
        <w:ind w:left="567"/>
      </w:pPr>
      <w:r w:rsidRPr="006047EC">
        <w:t xml:space="preserve">Tento </w:t>
      </w:r>
      <w:r w:rsidR="0004003F" w:rsidRPr="006047EC">
        <w:t>D</w:t>
      </w:r>
      <w:r w:rsidRPr="006047EC">
        <w:t xml:space="preserve">odatek </w:t>
      </w:r>
      <w:r w:rsidR="0004003F" w:rsidRPr="006047EC">
        <w:t>ke</w:t>
      </w:r>
      <w:r w:rsidRPr="006047EC">
        <w:t xml:space="preserve"> Smlouv</w:t>
      </w:r>
      <w:r w:rsidR="0004003F" w:rsidRPr="006047EC">
        <w:t>ě</w:t>
      </w:r>
      <w:r w:rsidRPr="006047EC">
        <w:t xml:space="preserve"> byl vyhotoven ve třech (3) stejnopisech, z nichž každý má platnost originálu, kdy každý společník obdrží jeden stejnopis. </w:t>
      </w:r>
    </w:p>
    <w:p w:rsidR="007342DE" w:rsidRPr="006047EC" w:rsidRDefault="007342DE" w:rsidP="006047EC">
      <w:pPr>
        <w:pStyle w:val="Clanek11"/>
        <w:numPr>
          <w:ilvl w:val="0"/>
          <w:numId w:val="0"/>
        </w:numPr>
        <w:shd w:val="clear" w:color="auto" w:fill="FFFFFF" w:themeFill="background1"/>
        <w:ind w:left="567" w:hanging="567"/>
      </w:pPr>
      <w:r w:rsidRPr="006047EC">
        <w:t xml:space="preserve">3.2 </w:t>
      </w:r>
      <w:r w:rsidRPr="006047EC">
        <w:tab/>
        <w:t xml:space="preserve">Tento Dodatek </w:t>
      </w:r>
      <w:r w:rsidR="0004003F" w:rsidRPr="006047EC">
        <w:t xml:space="preserve">ke Smlouvě </w:t>
      </w:r>
      <w:r w:rsidRPr="006047EC">
        <w:t xml:space="preserve">upravuje pouze skutečnosti v něm výslovně uvedené s tím, že ostatní ustanovení Smlouvy zůstávají beze změn. </w:t>
      </w:r>
    </w:p>
    <w:p w:rsidR="00874153" w:rsidRPr="006047EC" w:rsidRDefault="00874153" w:rsidP="006047EC">
      <w:pPr>
        <w:pStyle w:val="HHTitle2"/>
        <w:shd w:val="clear" w:color="auto" w:fill="FFFFFF" w:themeFill="background1"/>
        <w:jc w:val="left"/>
      </w:pPr>
      <w:bookmarkStart w:id="3" w:name="_Toc233105967"/>
      <w:bookmarkStart w:id="4" w:name="_Toc233181279"/>
    </w:p>
    <w:p w:rsidR="00874153" w:rsidRPr="006047EC" w:rsidRDefault="00874153" w:rsidP="006047EC">
      <w:pPr>
        <w:pStyle w:val="HHTitle2"/>
        <w:shd w:val="clear" w:color="auto" w:fill="FFFFFF" w:themeFill="background1"/>
        <w:jc w:val="left"/>
      </w:pPr>
    </w:p>
    <w:p w:rsidR="00874153" w:rsidRPr="006047EC" w:rsidRDefault="00874153" w:rsidP="006047EC">
      <w:pPr>
        <w:pStyle w:val="HHTitle2"/>
        <w:shd w:val="clear" w:color="auto" w:fill="FFFFFF" w:themeFill="background1"/>
        <w:jc w:val="left"/>
      </w:pPr>
    </w:p>
    <w:p w:rsidR="00874153" w:rsidRPr="006047EC" w:rsidRDefault="00874153" w:rsidP="006047EC">
      <w:pPr>
        <w:pStyle w:val="HHTitle2"/>
        <w:shd w:val="clear" w:color="auto" w:fill="FFFFFF" w:themeFill="background1"/>
        <w:jc w:val="left"/>
      </w:pPr>
    </w:p>
    <w:p w:rsidR="00874153" w:rsidRPr="006047EC" w:rsidRDefault="00874153" w:rsidP="006047EC">
      <w:pPr>
        <w:pStyle w:val="HHTitle2"/>
        <w:shd w:val="clear" w:color="auto" w:fill="FFFFFF" w:themeFill="background1"/>
        <w:jc w:val="left"/>
      </w:pPr>
    </w:p>
    <w:p w:rsidR="007342DE" w:rsidRPr="006047EC" w:rsidRDefault="007342DE" w:rsidP="006047EC">
      <w:pPr>
        <w:pStyle w:val="HHTitle2"/>
        <w:shd w:val="clear" w:color="auto" w:fill="FFFFFF" w:themeFill="background1"/>
        <w:jc w:val="left"/>
      </w:pPr>
      <w:r w:rsidRPr="006047EC">
        <w:t>podpisová stran</w:t>
      </w:r>
      <w:bookmarkEnd w:id="3"/>
      <w:bookmarkEnd w:id="4"/>
      <w:r w:rsidRPr="006047EC">
        <w:t>A</w:t>
      </w:r>
    </w:p>
    <w:p w:rsidR="007342DE" w:rsidRPr="006047EC" w:rsidRDefault="007342DE" w:rsidP="006047EC">
      <w:pPr>
        <w:shd w:val="clear" w:color="auto" w:fill="FFFFFF" w:themeFill="background1"/>
        <w:rPr>
          <w:b/>
        </w:rPr>
      </w:pPr>
      <w:r w:rsidRPr="006047EC">
        <w:rPr>
          <w:b/>
        </w:rPr>
        <w:t xml:space="preserve">Strany tímto výslovně prohlašují, že tento Dodatek </w:t>
      </w:r>
      <w:r w:rsidR="0004003F" w:rsidRPr="006047EC">
        <w:rPr>
          <w:b/>
        </w:rPr>
        <w:t>ke</w:t>
      </w:r>
      <w:r w:rsidRPr="006047EC">
        <w:rPr>
          <w:b/>
        </w:rPr>
        <w:t xml:space="preserve"> Smlouv</w:t>
      </w:r>
      <w:r w:rsidR="0004003F" w:rsidRPr="006047EC">
        <w:rPr>
          <w:b/>
        </w:rPr>
        <w:t>ě</w:t>
      </w:r>
      <w:r w:rsidRPr="006047EC">
        <w:rPr>
          <w:b/>
        </w:rPr>
        <w:t xml:space="preserve"> vyjadřuje jejich pravou a svobodnou vůli, na důkaz čehož připojují níže své podpisy.</w:t>
      </w:r>
    </w:p>
    <w:tbl>
      <w:tblPr>
        <w:tblW w:w="9012" w:type="dxa"/>
        <w:tblLook w:val="0000" w:firstRow="0" w:lastRow="0" w:firstColumn="0" w:lastColumn="0" w:noHBand="0" w:noVBand="0"/>
      </w:tblPr>
      <w:tblGrid>
        <w:gridCol w:w="4506"/>
        <w:gridCol w:w="4506"/>
      </w:tblGrid>
      <w:tr w:rsidR="007342DE" w:rsidRPr="006047EC" w:rsidTr="00CB44D4">
        <w:trPr>
          <w:trHeight w:val="201"/>
        </w:trPr>
        <w:tc>
          <w:tcPr>
            <w:tcW w:w="4506" w:type="dxa"/>
          </w:tcPr>
          <w:p w:rsidR="007342DE" w:rsidRPr="006047EC" w:rsidRDefault="007342DE" w:rsidP="006047EC">
            <w:pPr>
              <w:shd w:val="clear" w:color="auto" w:fill="FFFFFF" w:themeFill="background1"/>
              <w:suppressAutoHyphens/>
              <w:spacing w:before="80" w:after="80"/>
              <w:rPr>
                <w:bCs/>
              </w:rPr>
            </w:pPr>
          </w:p>
        </w:tc>
        <w:tc>
          <w:tcPr>
            <w:tcW w:w="4506" w:type="dxa"/>
          </w:tcPr>
          <w:p w:rsidR="007342DE" w:rsidRPr="006047EC" w:rsidRDefault="007342DE" w:rsidP="006047EC">
            <w:pPr>
              <w:shd w:val="clear" w:color="auto" w:fill="FFFFFF" w:themeFill="background1"/>
              <w:suppressAutoHyphens/>
              <w:spacing w:before="80" w:after="80"/>
              <w:rPr>
                <w:bCs/>
              </w:rPr>
            </w:pPr>
          </w:p>
        </w:tc>
      </w:tr>
      <w:tr w:rsidR="007342DE" w:rsidRPr="006047EC" w:rsidTr="00CB44D4">
        <w:trPr>
          <w:trHeight w:val="234"/>
        </w:trPr>
        <w:tc>
          <w:tcPr>
            <w:tcW w:w="4506" w:type="dxa"/>
          </w:tcPr>
          <w:p w:rsidR="007342DE" w:rsidRPr="006047EC" w:rsidRDefault="007342DE" w:rsidP="006047EC">
            <w:pPr>
              <w:shd w:val="clear" w:color="auto" w:fill="FFFFFF" w:themeFill="background1"/>
            </w:pPr>
          </w:p>
        </w:tc>
        <w:tc>
          <w:tcPr>
            <w:tcW w:w="4506" w:type="dxa"/>
          </w:tcPr>
          <w:p w:rsidR="007342DE" w:rsidRPr="006047EC" w:rsidRDefault="007342DE" w:rsidP="006047EC">
            <w:pPr>
              <w:shd w:val="clear" w:color="auto" w:fill="FFFFFF" w:themeFill="background1"/>
              <w:rPr>
                <w:b/>
              </w:rPr>
            </w:pPr>
          </w:p>
        </w:tc>
      </w:tr>
      <w:tr w:rsidR="007342DE" w:rsidRPr="006047EC" w:rsidTr="00CB44D4">
        <w:trPr>
          <w:trHeight w:val="419"/>
        </w:trPr>
        <w:tc>
          <w:tcPr>
            <w:tcW w:w="4506" w:type="dxa"/>
          </w:tcPr>
          <w:p w:rsidR="007342DE" w:rsidRPr="006047EC" w:rsidRDefault="007342DE" w:rsidP="006047EC">
            <w:pPr>
              <w:shd w:val="clear" w:color="auto" w:fill="FFFFFF" w:themeFill="background1"/>
            </w:pPr>
            <w:r w:rsidRPr="006047EC">
              <w:t>Místo:</w:t>
            </w:r>
            <w:r w:rsidR="00874153" w:rsidRPr="006047EC">
              <w:t xml:space="preserve"> </w:t>
            </w:r>
            <w:r w:rsidR="00874153" w:rsidRPr="006047EC">
              <w:rPr>
                <w:bCs/>
                <w:szCs w:val="22"/>
              </w:rPr>
              <w:t>Liberec</w:t>
            </w:r>
          </w:p>
          <w:p w:rsidR="007342DE" w:rsidRPr="006047EC" w:rsidRDefault="007342DE" w:rsidP="006047EC">
            <w:pPr>
              <w:shd w:val="clear" w:color="auto" w:fill="FFFFFF" w:themeFill="background1"/>
            </w:pPr>
            <w:r w:rsidRPr="006047EC">
              <w:t xml:space="preserve">Datum: </w:t>
            </w:r>
          </w:p>
        </w:tc>
        <w:tc>
          <w:tcPr>
            <w:tcW w:w="4506" w:type="dxa"/>
          </w:tcPr>
          <w:p w:rsidR="007342DE" w:rsidRPr="006047EC" w:rsidRDefault="007342DE" w:rsidP="006047EC">
            <w:pPr>
              <w:shd w:val="clear" w:color="auto" w:fill="FFFFFF" w:themeFill="background1"/>
            </w:pPr>
            <w:r w:rsidRPr="006047EC">
              <w:t xml:space="preserve">Místo: </w:t>
            </w:r>
            <w:r w:rsidR="00874153" w:rsidRPr="006047EC">
              <w:rPr>
                <w:bCs/>
                <w:szCs w:val="22"/>
              </w:rPr>
              <w:t>Liberec</w:t>
            </w:r>
          </w:p>
          <w:p w:rsidR="007342DE" w:rsidRPr="006047EC" w:rsidRDefault="007342DE" w:rsidP="006047EC">
            <w:pPr>
              <w:shd w:val="clear" w:color="auto" w:fill="FFFFFF" w:themeFill="background1"/>
              <w:rPr>
                <w:b/>
              </w:rPr>
            </w:pPr>
            <w:r w:rsidRPr="006047EC">
              <w:t xml:space="preserve">Datum: </w:t>
            </w:r>
          </w:p>
        </w:tc>
      </w:tr>
      <w:tr w:rsidR="007342DE" w:rsidRPr="006047EC" w:rsidTr="00CB44D4">
        <w:trPr>
          <w:trHeight w:val="596"/>
        </w:trPr>
        <w:tc>
          <w:tcPr>
            <w:tcW w:w="4506" w:type="dxa"/>
          </w:tcPr>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r w:rsidRPr="006047EC">
              <w:t>_______________________________________</w:t>
            </w:r>
          </w:p>
        </w:tc>
        <w:tc>
          <w:tcPr>
            <w:tcW w:w="4506" w:type="dxa"/>
          </w:tcPr>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r w:rsidRPr="006047EC">
              <w:t>_______________________________________</w:t>
            </w:r>
          </w:p>
        </w:tc>
      </w:tr>
      <w:tr w:rsidR="007342DE" w:rsidRPr="006047EC" w:rsidTr="00CB44D4">
        <w:trPr>
          <w:trHeight w:val="419"/>
        </w:trPr>
        <w:tc>
          <w:tcPr>
            <w:tcW w:w="4506" w:type="dxa"/>
          </w:tcPr>
          <w:p w:rsidR="007342DE" w:rsidRPr="006047EC" w:rsidRDefault="007342DE" w:rsidP="006047EC">
            <w:pPr>
              <w:shd w:val="clear" w:color="auto" w:fill="FFFFFF" w:themeFill="background1"/>
            </w:pPr>
            <w:r w:rsidRPr="006047EC">
              <w:t xml:space="preserve">Jméno: </w:t>
            </w:r>
            <w:r w:rsidR="00874153" w:rsidRPr="006047EC">
              <w:t>Bc. Martin Půta</w:t>
            </w:r>
          </w:p>
          <w:p w:rsidR="007342DE" w:rsidRPr="006047EC" w:rsidRDefault="007342DE" w:rsidP="006047EC">
            <w:pPr>
              <w:shd w:val="clear" w:color="auto" w:fill="FFFFFF" w:themeFill="background1"/>
            </w:pPr>
          </w:p>
        </w:tc>
        <w:tc>
          <w:tcPr>
            <w:tcW w:w="4506" w:type="dxa"/>
          </w:tcPr>
          <w:p w:rsidR="007342DE" w:rsidRPr="006047EC" w:rsidRDefault="007342DE" w:rsidP="006047EC">
            <w:pPr>
              <w:shd w:val="clear" w:color="auto" w:fill="FFFFFF" w:themeFill="background1"/>
            </w:pPr>
            <w:r w:rsidRPr="006047EC">
              <w:t xml:space="preserve">Jméno: </w:t>
            </w:r>
            <w:r w:rsidR="00874153" w:rsidRPr="006047EC">
              <w:t xml:space="preserve">Ing. Tomáš </w:t>
            </w:r>
            <w:proofErr w:type="spellStart"/>
            <w:r w:rsidR="00874153" w:rsidRPr="006047EC">
              <w:t>Hocke</w:t>
            </w:r>
            <w:proofErr w:type="spellEnd"/>
          </w:p>
          <w:p w:rsidR="007342DE" w:rsidRPr="006047EC" w:rsidRDefault="007342DE" w:rsidP="006047EC">
            <w:pPr>
              <w:shd w:val="clear" w:color="auto" w:fill="FFFFFF" w:themeFill="background1"/>
            </w:pPr>
          </w:p>
        </w:tc>
      </w:tr>
      <w:tr w:rsidR="007342DE" w:rsidRPr="006047EC" w:rsidTr="00CB44D4">
        <w:trPr>
          <w:trHeight w:val="234"/>
        </w:trPr>
        <w:tc>
          <w:tcPr>
            <w:tcW w:w="4506" w:type="dxa"/>
          </w:tcPr>
          <w:p w:rsidR="007342DE" w:rsidRPr="006047EC" w:rsidRDefault="007342DE" w:rsidP="006047EC">
            <w:pPr>
              <w:shd w:val="clear" w:color="auto" w:fill="FFFFFF" w:themeFill="background1"/>
            </w:pPr>
          </w:p>
        </w:tc>
        <w:tc>
          <w:tcPr>
            <w:tcW w:w="4506" w:type="dxa"/>
          </w:tcPr>
          <w:p w:rsidR="007342DE" w:rsidRPr="006047EC" w:rsidRDefault="007342DE" w:rsidP="006047EC">
            <w:pPr>
              <w:shd w:val="clear" w:color="auto" w:fill="FFFFFF" w:themeFill="background1"/>
            </w:pPr>
          </w:p>
        </w:tc>
      </w:tr>
      <w:tr w:rsidR="007342DE" w:rsidRPr="006047EC" w:rsidTr="00CB44D4">
        <w:trPr>
          <w:trHeight w:val="419"/>
        </w:trPr>
        <w:tc>
          <w:tcPr>
            <w:tcW w:w="4506" w:type="dxa"/>
          </w:tcPr>
          <w:p w:rsidR="007342DE" w:rsidRPr="006047EC" w:rsidRDefault="007342DE" w:rsidP="006047EC">
            <w:pPr>
              <w:shd w:val="clear" w:color="auto" w:fill="FFFFFF" w:themeFill="background1"/>
            </w:pPr>
            <w:r w:rsidRPr="006047EC">
              <w:t xml:space="preserve">Místo: </w:t>
            </w:r>
            <w:r w:rsidR="00874153" w:rsidRPr="006047EC">
              <w:rPr>
                <w:bCs/>
                <w:szCs w:val="22"/>
              </w:rPr>
              <w:t>Liberec</w:t>
            </w:r>
          </w:p>
          <w:p w:rsidR="007342DE" w:rsidRPr="006047EC" w:rsidRDefault="007342DE" w:rsidP="006047EC">
            <w:pPr>
              <w:shd w:val="clear" w:color="auto" w:fill="FFFFFF" w:themeFill="background1"/>
            </w:pPr>
            <w:r w:rsidRPr="006047EC">
              <w:t xml:space="preserve">Datum: </w:t>
            </w:r>
          </w:p>
        </w:tc>
        <w:tc>
          <w:tcPr>
            <w:tcW w:w="4506" w:type="dxa"/>
          </w:tcPr>
          <w:p w:rsidR="007342DE" w:rsidRPr="006047EC" w:rsidRDefault="007342DE" w:rsidP="006047EC">
            <w:pPr>
              <w:shd w:val="clear" w:color="auto" w:fill="FFFFFF" w:themeFill="background1"/>
            </w:pPr>
          </w:p>
        </w:tc>
      </w:tr>
      <w:tr w:rsidR="007342DE" w:rsidRPr="006047EC" w:rsidTr="00CB44D4">
        <w:trPr>
          <w:trHeight w:val="596"/>
        </w:trPr>
        <w:tc>
          <w:tcPr>
            <w:tcW w:w="4506" w:type="dxa"/>
          </w:tcPr>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r w:rsidRPr="006047EC">
              <w:t>_______________________________________</w:t>
            </w:r>
          </w:p>
        </w:tc>
        <w:tc>
          <w:tcPr>
            <w:tcW w:w="4506" w:type="dxa"/>
          </w:tcPr>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p>
          <w:p w:rsidR="007342DE" w:rsidRPr="006047EC" w:rsidRDefault="007342DE" w:rsidP="006047EC">
            <w:pPr>
              <w:shd w:val="clear" w:color="auto" w:fill="FFFFFF" w:themeFill="background1"/>
            </w:pPr>
          </w:p>
        </w:tc>
      </w:tr>
      <w:tr w:rsidR="007342DE" w:rsidRPr="00C353C0" w:rsidTr="00CB44D4">
        <w:trPr>
          <w:trHeight w:val="234"/>
        </w:trPr>
        <w:tc>
          <w:tcPr>
            <w:tcW w:w="4506" w:type="dxa"/>
          </w:tcPr>
          <w:p w:rsidR="007342DE" w:rsidRPr="00C353C0" w:rsidRDefault="007342DE" w:rsidP="006047EC">
            <w:pPr>
              <w:shd w:val="clear" w:color="auto" w:fill="FFFFFF" w:themeFill="background1"/>
            </w:pPr>
            <w:r w:rsidRPr="006047EC">
              <w:t xml:space="preserve">Jméno: </w:t>
            </w:r>
            <w:r w:rsidR="00874153" w:rsidRPr="006047EC">
              <w:t xml:space="preserve">Tibor </w:t>
            </w:r>
            <w:proofErr w:type="spellStart"/>
            <w:r w:rsidR="00874153" w:rsidRPr="006047EC">
              <w:t>Batthyány</w:t>
            </w:r>
            <w:proofErr w:type="spellEnd"/>
          </w:p>
          <w:p w:rsidR="007342DE" w:rsidRPr="00C353C0" w:rsidRDefault="007342DE" w:rsidP="006047EC">
            <w:pPr>
              <w:shd w:val="clear" w:color="auto" w:fill="FFFFFF" w:themeFill="background1"/>
            </w:pPr>
          </w:p>
        </w:tc>
        <w:tc>
          <w:tcPr>
            <w:tcW w:w="4506" w:type="dxa"/>
          </w:tcPr>
          <w:p w:rsidR="007342DE" w:rsidRPr="00C353C0" w:rsidRDefault="007342DE" w:rsidP="006047EC">
            <w:pPr>
              <w:shd w:val="clear" w:color="auto" w:fill="FFFFFF" w:themeFill="background1"/>
            </w:pPr>
          </w:p>
        </w:tc>
      </w:tr>
      <w:tr w:rsidR="007342DE" w:rsidRPr="00C353C0" w:rsidTr="00CB44D4">
        <w:trPr>
          <w:trHeight w:val="70"/>
        </w:trPr>
        <w:tc>
          <w:tcPr>
            <w:tcW w:w="4506" w:type="dxa"/>
          </w:tcPr>
          <w:p w:rsidR="007342DE" w:rsidRPr="00C353C0" w:rsidRDefault="007342DE" w:rsidP="006047EC">
            <w:pPr>
              <w:shd w:val="clear" w:color="auto" w:fill="FFFFFF" w:themeFill="background1"/>
            </w:pPr>
          </w:p>
        </w:tc>
        <w:tc>
          <w:tcPr>
            <w:tcW w:w="4506" w:type="dxa"/>
          </w:tcPr>
          <w:p w:rsidR="007342DE" w:rsidRPr="002A627C" w:rsidRDefault="007342DE" w:rsidP="006047EC">
            <w:pPr>
              <w:shd w:val="clear" w:color="auto" w:fill="FFFFFF" w:themeFill="background1"/>
            </w:pPr>
          </w:p>
        </w:tc>
      </w:tr>
      <w:tr w:rsidR="007342DE" w:rsidRPr="00C353C0" w:rsidTr="00CB44D4">
        <w:trPr>
          <w:trHeight w:val="70"/>
        </w:trPr>
        <w:tc>
          <w:tcPr>
            <w:tcW w:w="4506" w:type="dxa"/>
          </w:tcPr>
          <w:p w:rsidR="007342DE" w:rsidRPr="00C353C0" w:rsidRDefault="007342DE" w:rsidP="006047EC">
            <w:pPr>
              <w:shd w:val="clear" w:color="auto" w:fill="FFFFFF" w:themeFill="background1"/>
            </w:pPr>
          </w:p>
        </w:tc>
        <w:tc>
          <w:tcPr>
            <w:tcW w:w="4506" w:type="dxa"/>
          </w:tcPr>
          <w:p w:rsidR="007342DE" w:rsidRPr="002A627C" w:rsidRDefault="007342DE" w:rsidP="006047EC">
            <w:pPr>
              <w:shd w:val="clear" w:color="auto" w:fill="FFFFFF" w:themeFill="background1"/>
            </w:pPr>
          </w:p>
        </w:tc>
      </w:tr>
    </w:tbl>
    <w:p w:rsidR="007342DE" w:rsidRDefault="007342DE" w:rsidP="006047EC">
      <w:pPr>
        <w:shd w:val="clear" w:color="auto" w:fill="FFFFFF" w:themeFill="background1"/>
      </w:pPr>
    </w:p>
    <w:sectPr w:rsidR="007342DE" w:rsidSect="000D6F14">
      <w:footerReference w:type="default" r:id="rId9"/>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AE" w:rsidRDefault="00441CAE" w:rsidP="00D6554F">
      <w:pPr>
        <w:spacing w:before="0" w:after="0"/>
      </w:pPr>
      <w:r>
        <w:separator/>
      </w:r>
    </w:p>
  </w:endnote>
  <w:endnote w:type="continuationSeparator" w:id="0">
    <w:p w:rsidR="00441CAE" w:rsidRDefault="00441CAE" w:rsidP="00D655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DE" w:rsidRPr="000F1DF5" w:rsidRDefault="007342DE"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413F08">
      <w:rPr>
        <w:rStyle w:val="slostrnky"/>
        <w:rFonts w:ascii="Arial" w:hAnsi="Arial" w:cs="Arial"/>
        <w:b/>
        <w:noProof/>
        <w:sz w:val="15"/>
        <w:szCs w:val="15"/>
      </w:rPr>
      <w:t>1</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413F08">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AE" w:rsidRDefault="00441CAE" w:rsidP="00D6554F">
      <w:pPr>
        <w:spacing w:before="0" w:after="0"/>
      </w:pPr>
      <w:r>
        <w:separator/>
      </w:r>
    </w:p>
  </w:footnote>
  <w:footnote w:type="continuationSeparator" w:id="0">
    <w:p w:rsidR="00441CAE" w:rsidRDefault="00441CAE" w:rsidP="00D6554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8E06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F161E6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2D0D6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E3C14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2E645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DCEA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507C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7E40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AAC4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CF9AE"/>
    <w:lvl w:ilvl="0">
      <w:start w:val="1"/>
      <w:numFmt w:val="bullet"/>
      <w:lvlText w:val=""/>
      <w:lvlJc w:val="left"/>
      <w:pPr>
        <w:tabs>
          <w:tab w:val="num" w:pos="360"/>
        </w:tabs>
        <w:ind w:left="360" w:hanging="360"/>
      </w:pPr>
      <w:rPr>
        <w:rFonts w:ascii="Symbol" w:hAnsi="Symbol" w:hint="default"/>
      </w:rPr>
    </w:lvl>
  </w:abstractNum>
  <w:abstractNum w:abstractNumId="10">
    <w:nsid w:val="0B200175"/>
    <w:multiLevelType w:val="hybridMultilevel"/>
    <w:tmpl w:val="85465E1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55E4D55"/>
    <w:multiLevelType w:val="multilevel"/>
    <w:tmpl w:val="74CC34B4"/>
    <w:lvl w:ilvl="0">
      <w:start w:val="1"/>
      <w:numFmt w:val="decimal"/>
      <w:lvlText w:val="%1."/>
      <w:lvlJc w:val="left"/>
      <w:pPr>
        <w:ind w:left="432" w:hanging="432"/>
      </w:pPr>
      <w:rPr>
        <w:rFonts w:cs="Times New Roman" w:hint="default"/>
        <w:b/>
        <w:i w:val="0"/>
        <w:sz w:val="22"/>
        <w:u w:val="none"/>
      </w:rPr>
    </w:lvl>
    <w:lvl w:ilvl="1">
      <w:start w:val="1"/>
      <w:numFmt w:val="decimal"/>
      <w:lvlText w:val="%1.%2"/>
      <w:lvlJc w:val="left"/>
      <w:pPr>
        <w:ind w:left="576" w:hanging="576"/>
      </w:pPr>
      <w:rPr>
        <w:rFonts w:cs="Times New Roman" w:hint="default"/>
        <w:b/>
        <w:i w:val="0"/>
        <w:sz w:val="22"/>
      </w:rPr>
    </w:lvl>
    <w:lvl w:ilvl="2">
      <w:start w:val="1"/>
      <w:numFmt w:val="lowerLetter"/>
      <w:lvlText w:val="(%3)"/>
      <w:lvlJc w:val="left"/>
      <w:pPr>
        <w:ind w:left="720" w:hanging="720"/>
      </w:pPr>
      <w:rPr>
        <w:rFonts w:cs="Times New Roman" w:hint="default"/>
        <w:b w:val="0"/>
        <w:i w:val="0"/>
        <w:sz w:val="22"/>
      </w:rPr>
    </w:lvl>
    <w:lvl w:ilvl="3">
      <w:start w:val="1"/>
      <w:numFmt w:val="decimal"/>
      <w:lvlText w:val="%1.%2.%3.%4"/>
      <w:lvlJc w:val="left"/>
      <w:pPr>
        <w:ind w:left="864" w:hanging="864"/>
      </w:pPr>
      <w:rPr>
        <w:rFonts w:cs="Times New Roman" w:hint="default"/>
        <w:b/>
        <w:i w:val="0"/>
        <w:sz w:val="22"/>
      </w:rPr>
    </w:lvl>
    <w:lvl w:ilvl="4">
      <w:start w:val="1"/>
      <w:numFmt w:val="decimal"/>
      <w:lvlText w:val="%1.%2.%3.%4.%5"/>
      <w:lvlJc w:val="left"/>
      <w:pPr>
        <w:ind w:left="1008" w:hanging="1008"/>
      </w:pPr>
      <w:rPr>
        <w:rFonts w:cs="Times New Roman" w:hint="default"/>
        <w:b/>
        <w:i w:val="0"/>
        <w:sz w:val="24"/>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nsid w:val="6F4B5D6A"/>
    <w:multiLevelType w:val="multilevel"/>
    <w:tmpl w:val="CF44F4E2"/>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cs="Times New Roman" w:hint="default"/>
        <w:b/>
        <w:i w:val="0"/>
        <w:sz w:val="22"/>
      </w:rPr>
    </w:lvl>
    <w:lvl w:ilvl="2">
      <w:start w:val="1"/>
      <w:numFmt w:val="lowerLetter"/>
      <w:pStyle w:val="Claneka"/>
      <w:lvlText w:val="(%3)"/>
      <w:lvlJc w:val="left"/>
      <w:pPr>
        <w:tabs>
          <w:tab w:val="num" w:pos="992"/>
        </w:tabs>
        <w:ind w:left="992" w:hanging="425"/>
      </w:pPr>
      <w:rPr>
        <w:rFonts w:cs="Times New Roman" w:hint="default"/>
      </w:rPr>
    </w:lvl>
    <w:lvl w:ilvl="3">
      <w:start w:val="1"/>
      <w:numFmt w:val="lowerRoman"/>
      <w:pStyle w:val="Claneki"/>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14">
    <w:nsid w:val="7EE8533E"/>
    <w:multiLevelType w:val="hybridMultilevel"/>
    <w:tmpl w:val="69B01570"/>
    <w:lvl w:ilvl="0" w:tplc="48B6C340">
      <w:start w:val="1"/>
      <w:numFmt w:val="upperLetter"/>
      <w:pStyle w:val="Preambule"/>
      <w:lvlText w:val="(%1)"/>
      <w:lvlJc w:val="left"/>
      <w:pPr>
        <w:tabs>
          <w:tab w:val="num" w:pos="567"/>
        </w:tabs>
        <w:ind w:left="567" w:hanging="20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3"/>
  </w:num>
  <w:num w:numId="3">
    <w:abstractNumId w:val="11"/>
  </w:num>
  <w:num w:numId="4">
    <w:abstractNumId w:val="12"/>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Šuma">
    <w15:presenceInfo w15:providerId="None" w15:userId="Jan Šu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7B"/>
    <w:rsid w:val="0001357C"/>
    <w:rsid w:val="00014678"/>
    <w:rsid w:val="00033D49"/>
    <w:rsid w:val="0004003F"/>
    <w:rsid w:val="0005076E"/>
    <w:rsid w:val="00055A8A"/>
    <w:rsid w:val="00065C6E"/>
    <w:rsid w:val="000838D8"/>
    <w:rsid w:val="000B7C88"/>
    <w:rsid w:val="000D6F14"/>
    <w:rsid w:val="000E15F9"/>
    <w:rsid w:val="000F1DF5"/>
    <w:rsid w:val="000F6739"/>
    <w:rsid w:val="001145DF"/>
    <w:rsid w:val="00115C64"/>
    <w:rsid w:val="001223FF"/>
    <w:rsid w:val="00156E78"/>
    <w:rsid w:val="00176888"/>
    <w:rsid w:val="00237C2D"/>
    <w:rsid w:val="002876EA"/>
    <w:rsid w:val="002A627C"/>
    <w:rsid w:val="002D0BF8"/>
    <w:rsid w:val="00347901"/>
    <w:rsid w:val="00374D45"/>
    <w:rsid w:val="0037758E"/>
    <w:rsid w:val="003C6420"/>
    <w:rsid w:val="00413F08"/>
    <w:rsid w:val="00421EAE"/>
    <w:rsid w:val="00441CAE"/>
    <w:rsid w:val="0047557B"/>
    <w:rsid w:val="004A13FB"/>
    <w:rsid w:val="004D1E33"/>
    <w:rsid w:val="00544EE6"/>
    <w:rsid w:val="005A0590"/>
    <w:rsid w:val="005B011E"/>
    <w:rsid w:val="005C0AD9"/>
    <w:rsid w:val="005D23D6"/>
    <w:rsid w:val="005E6B61"/>
    <w:rsid w:val="006047EC"/>
    <w:rsid w:val="00605DAB"/>
    <w:rsid w:val="00612F82"/>
    <w:rsid w:val="006140CC"/>
    <w:rsid w:val="00616535"/>
    <w:rsid w:val="00630E63"/>
    <w:rsid w:val="0063259D"/>
    <w:rsid w:val="00641FC7"/>
    <w:rsid w:val="006C0ABA"/>
    <w:rsid w:val="006D50E1"/>
    <w:rsid w:val="006F4F55"/>
    <w:rsid w:val="00710F9D"/>
    <w:rsid w:val="0071653D"/>
    <w:rsid w:val="007342DE"/>
    <w:rsid w:val="0075252D"/>
    <w:rsid w:val="007530E4"/>
    <w:rsid w:val="007627A3"/>
    <w:rsid w:val="007950AA"/>
    <w:rsid w:val="007C1CD2"/>
    <w:rsid w:val="007F0E34"/>
    <w:rsid w:val="007F5F10"/>
    <w:rsid w:val="008423D1"/>
    <w:rsid w:val="00854840"/>
    <w:rsid w:val="00874153"/>
    <w:rsid w:val="0088576B"/>
    <w:rsid w:val="008B7941"/>
    <w:rsid w:val="008B7FC6"/>
    <w:rsid w:val="008C30F9"/>
    <w:rsid w:val="008C529E"/>
    <w:rsid w:val="008C7AE0"/>
    <w:rsid w:val="008F34E5"/>
    <w:rsid w:val="00901964"/>
    <w:rsid w:val="00922672"/>
    <w:rsid w:val="00943D0F"/>
    <w:rsid w:val="00980E61"/>
    <w:rsid w:val="00990473"/>
    <w:rsid w:val="009B6929"/>
    <w:rsid w:val="009D4262"/>
    <w:rsid w:val="009D4C1A"/>
    <w:rsid w:val="009E2124"/>
    <w:rsid w:val="00A259B1"/>
    <w:rsid w:val="00A53955"/>
    <w:rsid w:val="00A63D38"/>
    <w:rsid w:val="00A7729A"/>
    <w:rsid w:val="00B11115"/>
    <w:rsid w:val="00B314C6"/>
    <w:rsid w:val="00B67B7A"/>
    <w:rsid w:val="00B806A9"/>
    <w:rsid w:val="00B933B5"/>
    <w:rsid w:val="00BF5831"/>
    <w:rsid w:val="00C254B3"/>
    <w:rsid w:val="00C272D5"/>
    <w:rsid w:val="00C353C0"/>
    <w:rsid w:val="00C44B4D"/>
    <w:rsid w:val="00C60D22"/>
    <w:rsid w:val="00C6109D"/>
    <w:rsid w:val="00C97A3D"/>
    <w:rsid w:val="00CB44D4"/>
    <w:rsid w:val="00CC2662"/>
    <w:rsid w:val="00CF1217"/>
    <w:rsid w:val="00D41B08"/>
    <w:rsid w:val="00D6554F"/>
    <w:rsid w:val="00D73402"/>
    <w:rsid w:val="00DB163A"/>
    <w:rsid w:val="00DC683E"/>
    <w:rsid w:val="00DE1CDA"/>
    <w:rsid w:val="00DE5D56"/>
    <w:rsid w:val="00DE7232"/>
    <w:rsid w:val="00DF6500"/>
    <w:rsid w:val="00E04F8D"/>
    <w:rsid w:val="00E16B8C"/>
    <w:rsid w:val="00E2106A"/>
    <w:rsid w:val="00E32406"/>
    <w:rsid w:val="00E5758A"/>
    <w:rsid w:val="00E64831"/>
    <w:rsid w:val="00E7441B"/>
    <w:rsid w:val="00E836BB"/>
    <w:rsid w:val="00EE4A35"/>
    <w:rsid w:val="00F045B0"/>
    <w:rsid w:val="00F12A74"/>
    <w:rsid w:val="00F3775C"/>
    <w:rsid w:val="00F433AB"/>
    <w:rsid w:val="00F73AD9"/>
    <w:rsid w:val="00FA4EA1"/>
    <w:rsid w:val="00FA52ED"/>
    <w:rsid w:val="00FC771C"/>
    <w:rsid w:val="00FD40F7"/>
    <w:rsid w:val="00FE3A68"/>
    <w:rsid w:val="00FF3CA7"/>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557B"/>
    <w:pPr>
      <w:spacing w:before="120" w:after="120"/>
      <w:jc w:val="both"/>
    </w:pPr>
    <w:rPr>
      <w:rFonts w:ascii="Times New Roman" w:eastAsia="Times New Roman" w:hAnsi="Times New Roman"/>
      <w:szCs w:val="24"/>
      <w:lang w:eastAsia="en-US"/>
    </w:rPr>
  </w:style>
  <w:style w:type="paragraph" w:styleId="Nadpis1">
    <w:name w:val="heading 1"/>
    <w:aliases w:val="Hoofdstukkop,Section Heading,H1,No numbers,h1,_Nadpis 1"/>
    <w:basedOn w:val="Normln"/>
    <w:next w:val="Clanek11"/>
    <w:link w:val="Nadpis1Char"/>
    <w:uiPriority w:val="99"/>
    <w:qFormat/>
    <w:rsid w:val="0047557B"/>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9"/>
    <w:qFormat/>
    <w:rsid w:val="0047557B"/>
    <w:pPr>
      <w:keepNext/>
      <w:keepLines/>
      <w:spacing w:before="200" w:after="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No numbers Char,h1 Char,_Nadpis 1 Char"/>
    <w:basedOn w:val="Standardnpsmoodstavce"/>
    <w:link w:val="Nadpis1"/>
    <w:uiPriority w:val="99"/>
    <w:locked/>
    <w:rsid w:val="0047557B"/>
    <w:rPr>
      <w:rFonts w:eastAsia="Times New Roman" w:cs="Arial"/>
      <w:b/>
      <w:bCs/>
      <w:caps/>
      <w:kern w:val="32"/>
      <w:sz w:val="32"/>
      <w:szCs w:val="32"/>
      <w:lang w:val="cs-CZ" w:eastAsia="en-US" w:bidi="ar-SA"/>
    </w:rPr>
  </w:style>
  <w:style w:type="character" w:customStyle="1" w:styleId="Nadpis2Char">
    <w:name w:val="Nadpis 2 Char"/>
    <w:basedOn w:val="Standardnpsmoodstavce"/>
    <w:link w:val="Nadpis2"/>
    <w:uiPriority w:val="99"/>
    <w:semiHidden/>
    <w:locked/>
    <w:rsid w:val="0047557B"/>
    <w:rPr>
      <w:rFonts w:ascii="Cambria" w:hAnsi="Cambria" w:cs="Times New Roman"/>
      <w:b/>
      <w:bCs/>
      <w:color w:val="4F81BD"/>
      <w:sz w:val="26"/>
      <w:szCs w:val="26"/>
    </w:rPr>
  </w:style>
  <w:style w:type="paragraph" w:customStyle="1" w:styleId="Clanek11">
    <w:name w:val="Clanek 1.1"/>
    <w:basedOn w:val="Nadpis2"/>
    <w:uiPriority w:val="99"/>
    <w:rsid w:val="0047557B"/>
    <w:pPr>
      <w:keepNext w:val="0"/>
      <w:keepLines w:val="0"/>
      <w:widowControl w:val="0"/>
      <w:numPr>
        <w:ilvl w:val="1"/>
        <w:numId w:val="2"/>
      </w:numPr>
      <w:spacing w:before="120" w:after="120"/>
    </w:pPr>
    <w:rPr>
      <w:rFonts w:ascii="Times New Roman" w:hAnsi="Times New Roman" w:cs="Arial"/>
      <w:b w:val="0"/>
      <w:iCs/>
      <w:color w:val="auto"/>
      <w:sz w:val="22"/>
      <w:szCs w:val="28"/>
    </w:rPr>
  </w:style>
  <w:style w:type="paragraph" w:customStyle="1" w:styleId="Claneka">
    <w:name w:val="Clanek (a)"/>
    <w:basedOn w:val="Normln"/>
    <w:uiPriority w:val="99"/>
    <w:rsid w:val="0047557B"/>
    <w:pPr>
      <w:keepLines/>
      <w:widowControl w:val="0"/>
      <w:numPr>
        <w:ilvl w:val="2"/>
        <w:numId w:val="2"/>
      </w:numPr>
    </w:pPr>
  </w:style>
  <w:style w:type="paragraph" w:customStyle="1" w:styleId="Claneki">
    <w:name w:val="Clanek (i)"/>
    <w:basedOn w:val="Normln"/>
    <w:uiPriority w:val="99"/>
    <w:rsid w:val="0047557B"/>
    <w:pPr>
      <w:keepNext/>
      <w:numPr>
        <w:ilvl w:val="3"/>
        <w:numId w:val="2"/>
      </w:numPr>
    </w:pPr>
    <w:rPr>
      <w:color w:val="000000"/>
    </w:rPr>
  </w:style>
  <w:style w:type="paragraph" w:customStyle="1" w:styleId="Text11">
    <w:name w:val="Text 1.1"/>
    <w:basedOn w:val="Normln"/>
    <w:uiPriority w:val="99"/>
    <w:rsid w:val="0047557B"/>
    <w:pPr>
      <w:keepNext/>
      <w:ind w:left="561"/>
    </w:pPr>
    <w:rPr>
      <w:szCs w:val="20"/>
    </w:rPr>
  </w:style>
  <w:style w:type="paragraph" w:customStyle="1" w:styleId="Preambule">
    <w:name w:val="Preambule"/>
    <w:basedOn w:val="Normln"/>
    <w:uiPriority w:val="99"/>
    <w:rsid w:val="0047557B"/>
    <w:pPr>
      <w:widowControl w:val="0"/>
      <w:numPr>
        <w:numId w:val="1"/>
      </w:numPr>
      <w:ind w:hanging="567"/>
    </w:pPr>
  </w:style>
  <w:style w:type="character" w:styleId="Hypertextovodkaz">
    <w:name w:val="Hyperlink"/>
    <w:basedOn w:val="Standardnpsmoodstavce"/>
    <w:uiPriority w:val="99"/>
    <w:semiHidden/>
    <w:rsid w:val="0047557B"/>
    <w:rPr>
      <w:rFonts w:ascii="Times New Roman" w:hAnsi="Times New Roman" w:cs="Times New Roman"/>
      <w:color w:val="0000FF"/>
      <w:sz w:val="22"/>
      <w:u w:val="single"/>
    </w:rPr>
  </w:style>
  <w:style w:type="paragraph" w:styleId="Zpat">
    <w:name w:val="footer"/>
    <w:basedOn w:val="Normln"/>
    <w:link w:val="ZpatChar"/>
    <w:uiPriority w:val="99"/>
    <w:semiHidden/>
    <w:rsid w:val="0047557B"/>
    <w:pPr>
      <w:tabs>
        <w:tab w:val="center" w:pos="4703"/>
        <w:tab w:val="right" w:pos="9406"/>
      </w:tabs>
    </w:pPr>
    <w:rPr>
      <w:sz w:val="20"/>
    </w:rPr>
  </w:style>
  <w:style w:type="character" w:customStyle="1" w:styleId="ZpatChar">
    <w:name w:val="Zápatí Char"/>
    <w:basedOn w:val="Standardnpsmoodstavce"/>
    <w:link w:val="Zpat"/>
    <w:uiPriority w:val="99"/>
    <w:semiHidden/>
    <w:locked/>
    <w:rsid w:val="0047557B"/>
    <w:rPr>
      <w:rFonts w:ascii="Times New Roman" w:hAnsi="Times New Roman" w:cs="Times New Roman"/>
      <w:sz w:val="24"/>
      <w:szCs w:val="24"/>
    </w:rPr>
  </w:style>
  <w:style w:type="character" w:styleId="slostrnky">
    <w:name w:val="page number"/>
    <w:basedOn w:val="Standardnpsmoodstavce"/>
    <w:uiPriority w:val="99"/>
    <w:semiHidden/>
    <w:rsid w:val="0047557B"/>
    <w:rPr>
      <w:rFonts w:cs="Times New Roman"/>
    </w:rPr>
  </w:style>
  <w:style w:type="paragraph" w:customStyle="1" w:styleId="HHTitle2">
    <w:name w:val="HH Title 2"/>
    <w:basedOn w:val="Nzev"/>
    <w:uiPriority w:val="99"/>
    <w:semiHidden/>
    <w:rsid w:val="0047557B"/>
    <w:pPr>
      <w:pBdr>
        <w:bottom w:val="none" w:sz="0" w:space="0" w:color="auto"/>
      </w:pBdr>
      <w:spacing w:before="240" w:after="120"/>
      <w:contextualSpacing w:val="0"/>
      <w:jc w:val="center"/>
      <w:outlineLvl w:val="0"/>
    </w:pPr>
    <w:rPr>
      <w:rFonts w:ascii="Times New Roman Bold" w:hAnsi="Times New Roman Bold" w:cs="Arial"/>
      <w:b/>
      <w:bCs/>
      <w:caps/>
      <w:color w:val="auto"/>
      <w:spacing w:val="0"/>
      <w:sz w:val="22"/>
      <w:szCs w:val="32"/>
    </w:rPr>
  </w:style>
  <w:style w:type="paragraph" w:customStyle="1" w:styleId="Smluvnistranypreambule">
    <w:name w:val="Smluvni_strany_preambule"/>
    <w:basedOn w:val="Normln"/>
    <w:next w:val="Normln"/>
    <w:uiPriority w:val="99"/>
    <w:semiHidden/>
    <w:rsid w:val="0047557B"/>
    <w:pPr>
      <w:spacing w:before="480" w:after="240"/>
    </w:pPr>
    <w:rPr>
      <w:rFonts w:ascii="Times New Roman Bold" w:hAnsi="Times New Roman Bold"/>
      <w:b/>
      <w:caps/>
    </w:rPr>
  </w:style>
  <w:style w:type="paragraph" w:customStyle="1" w:styleId="Smluvstranya">
    <w:name w:val="Smluv.strany_&quot;a&quot;"/>
    <w:basedOn w:val="Text11"/>
    <w:uiPriority w:val="99"/>
    <w:semiHidden/>
    <w:rsid w:val="0047557B"/>
    <w:pPr>
      <w:spacing w:before="360" w:after="360"/>
      <w:ind w:left="567"/>
      <w:jc w:val="left"/>
    </w:pPr>
  </w:style>
  <w:style w:type="character" w:customStyle="1" w:styleId="StyleHeading3BoldCharChar">
    <w:name w:val="Style Heading 3 + Bold Char Char"/>
    <w:uiPriority w:val="99"/>
    <w:rsid w:val="0047557B"/>
    <w:rPr>
      <w:rFonts w:eastAsia="MS Mincho"/>
      <w:b/>
      <w:sz w:val="22"/>
      <w:lang w:val="cs-CZ" w:eastAsia="en-US"/>
    </w:rPr>
  </w:style>
  <w:style w:type="paragraph" w:styleId="Normlnweb">
    <w:name w:val="Normal (Web)"/>
    <w:basedOn w:val="Normln"/>
    <w:uiPriority w:val="99"/>
    <w:rsid w:val="0047557B"/>
    <w:pPr>
      <w:spacing w:before="100" w:beforeAutospacing="1" w:after="100" w:afterAutospacing="1"/>
    </w:pPr>
    <w:rPr>
      <w:sz w:val="24"/>
      <w:lang w:eastAsia="cs-CZ"/>
    </w:rPr>
  </w:style>
  <w:style w:type="paragraph" w:styleId="Odstavecseseznamem">
    <w:name w:val="List Paragraph"/>
    <w:basedOn w:val="Normln"/>
    <w:uiPriority w:val="99"/>
    <w:qFormat/>
    <w:rsid w:val="0047557B"/>
    <w:pPr>
      <w:ind w:left="720"/>
      <w:contextualSpacing/>
    </w:pPr>
  </w:style>
  <w:style w:type="character" w:styleId="Odkaznakoment">
    <w:name w:val="annotation reference"/>
    <w:basedOn w:val="Standardnpsmoodstavce"/>
    <w:uiPriority w:val="99"/>
    <w:rsid w:val="0047557B"/>
    <w:rPr>
      <w:rFonts w:cs="Times New Roman"/>
      <w:sz w:val="16"/>
      <w:szCs w:val="16"/>
    </w:rPr>
  </w:style>
  <w:style w:type="paragraph" w:styleId="Textkomente">
    <w:name w:val="annotation text"/>
    <w:basedOn w:val="Normln"/>
    <w:link w:val="TextkomenteChar"/>
    <w:uiPriority w:val="99"/>
    <w:rsid w:val="0047557B"/>
    <w:rPr>
      <w:sz w:val="20"/>
      <w:szCs w:val="20"/>
    </w:rPr>
  </w:style>
  <w:style w:type="character" w:customStyle="1" w:styleId="TextkomenteChar">
    <w:name w:val="Text komentáře Char"/>
    <w:basedOn w:val="Standardnpsmoodstavce"/>
    <w:link w:val="Textkomente"/>
    <w:uiPriority w:val="99"/>
    <w:locked/>
    <w:rsid w:val="0047557B"/>
    <w:rPr>
      <w:rFonts w:ascii="Times New Roman" w:hAnsi="Times New Roman" w:cs="Times New Roman"/>
      <w:sz w:val="20"/>
      <w:szCs w:val="20"/>
    </w:rPr>
  </w:style>
  <w:style w:type="paragraph" w:styleId="Nzev">
    <w:name w:val="Title"/>
    <w:basedOn w:val="Normln"/>
    <w:next w:val="Normln"/>
    <w:link w:val="NzevChar"/>
    <w:uiPriority w:val="99"/>
    <w:qFormat/>
    <w:rsid w:val="0047557B"/>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47557B"/>
    <w:rPr>
      <w:rFonts w:ascii="Cambria" w:hAnsi="Cambria" w:cs="Times New Roman"/>
      <w:color w:val="17365D"/>
      <w:spacing w:val="5"/>
      <w:kern w:val="28"/>
      <w:sz w:val="52"/>
      <w:szCs w:val="52"/>
    </w:rPr>
  </w:style>
  <w:style w:type="paragraph" w:styleId="Textbubliny">
    <w:name w:val="Balloon Text"/>
    <w:basedOn w:val="Normln"/>
    <w:link w:val="TextbublinyChar"/>
    <w:uiPriority w:val="99"/>
    <w:semiHidden/>
    <w:rsid w:val="0047557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7557B"/>
    <w:rPr>
      <w:rFonts w:ascii="Tahoma" w:hAnsi="Tahoma" w:cs="Tahoma"/>
      <w:sz w:val="16"/>
      <w:szCs w:val="16"/>
    </w:rPr>
  </w:style>
  <w:style w:type="paragraph" w:styleId="Pedmtkomente">
    <w:name w:val="annotation subject"/>
    <w:basedOn w:val="Textkomente"/>
    <w:next w:val="Textkomente"/>
    <w:link w:val="PedmtkomenteChar"/>
    <w:uiPriority w:val="99"/>
    <w:semiHidden/>
    <w:rsid w:val="004A13FB"/>
    <w:rPr>
      <w:b/>
      <w:bCs/>
    </w:rPr>
  </w:style>
  <w:style w:type="character" w:customStyle="1" w:styleId="PedmtkomenteChar">
    <w:name w:val="Předmět komentáře Char"/>
    <w:basedOn w:val="TextkomenteChar"/>
    <w:link w:val="Pedmtkomente"/>
    <w:uiPriority w:val="99"/>
    <w:semiHidden/>
    <w:locked/>
    <w:rsid w:val="004A13FB"/>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557B"/>
    <w:pPr>
      <w:spacing w:before="120" w:after="120"/>
      <w:jc w:val="both"/>
    </w:pPr>
    <w:rPr>
      <w:rFonts w:ascii="Times New Roman" w:eastAsia="Times New Roman" w:hAnsi="Times New Roman"/>
      <w:szCs w:val="24"/>
      <w:lang w:eastAsia="en-US"/>
    </w:rPr>
  </w:style>
  <w:style w:type="paragraph" w:styleId="Nadpis1">
    <w:name w:val="heading 1"/>
    <w:aliases w:val="Hoofdstukkop,Section Heading,H1,No numbers,h1,_Nadpis 1"/>
    <w:basedOn w:val="Normln"/>
    <w:next w:val="Clanek11"/>
    <w:link w:val="Nadpis1Char"/>
    <w:uiPriority w:val="99"/>
    <w:qFormat/>
    <w:rsid w:val="0047557B"/>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9"/>
    <w:qFormat/>
    <w:rsid w:val="0047557B"/>
    <w:pPr>
      <w:keepNext/>
      <w:keepLines/>
      <w:spacing w:before="200" w:after="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oofdstukkop Char,Section Heading Char,H1 Char,No numbers Char,h1 Char,_Nadpis 1 Char"/>
    <w:basedOn w:val="Standardnpsmoodstavce"/>
    <w:link w:val="Nadpis1"/>
    <w:uiPriority w:val="99"/>
    <w:locked/>
    <w:rsid w:val="0047557B"/>
    <w:rPr>
      <w:rFonts w:eastAsia="Times New Roman" w:cs="Arial"/>
      <w:b/>
      <w:bCs/>
      <w:caps/>
      <w:kern w:val="32"/>
      <w:sz w:val="32"/>
      <w:szCs w:val="32"/>
      <w:lang w:val="cs-CZ" w:eastAsia="en-US" w:bidi="ar-SA"/>
    </w:rPr>
  </w:style>
  <w:style w:type="character" w:customStyle="1" w:styleId="Nadpis2Char">
    <w:name w:val="Nadpis 2 Char"/>
    <w:basedOn w:val="Standardnpsmoodstavce"/>
    <w:link w:val="Nadpis2"/>
    <w:uiPriority w:val="99"/>
    <w:semiHidden/>
    <w:locked/>
    <w:rsid w:val="0047557B"/>
    <w:rPr>
      <w:rFonts w:ascii="Cambria" w:hAnsi="Cambria" w:cs="Times New Roman"/>
      <w:b/>
      <w:bCs/>
      <w:color w:val="4F81BD"/>
      <w:sz w:val="26"/>
      <w:szCs w:val="26"/>
    </w:rPr>
  </w:style>
  <w:style w:type="paragraph" w:customStyle="1" w:styleId="Clanek11">
    <w:name w:val="Clanek 1.1"/>
    <w:basedOn w:val="Nadpis2"/>
    <w:uiPriority w:val="99"/>
    <w:rsid w:val="0047557B"/>
    <w:pPr>
      <w:keepNext w:val="0"/>
      <w:keepLines w:val="0"/>
      <w:widowControl w:val="0"/>
      <w:numPr>
        <w:ilvl w:val="1"/>
        <w:numId w:val="2"/>
      </w:numPr>
      <w:spacing w:before="120" w:after="120"/>
    </w:pPr>
    <w:rPr>
      <w:rFonts w:ascii="Times New Roman" w:hAnsi="Times New Roman" w:cs="Arial"/>
      <w:b w:val="0"/>
      <w:iCs/>
      <w:color w:val="auto"/>
      <w:sz w:val="22"/>
      <w:szCs w:val="28"/>
    </w:rPr>
  </w:style>
  <w:style w:type="paragraph" w:customStyle="1" w:styleId="Claneka">
    <w:name w:val="Clanek (a)"/>
    <w:basedOn w:val="Normln"/>
    <w:uiPriority w:val="99"/>
    <w:rsid w:val="0047557B"/>
    <w:pPr>
      <w:keepLines/>
      <w:widowControl w:val="0"/>
      <w:numPr>
        <w:ilvl w:val="2"/>
        <w:numId w:val="2"/>
      </w:numPr>
    </w:pPr>
  </w:style>
  <w:style w:type="paragraph" w:customStyle="1" w:styleId="Claneki">
    <w:name w:val="Clanek (i)"/>
    <w:basedOn w:val="Normln"/>
    <w:uiPriority w:val="99"/>
    <w:rsid w:val="0047557B"/>
    <w:pPr>
      <w:keepNext/>
      <w:numPr>
        <w:ilvl w:val="3"/>
        <w:numId w:val="2"/>
      </w:numPr>
    </w:pPr>
    <w:rPr>
      <w:color w:val="000000"/>
    </w:rPr>
  </w:style>
  <w:style w:type="paragraph" w:customStyle="1" w:styleId="Text11">
    <w:name w:val="Text 1.1"/>
    <w:basedOn w:val="Normln"/>
    <w:uiPriority w:val="99"/>
    <w:rsid w:val="0047557B"/>
    <w:pPr>
      <w:keepNext/>
      <w:ind w:left="561"/>
    </w:pPr>
    <w:rPr>
      <w:szCs w:val="20"/>
    </w:rPr>
  </w:style>
  <w:style w:type="paragraph" w:customStyle="1" w:styleId="Preambule">
    <w:name w:val="Preambule"/>
    <w:basedOn w:val="Normln"/>
    <w:uiPriority w:val="99"/>
    <w:rsid w:val="0047557B"/>
    <w:pPr>
      <w:widowControl w:val="0"/>
      <w:numPr>
        <w:numId w:val="1"/>
      </w:numPr>
      <w:ind w:hanging="567"/>
    </w:pPr>
  </w:style>
  <w:style w:type="character" w:styleId="Hypertextovodkaz">
    <w:name w:val="Hyperlink"/>
    <w:basedOn w:val="Standardnpsmoodstavce"/>
    <w:uiPriority w:val="99"/>
    <w:semiHidden/>
    <w:rsid w:val="0047557B"/>
    <w:rPr>
      <w:rFonts w:ascii="Times New Roman" w:hAnsi="Times New Roman" w:cs="Times New Roman"/>
      <w:color w:val="0000FF"/>
      <w:sz w:val="22"/>
      <w:u w:val="single"/>
    </w:rPr>
  </w:style>
  <w:style w:type="paragraph" w:styleId="Zpat">
    <w:name w:val="footer"/>
    <w:basedOn w:val="Normln"/>
    <w:link w:val="ZpatChar"/>
    <w:uiPriority w:val="99"/>
    <w:semiHidden/>
    <w:rsid w:val="0047557B"/>
    <w:pPr>
      <w:tabs>
        <w:tab w:val="center" w:pos="4703"/>
        <w:tab w:val="right" w:pos="9406"/>
      </w:tabs>
    </w:pPr>
    <w:rPr>
      <w:sz w:val="20"/>
    </w:rPr>
  </w:style>
  <w:style w:type="character" w:customStyle="1" w:styleId="ZpatChar">
    <w:name w:val="Zápatí Char"/>
    <w:basedOn w:val="Standardnpsmoodstavce"/>
    <w:link w:val="Zpat"/>
    <w:uiPriority w:val="99"/>
    <w:semiHidden/>
    <w:locked/>
    <w:rsid w:val="0047557B"/>
    <w:rPr>
      <w:rFonts w:ascii="Times New Roman" w:hAnsi="Times New Roman" w:cs="Times New Roman"/>
      <w:sz w:val="24"/>
      <w:szCs w:val="24"/>
    </w:rPr>
  </w:style>
  <w:style w:type="character" w:styleId="slostrnky">
    <w:name w:val="page number"/>
    <w:basedOn w:val="Standardnpsmoodstavce"/>
    <w:uiPriority w:val="99"/>
    <w:semiHidden/>
    <w:rsid w:val="0047557B"/>
    <w:rPr>
      <w:rFonts w:cs="Times New Roman"/>
    </w:rPr>
  </w:style>
  <w:style w:type="paragraph" w:customStyle="1" w:styleId="HHTitle2">
    <w:name w:val="HH Title 2"/>
    <w:basedOn w:val="Nzev"/>
    <w:uiPriority w:val="99"/>
    <w:semiHidden/>
    <w:rsid w:val="0047557B"/>
    <w:pPr>
      <w:pBdr>
        <w:bottom w:val="none" w:sz="0" w:space="0" w:color="auto"/>
      </w:pBdr>
      <w:spacing w:before="240" w:after="120"/>
      <w:contextualSpacing w:val="0"/>
      <w:jc w:val="center"/>
      <w:outlineLvl w:val="0"/>
    </w:pPr>
    <w:rPr>
      <w:rFonts w:ascii="Times New Roman Bold" w:hAnsi="Times New Roman Bold" w:cs="Arial"/>
      <w:b/>
      <w:bCs/>
      <w:caps/>
      <w:color w:val="auto"/>
      <w:spacing w:val="0"/>
      <w:sz w:val="22"/>
      <w:szCs w:val="32"/>
    </w:rPr>
  </w:style>
  <w:style w:type="paragraph" w:customStyle="1" w:styleId="Smluvnistranypreambule">
    <w:name w:val="Smluvni_strany_preambule"/>
    <w:basedOn w:val="Normln"/>
    <w:next w:val="Normln"/>
    <w:uiPriority w:val="99"/>
    <w:semiHidden/>
    <w:rsid w:val="0047557B"/>
    <w:pPr>
      <w:spacing w:before="480" w:after="240"/>
    </w:pPr>
    <w:rPr>
      <w:rFonts w:ascii="Times New Roman Bold" w:hAnsi="Times New Roman Bold"/>
      <w:b/>
      <w:caps/>
    </w:rPr>
  </w:style>
  <w:style w:type="paragraph" w:customStyle="1" w:styleId="Smluvstranya">
    <w:name w:val="Smluv.strany_&quot;a&quot;"/>
    <w:basedOn w:val="Text11"/>
    <w:uiPriority w:val="99"/>
    <w:semiHidden/>
    <w:rsid w:val="0047557B"/>
    <w:pPr>
      <w:spacing w:before="360" w:after="360"/>
      <w:ind w:left="567"/>
      <w:jc w:val="left"/>
    </w:pPr>
  </w:style>
  <w:style w:type="character" w:customStyle="1" w:styleId="StyleHeading3BoldCharChar">
    <w:name w:val="Style Heading 3 + Bold Char Char"/>
    <w:uiPriority w:val="99"/>
    <w:rsid w:val="0047557B"/>
    <w:rPr>
      <w:rFonts w:eastAsia="MS Mincho"/>
      <w:b/>
      <w:sz w:val="22"/>
      <w:lang w:val="cs-CZ" w:eastAsia="en-US"/>
    </w:rPr>
  </w:style>
  <w:style w:type="paragraph" w:styleId="Normlnweb">
    <w:name w:val="Normal (Web)"/>
    <w:basedOn w:val="Normln"/>
    <w:uiPriority w:val="99"/>
    <w:rsid w:val="0047557B"/>
    <w:pPr>
      <w:spacing w:before="100" w:beforeAutospacing="1" w:after="100" w:afterAutospacing="1"/>
    </w:pPr>
    <w:rPr>
      <w:sz w:val="24"/>
      <w:lang w:eastAsia="cs-CZ"/>
    </w:rPr>
  </w:style>
  <w:style w:type="paragraph" w:styleId="Odstavecseseznamem">
    <w:name w:val="List Paragraph"/>
    <w:basedOn w:val="Normln"/>
    <w:uiPriority w:val="99"/>
    <w:qFormat/>
    <w:rsid w:val="0047557B"/>
    <w:pPr>
      <w:ind w:left="720"/>
      <w:contextualSpacing/>
    </w:pPr>
  </w:style>
  <w:style w:type="character" w:styleId="Odkaznakoment">
    <w:name w:val="annotation reference"/>
    <w:basedOn w:val="Standardnpsmoodstavce"/>
    <w:uiPriority w:val="99"/>
    <w:rsid w:val="0047557B"/>
    <w:rPr>
      <w:rFonts w:cs="Times New Roman"/>
      <w:sz w:val="16"/>
      <w:szCs w:val="16"/>
    </w:rPr>
  </w:style>
  <w:style w:type="paragraph" w:styleId="Textkomente">
    <w:name w:val="annotation text"/>
    <w:basedOn w:val="Normln"/>
    <w:link w:val="TextkomenteChar"/>
    <w:uiPriority w:val="99"/>
    <w:rsid w:val="0047557B"/>
    <w:rPr>
      <w:sz w:val="20"/>
      <w:szCs w:val="20"/>
    </w:rPr>
  </w:style>
  <w:style w:type="character" w:customStyle="1" w:styleId="TextkomenteChar">
    <w:name w:val="Text komentáře Char"/>
    <w:basedOn w:val="Standardnpsmoodstavce"/>
    <w:link w:val="Textkomente"/>
    <w:uiPriority w:val="99"/>
    <w:locked/>
    <w:rsid w:val="0047557B"/>
    <w:rPr>
      <w:rFonts w:ascii="Times New Roman" w:hAnsi="Times New Roman" w:cs="Times New Roman"/>
      <w:sz w:val="20"/>
      <w:szCs w:val="20"/>
    </w:rPr>
  </w:style>
  <w:style w:type="paragraph" w:styleId="Nzev">
    <w:name w:val="Title"/>
    <w:basedOn w:val="Normln"/>
    <w:next w:val="Normln"/>
    <w:link w:val="NzevChar"/>
    <w:uiPriority w:val="99"/>
    <w:qFormat/>
    <w:rsid w:val="0047557B"/>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47557B"/>
    <w:rPr>
      <w:rFonts w:ascii="Cambria" w:hAnsi="Cambria" w:cs="Times New Roman"/>
      <w:color w:val="17365D"/>
      <w:spacing w:val="5"/>
      <w:kern w:val="28"/>
      <w:sz w:val="52"/>
      <w:szCs w:val="52"/>
    </w:rPr>
  </w:style>
  <w:style w:type="paragraph" w:styleId="Textbubliny">
    <w:name w:val="Balloon Text"/>
    <w:basedOn w:val="Normln"/>
    <w:link w:val="TextbublinyChar"/>
    <w:uiPriority w:val="99"/>
    <w:semiHidden/>
    <w:rsid w:val="0047557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7557B"/>
    <w:rPr>
      <w:rFonts w:ascii="Tahoma" w:hAnsi="Tahoma" w:cs="Tahoma"/>
      <w:sz w:val="16"/>
      <w:szCs w:val="16"/>
    </w:rPr>
  </w:style>
  <w:style w:type="paragraph" w:styleId="Pedmtkomente">
    <w:name w:val="annotation subject"/>
    <w:basedOn w:val="Textkomente"/>
    <w:next w:val="Textkomente"/>
    <w:link w:val="PedmtkomenteChar"/>
    <w:uiPriority w:val="99"/>
    <w:semiHidden/>
    <w:rsid w:val="004A13FB"/>
    <w:rPr>
      <w:b/>
      <w:bCs/>
    </w:rPr>
  </w:style>
  <w:style w:type="character" w:customStyle="1" w:styleId="PedmtkomenteChar">
    <w:name w:val="Předmět komentáře Char"/>
    <w:basedOn w:val="TextkomenteChar"/>
    <w:link w:val="Pedmtkomente"/>
    <w:uiPriority w:val="99"/>
    <w:semiHidden/>
    <w:locked/>
    <w:rsid w:val="004A13F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5D77-C789-4CA5-A523-5492143A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1506</Words>
  <Characters>8886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DODATEKČ</vt:lpstr>
    </vt:vector>
  </TitlesOfParts>
  <Company>KNL a.s.</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DODATEKČ</dc:title>
  <dc:creator>Jan Šuma</dc:creator>
  <cp:lastModifiedBy>Bubenikova Lucie</cp:lastModifiedBy>
  <cp:revision>7</cp:revision>
  <cp:lastPrinted>2016-02-09T10:05:00Z</cp:lastPrinted>
  <dcterms:created xsi:type="dcterms:W3CDTF">2015-12-15T11:22:00Z</dcterms:created>
  <dcterms:modified xsi:type="dcterms:W3CDTF">2016-02-09T10:05:00Z</dcterms:modified>
</cp:coreProperties>
</file>