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84" w:rsidRDefault="006A2792" w:rsidP="006A2792">
      <w:pPr>
        <w:pStyle w:val="Nzev"/>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sidR="00771434">
        <w:rPr>
          <w:sz w:val="28"/>
        </w:rPr>
        <w:t xml:space="preserve"> 2</w:t>
      </w:r>
      <w:r>
        <w:rPr>
          <w:sz w:val="28"/>
        </w:rPr>
        <w:t>.</w:t>
      </w:r>
      <w:r w:rsidRPr="00FB6E6F">
        <w:rPr>
          <w:sz w:val="28"/>
        </w:rPr>
        <w:t xml:space="preserve"> zasedání</w:t>
      </w:r>
      <w:r>
        <w:rPr>
          <w:sz w:val="28"/>
        </w:rPr>
        <w:t xml:space="preserve"> </w:t>
      </w:r>
    </w:p>
    <w:p w:rsidR="006A2792" w:rsidRDefault="006A2792" w:rsidP="006A2792">
      <w:pPr>
        <w:pStyle w:val="Nzev"/>
        <w:pBdr>
          <w:bottom w:val="single" w:sz="4" w:space="1" w:color="auto"/>
        </w:pBdr>
        <w:rPr>
          <w:sz w:val="28"/>
        </w:rPr>
      </w:pPr>
      <w:r>
        <w:rPr>
          <w:sz w:val="28"/>
        </w:rPr>
        <w:t>Zastupitelstva Libereckého kraje dne 2</w:t>
      </w:r>
      <w:r w:rsidR="00771434">
        <w:rPr>
          <w:sz w:val="28"/>
        </w:rPr>
        <w:t>3. 02</w:t>
      </w:r>
      <w:r w:rsidR="00DA7266">
        <w:rPr>
          <w:sz w:val="28"/>
        </w:rPr>
        <w:t>. 201</w:t>
      </w:r>
      <w:r w:rsidR="0001160F">
        <w:rPr>
          <w:sz w:val="28"/>
        </w:rPr>
        <w:t>6</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6A2792" w:rsidRDefault="006A2792" w:rsidP="006A2792">
      <w:pPr>
        <w:jc w:val="center"/>
        <w:rPr>
          <w:b/>
        </w:rPr>
      </w:pPr>
    </w:p>
    <w:p w:rsidR="006A2792" w:rsidRDefault="006A2792" w:rsidP="008B196C">
      <w:pPr>
        <w:rPr>
          <w:b/>
        </w:rPr>
      </w:pPr>
    </w:p>
    <w:p w:rsidR="006A2792" w:rsidRDefault="006A2792" w:rsidP="006A2792">
      <w:pPr>
        <w:jc w:val="center"/>
        <w:rPr>
          <w:b/>
        </w:rPr>
      </w:pPr>
    </w:p>
    <w:p w:rsidR="00180CD5" w:rsidRDefault="00180CD5" w:rsidP="006A2792">
      <w:pPr>
        <w:jc w:val="center"/>
        <w:rPr>
          <w:b/>
        </w:rPr>
      </w:pPr>
    </w:p>
    <w:p w:rsidR="00180CD5" w:rsidRDefault="00180CD5" w:rsidP="006A2792">
      <w:pPr>
        <w:jc w:val="center"/>
        <w:rPr>
          <w:b/>
        </w:rPr>
      </w:pPr>
    </w:p>
    <w:p w:rsidR="006A2792" w:rsidRDefault="006A2792" w:rsidP="006A2792">
      <w:pPr>
        <w:jc w:val="center"/>
        <w:rPr>
          <w:b/>
        </w:rPr>
      </w:pPr>
    </w:p>
    <w:p w:rsidR="00180CD5" w:rsidRDefault="00180CD5" w:rsidP="00180CD5">
      <w:pPr>
        <w:jc w:val="center"/>
        <w:rPr>
          <w:b/>
        </w:rPr>
      </w:pPr>
      <w:r>
        <w:rPr>
          <w:b/>
        </w:rPr>
        <w:t xml:space="preserve">50 e) </w:t>
      </w:r>
    </w:p>
    <w:p w:rsidR="006A2792" w:rsidRDefault="006A2792" w:rsidP="006A2792">
      <w:pPr>
        <w:jc w:val="center"/>
        <w:rPr>
          <w:b/>
        </w:rPr>
      </w:pPr>
    </w:p>
    <w:p w:rsidR="006A2792" w:rsidRPr="006A2792" w:rsidRDefault="006A2792" w:rsidP="006A2792">
      <w:pPr>
        <w:jc w:val="center"/>
        <w:rPr>
          <w:b/>
          <w:sz w:val="28"/>
          <w:szCs w:val="28"/>
        </w:rPr>
      </w:pPr>
    </w:p>
    <w:p w:rsidR="006A2792" w:rsidRDefault="00771434" w:rsidP="006A2792">
      <w:pPr>
        <w:jc w:val="center"/>
        <w:rPr>
          <w:b/>
        </w:rPr>
      </w:pPr>
      <w:r>
        <w:rPr>
          <w:b/>
        </w:rPr>
        <w:t>Zpráva o stavu povrchů vozovek silnic II. a III. třídy a o stavu mostů na silnicích II. a III. třídy v Libereckém kraji</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A84C9B" w:rsidRDefault="006A2792" w:rsidP="006A2792">
      <w:pPr>
        <w:jc w:val="center"/>
        <w:rPr>
          <w:b/>
          <w:sz w:val="28"/>
          <w:szCs w:val="28"/>
        </w:rPr>
      </w:pPr>
    </w:p>
    <w:p w:rsidR="006A2792" w:rsidRPr="004F30EA" w:rsidRDefault="006A2792" w:rsidP="006A2792">
      <w:pPr>
        <w:jc w:val="center"/>
        <w:rPr>
          <w:b/>
          <w:sz w:val="28"/>
          <w:szCs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771434">
      <w:pPr>
        <w:rPr>
          <w:b/>
          <w:sz w:val="28"/>
          <w:u w:val="single"/>
        </w:rPr>
      </w:pPr>
    </w:p>
    <w:p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rsidTr="00C455BB">
        <w:tc>
          <w:tcPr>
            <w:tcW w:w="2050" w:type="dxa"/>
          </w:tcPr>
          <w:p w:rsidR="006A2792" w:rsidRDefault="00DA7266" w:rsidP="00C455BB">
            <w:r>
              <w:t>Zpracoval</w:t>
            </w:r>
            <w:r w:rsidR="006A2792">
              <w:t>:</w:t>
            </w:r>
          </w:p>
        </w:tc>
        <w:tc>
          <w:tcPr>
            <w:tcW w:w="7160" w:type="dxa"/>
          </w:tcPr>
          <w:p w:rsidR="003D02EF" w:rsidRDefault="00771434" w:rsidP="003D02EF">
            <w:r>
              <w:t xml:space="preserve">Ing. Jan Čáp </w:t>
            </w:r>
          </w:p>
          <w:p w:rsidR="006A2792" w:rsidRDefault="003D02EF" w:rsidP="00771434">
            <w:r>
              <w:t xml:space="preserve">vedoucí </w:t>
            </w:r>
            <w:r w:rsidR="00771434">
              <w:t xml:space="preserve">odboru dopravy </w:t>
            </w:r>
          </w:p>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r>
              <w:t>Předkládá:</w:t>
            </w:r>
          </w:p>
        </w:tc>
        <w:tc>
          <w:tcPr>
            <w:tcW w:w="7160" w:type="dxa"/>
          </w:tcPr>
          <w:p w:rsidR="006A2792" w:rsidRDefault="006A2792" w:rsidP="00C455BB">
            <w:r>
              <w:t>Vladimír Mastník</w:t>
            </w:r>
          </w:p>
          <w:p w:rsidR="006A2792" w:rsidRDefault="00E920CE" w:rsidP="00771434">
            <w:r>
              <w:t xml:space="preserve">člen rady kraje, </w:t>
            </w:r>
            <w:r w:rsidR="00771434">
              <w:t xml:space="preserve">řízení rezortu dopravy </w:t>
            </w:r>
          </w:p>
        </w:tc>
      </w:tr>
    </w:tbl>
    <w:p w:rsidR="00AA0467" w:rsidRDefault="00AA0467" w:rsidP="00AA0467">
      <w:pPr>
        <w:pStyle w:val="Zkladntext3"/>
        <w:spacing w:before="120" w:after="0"/>
        <w:jc w:val="center"/>
        <w:rPr>
          <w:b/>
          <w:sz w:val="32"/>
          <w:szCs w:val="32"/>
        </w:rPr>
      </w:pPr>
      <w:bookmarkStart w:id="0" w:name="_GoBack"/>
      <w:bookmarkEnd w:id="0"/>
      <w:r>
        <w:rPr>
          <w:b/>
          <w:sz w:val="32"/>
          <w:szCs w:val="32"/>
        </w:rPr>
        <w:lastRenderedPageBreak/>
        <w:t>Důvodová zpráva</w:t>
      </w:r>
    </w:p>
    <w:p w:rsidR="00AA0467" w:rsidRDefault="00AA0467" w:rsidP="00AA0467">
      <w:pPr>
        <w:pStyle w:val="Normln12"/>
        <w:ind w:firstLine="0"/>
        <w:rPr>
          <w:b/>
        </w:rPr>
      </w:pPr>
    </w:p>
    <w:p w:rsidR="00AA0467" w:rsidRDefault="00AA0467" w:rsidP="00AA0467">
      <w:pPr>
        <w:pStyle w:val="Normln12"/>
        <w:ind w:firstLine="0"/>
      </w:pPr>
      <w:r>
        <w:t xml:space="preserve">Stav povrchu vozovek silnic II. a III. třídy v Libereckém kraji je vyhodnocován každoročně na základě sběru poruch vozovek. Sběr poruch se řídí technickými podmínkami TP 82 - Katalog poruch netuhých vozovek a TP 87 - Navrhování údržby a oprav netuhých vozovek. V roce 2010 byly TP 87 novelizovány a hodnoty pro zařazování vozovek do jednotlivých kategorií byly zpřísněny. Sběr poruch pro potřeby sledování stavu povrchu vozovky se provádí metodou „pomalu jedoucího vozidla“ se záznamem dat do počítače. Tento sběr provádí firma Pavex, spol. s r.o. již od roku 2000.  </w:t>
      </w:r>
    </w:p>
    <w:p w:rsidR="00AA0467" w:rsidRDefault="00AA0467" w:rsidP="00AA0467">
      <w:pPr>
        <w:spacing w:before="120"/>
        <w:jc w:val="both"/>
        <w:rPr>
          <w:b/>
        </w:rPr>
      </w:pPr>
      <w:r>
        <w:rPr>
          <w:b/>
        </w:rPr>
        <w:t>Stav povrchů vozovek k 31. 12. 2015</w:t>
      </w:r>
    </w:p>
    <w:p w:rsidR="00AA0467" w:rsidRDefault="00AA0467" w:rsidP="00AA0467">
      <w:pPr>
        <w:spacing w:before="120"/>
        <w:jc w:val="both"/>
        <w:rPr>
          <w:b/>
        </w:rPr>
      </w:pPr>
      <w:r>
        <w:t xml:space="preserve">Poslední sběr dat poruch vozovek na silnicích Libereckého kraje byl proveden v květnu roku 2015 na celé síti silnic II. třídy tj. 490 km a na cca 1/2 silnic III. třídy tj. 798 km. Po detailním zpracování poruch na každém úseku byla provedena jejich sumarizace do skupin se stejným charakterem porušení odpovídající i stejné technologii údržby, respektive opravy. Z analýzy poruch na základě TP 87 je následně provedeno zatřídění jednotlivých úseků sledované silniční sítě do 5 kategorií dle stavu porušení od hodnocení stavu „výborný“ po „havarijní“. Pro zatřídění úseků je rozhodující procento porušení plochy v úseku poruchou s největším - rozhodujícím rozsahem poruch. Ke konci kalendářního roku, byl proveden přepočet sběru dat a to v závislosti na skutečně opravených úseků silnic ve druhé polovině roku. </w:t>
      </w:r>
      <w:r>
        <w:rPr>
          <w:b/>
        </w:rPr>
        <w:t xml:space="preserve">Z hodnocení vyplývá, že 775,5 km (37,3 %) silnic II. a III. třídy v Libereckém kraji je hodnoceno jako havarijní a u téměř 267,7 km (12,9 %) silnic je jejich stav nevyhovující, tedy takový, že silnice nesplňují podmínky provozní způsobilosti ze strany výskytu poruch a je třeba provést jejich opravu nebo údržbu. </w:t>
      </w:r>
      <w:r>
        <w:t>Průměrná známka činila 3,39.</w:t>
      </w:r>
      <w:r>
        <w:rPr>
          <w:b/>
        </w:rPr>
        <w:t xml:space="preserve"> Oproti loňskému roku došlo ke zlepšení, kdy činila průměrná známka 3,45. Oproti předcházejícímu roku se podařilo snížit počet havarijních a nevyhovujících úseků o 23 km, o 17 km snížit počet vyhovujících úseků a zlepšit o 50 km délku úseků ve stavu 1 a 2, tedy výborný a dobrý. </w:t>
      </w:r>
    </w:p>
    <w:p w:rsidR="00AA0467" w:rsidRDefault="00AA0467" w:rsidP="00AA0467">
      <w:pPr>
        <w:spacing w:before="120"/>
        <w:jc w:val="both"/>
        <w:rPr>
          <w:b/>
        </w:rPr>
      </w:pPr>
      <w:r>
        <w:rPr>
          <w:b/>
        </w:rPr>
        <w:t>Silnice II. třídy:</w:t>
      </w:r>
    </w:p>
    <w:p w:rsidR="00AA0467" w:rsidRDefault="00AA0467" w:rsidP="00AA0467">
      <w:pPr>
        <w:spacing w:before="120"/>
        <w:jc w:val="both"/>
        <w:rPr>
          <w:b/>
        </w:rPr>
      </w:pPr>
      <w:r>
        <w:t xml:space="preserve">Průměrná známka stavu povrchů vozovek činila </w:t>
      </w:r>
      <w:r>
        <w:rPr>
          <w:b/>
        </w:rPr>
        <w:t xml:space="preserve">2,96, což je oproti roku 2014, kdy známka činila 3,08 výrazné zlepšení a vozovky silnic II. třídy se dostaly na stav, který byl v roce 2010, což je stav nejlepší v historii kraje. </w:t>
      </w:r>
      <w:r>
        <w:t xml:space="preserve">Nejhorší stav povrchů silnic II. třídy byl v roce 2013, kdy průměrná známka byla 3,21. </w:t>
      </w:r>
      <w:r>
        <w:rPr>
          <w:b/>
        </w:rPr>
        <w:t xml:space="preserve">Přesně polovina úseků silnic II. třídy má povrch vozovky výborný nebo dobrý (známka 1 nebo 2). </w:t>
      </w:r>
    </w:p>
    <w:p w:rsidR="00AA0467" w:rsidRDefault="00AA0467" w:rsidP="00AA0467">
      <w:pPr>
        <w:spacing w:before="120"/>
        <w:jc w:val="both"/>
        <w:rPr>
          <w:b/>
        </w:rPr>
      </w:pPr>
      <w:r>
        <w:rPr>
          <w:b/>
        </w:rPr>
        <w:t>Silnice III. třídy:</w:t>
      </w:r>
    </w:p>
    <w:p w:rsidR="00AA0467" w:rsidRDefault="00AA0467" w:rsidP="00AA0467">
      <w:pPr>
        <w:spacing w:before="120"/>
        <w:jc w:val="both"/>
        <w:rPr>
          <w:b/>
        </w:rPr>
      </w:pPr>
      <w:r>
        <w:t xml:space="preserve">Průměrná známka stavu povrchů vozovek činila </w:t>
      </w:r>
      <w:r>
        <w:rPr>
          <w:b/>
        </w:rPr>
        <w:t xml:space="preserve">3,53 což je oproti roku 2014, kdy známka činila 3,56 mírné zlepšení. Pozitivem je, že se podařilo nepatrně snížit délku havarijních úseků o 12 km a zvýšit o 14 km délku úseků výborných. </w:t>
      </w:r>
      <w:r>
        <w:t xml:space="preserve">Nepodařilo se výrazně snížit délku vyhovujících a nevyhovujících úseků, ale zastavil se trend zvyšování délek těchto úseků. </w:t>
      </w:r>
    </w:p>
    <w:p w:rsidR="00AA0467" w:rsidRDefault="00AA0467" w:rsidP="00AA0467">
      <w:pPr>
        <w:spacing w:before="120"/>
        <w:jc w:val="both"/>
      </w:pPr>
      <w:r>
        <w:rPr>
          <w:color w:val="000000"/>
        </w:rPr>
        <w:t xml:space="preserve">Z výše uvedeného je patrné, že stav povrchů vozovek krajských silnic se zlepšil, zejména u hlavních tahů silnic II. tříd. V loňském roce byly největší investice do krajské silniční sítě, kdy </w:t>
      </w:r>
      <w:r>
        <w:t xml:space="preserve">kraj investoval prostředky do úseků silnic poškozených povodněmi v roce 2010 (prostředky MMR), do kompletních rekonstrukcí silnic, včetně všech konstrukcí vozovek, rekonstrukcí odvodnění, zdí, mostů a propustků, v menší míře samostatně do silničních objektů (mosty, zdi, propustky), které se do stavu povrchu neprojeví, ale bez jejichž opravy by nebylo možné v budoucnu realizovat výměnu povrchu vozovky. </w:t>
      </w:r>
    </w:p>
    <w:p w:rsidR="00AA0467" w:rsidRDefault="00AA0467" w:rsidP="00AA0467">
      <w:pPr>
        <w:spacing w:before="120"/>
        <w:jc w:val="both"/>
      </w:pPr>
      <w:r>
        <w:rPr>
          <w:b/>
        </w:rPr>
        <w:lastRenderedPageBreak/>
        <w:t>Stav mostů k 31. 12. 2015</w:t>
      </w:r>
    </w:p>
    <w:p w:rsidR="00AA0467" w:rsidRDefault="00AA0467" w:rsidP="00AA0467">
      <w:pPr>
        <w:jc w:val="both"/>
      </w:pPr>
    </w:p>
    <w:p w:rsidR="00AA0467" w:rsidRDefault="00AA0467" w:rsidP="00AA0467">
      <w:pPr>
        <w:jc w:val="both"/>
      </w:pPr>
      <w:r>
        <w:t xml:space="preserve">Vysoký počet rekonstrukcí a oprav mostů na silnicích II. a III. třídy v posledních letech se významně projevil na hodnocení stavu mostů. V současné době má Liberecký kraj nejlepší stav mostů za dobu svoji existence. </w:t>
      </w:r>
      <w:r>
        <w:rPr>
          <w:b/>
        </w:rPr>
        <w:t xml:space="preserve">Pouze 19 mostů na silnicích II. a III. třídy je v nejhorším stavu číslo 7 a 83 mostů na silnicích ve vlastnictví kraje je v nejlepším stavu číslo 1. </w:t>
      </w:r>
    </w:p>
    <w:p w:rsidR="00AA0467" w:rsidRDefault="00AA0467" w:rsidP="00AA0467">
      <w:pPr>
        <w:spacing w:before="120"/>
        <w:jc w:val="both"/>
      </w:pPr>
    </w:p>
    <w:tbl>
      <w:tblPr>
        <w:tblW w:w="8040" w:type="dxa"/>
        <w:tblInd w:w="55" w:type="dxa"/>
        <w:tblCellMar>
          <w:left w:w="70" w:type="dxa"/>
          <w:right w:w="70" w:type="dxa"/>
        </w:tblCellMar>
        <w:tblLook w:val="04A0" w:firstRow="1" w:lastRow="0" w:firstColumn="1" w:lastColumn="0" w:noHBand="0" w:noVBand="1"/>
      </w:tblPr>
      <w:tblGrid>
        <w:gridCol w:w="1540"/>
        <w:gridCol w:w="1560"/>
        <w:gridCol w:w="386"/>
        <w:gridCol w:w="386"/>
        <w:gridCol w:w="560"/>
        <w:gridCol w:w="559"/>
        <w:gridCol w:w="559"/>
        <w:gridCol w:w="385"/>
        <w:gridCol w:w="385"/>
        <w:gridCol w:w="1720"/>
      </w:tblGrid>
      <w:tr w:rsidR="00AA0467" w:rsidTr="00AA0467">
        <w:trPr>
          <w:trHeight w:val="478"/>
        </w:trPr>
        <w:tc>
          <w:tcPr>
            <w:tcW w:w="1540" w:type="dxa"/>
            <w:tcBorders>
              <w:top w:val="single" w:sz="12" w:space="0" w:color="auto"/>
              <w:left w:val="single" w:sz="12" w:space="0" w:color="auto"/>
              <w:bottom w:val="single" w:sz="12" w:space="0" w:color="auto"/>
              <w:right w:val="nil"/>
            </w:tcBorders>
            <w:noWrap/>
            <w:vAlign w:val="bottom"/>
            <w:hideMark/>
          </w:tcPr>
          <w:p w:rsidR="00AA0467" w:rsidRDefault="00AA0467">
            <w:pPr>
              <w:rPr>
                <w:sz w:val="20"/>
                <w:szCs w:val="20"/>
              </w:rPr>
            </w:pPr>
          </w:p>
        </w:tc>
        <w:tc>
          <w:tcPr>
            <w:tcW w:w="1560" w:type="dxa"/>
            <w:tcBorders>
              <w:top w:val="single" w:sz="12" w:space="0" w:color="auto"/>
              <w:left w:val="nil"/>
              <w:bottom w:val="single" w:sz="12" w:space="0" w:color="auto"/>
              <w:right w:val="single" w:sz="12" w:space="0" w:color="auto"/>
            </w:tcBorders>
            <w:noWrap/>
            <w:vAlign w:val="bottom"/>
            <w:hideMark/>
          </w:tcPr>
          <w:p w:rsidR="00AA0467" w:rsidRDefault="00AA0467">
            <w:pPr>
              <w:rPr>
                <w:sz w:val="20"/>
                <w:szCs w:val="20"/>
              </w:rPr>
            </w:pPr>
          </w:p>
        </w:tc>
        <w:tc>
          <w:tcPr>
            <w:tcW w:w="3220" w:type="dxa"/>
            <w:gridSpan w:val="7"/>
            <w:tcBorders>
              <w:top w:val="single" w:sz="12" w:space="0" w:color="auto"/>
              <w:left w:val="nil"/>
              <w:bottom w:val="single" w:sz="12" w:space="0" w:color="auto"/>
              <w:right w:val="single" w:sz="12" w:space="0" w:color="000000"/>
            </w:tcBorders>
            <w:noWrap/>
            <w:vAlign w:val="bottom"/>
            <w:hideMark/>
          </w:tcPr>
          <w:p w:rsidR="00AA0467" w:rsidRDefault="00AA0467">
            <w:pPr>
              <w:jc w:val="center"/>
              <w:rPr>
                <w:b/>
                <w:bCs/>
              </w:rPr>
            </w:pPr>
            <w:r>
              <w:rPr>
                <w:b/>
                <w:bCs/>
              </w:rPr>
              <w:t>stavební stav</w:t>
            </w:r>
          </w:p>
        </w:tc>
        <w:tc>
          <w:tcPr>
            <w:tcW w:w="1720" w:type="dxa"/>
            <w:vMerge w:val="restart"/>
            <w:tcBorders>
              <w:top w:val="single" w:sz="12" w:space="0" w:color="auto"/>
              <w:left w:val="single" w:sz="12" w:space="0" w:color="auto"/>
              <w:bottom w:val="single" w:sz="12" w:space="0" w:color="000000"/>
              <w:right w:val="single" w:sz="12" w:space="0" w:color="auto"/>
            </w:tcBorders>
            <w:vAlign w:val="center"/>
            <w:hideMark/>
          </w:tcPr>
          <w:p w:rsidR="00AA0467" w:rsidRDefault="00AA0467">
            <w:pPr>
              <w:jc w:val="center"/>
              <w:rPr>
                <w:b/>
                <w:bCs/>
                <w:color w:val="000000"/>
              </w:rPr>
            </w:pPr>
            <w:r>
              <w:rPr>
                <w:b/>
                <w:bCs/>
                <w:color w:val="000000"/>
              </w:rPr>
              <w:t>průměr stavebního stavu</w:t>
            </w:r>
          </w:p>
        </w:tc>
      </w:tr>
      <w:tr w:rsidR="00AA0467" w:rsidTr="00AA0467">
        <w:trPr>
          <w:trHeight w:val="345"/>
        </w:trPr>
        <w:tc>
          <w:tcPr>
            <w:tcW w:w="1540" w:type="dxa"/>
            <w:tcBorders>
              <w:top w:val="nil"/>
              <w:left w:val="single" w:sz="12" w:space="0" w:color="auto"/>
              <w:bottom w:val="single" w:sz="12" w:space="0" w:color="auto"/>
              <w:right w:val="single" w:sz="12" w:space="0" w:color="auto"/>
            </w:tcBorders>
            <w:noWrap/>
            <w:vAlign w:val="bottom"/>
            <w:hideMark/>
          </w:tcPr>
          <w:p w:rsidR="00AA0467" w:rsidRDefault="00AA0467">
            <w:pPr>
              <w:rPr>
                <w:sz w:val="20"/>
                <w:szCs w:val="20"/>
              </w:rPr>
            </w:pPr>
          </w:p>
        </w:tc>
        <w:tc>
          <w:tcPr>
            <w:tcW w:w="1560" w:type="dxa"/>
            <w:tcBorders>
              <w:top w:val="nil"/>
              <w:left w:val="nil"/>
              <w:bottom w:val="single" w:sz="12" w:space="0" w:color="auto"/>
              <w:right w:val="single" w:sz="12" w:space="0" w:color="auto"/>
            </w:tcBorders>
            <w:noWrap/>
            <w:vAlign w:val="bottom"/>
            <w:hideMark/>
          </w:tcPr>
          <w:p w:rsidR="00AA0467" w:rsidRDefault="00AA0467">
            <w:pPr>
              <w:jc w:val="center"/>
              <w:rPr>
                <w:b/>
                <w:bCs/>
              </w:rPr>
            </w:pPr>
            <w:r>
              <w:rPr>
                <w:b/>
                <w:bCs/>
              </w:rPr>
              <w:t>počet</w:t>
            </w:r>
          </w:p>
        </w:tc>
        <w:tc>
          <w:tcPr>
            <w:tcW w:w="386" w:type="dxa"/>
            <w:tcBorders>
              <w:top w:val="nil"/>
              <w:left w:val="nil"/>
              <w:bottom w:val="single" w:sz="12" w:space="0" w:color="auto"/>
              <w:right w:val="single" w:sz="12" w:space="0" w:color="auto"/>
            </w:tcBorders>
            <w:noWrap/>
            <w:vAlign w:val="bottom"/>
            <w:hideMark/>
          </w:tcPr>
          <w:p w:rsidR="00AA0467" w:rsidRDefault="00AA0467">
            <w:pPr>
              <w:jc w:val="center"/>
              <w:rPr>
                <w:b/>
                <w:bCs/>
              </w:rPr>
            </w:pPr>
            <w:r>
              <w:rPr>
                <w:b/>
                <w:bCs/>
              </w:rPr>
              <w:t>1</w:t>
            </w:r>
          </w:p>
        </w:tc>
        <w:tc>
          <w:tcPr>
            <w:tcW w:w="386" w:type="dxa"/>
            <w:tcBorders>
              <w:top w:val="nil"/>
              <w:left w:val="nil"/>
              <w:bottom w:val="single" w:sz="12" w:space="0" w:color="auto"/>
              <w:right w:val="single" w:sz="12" w:space="0" w:color="auto"/>
            </w:tcBorders>
            <w:noWrap/>
            <w:vAlign w:val="bottom"/>
            <w:hideMark/>
          </w:tcPr>
          <w:p w:rsidR="00AA0467" w:rsidRDefault="00AA0467">
            <w:pPr>
              <w:jc w:val="center"/>
              <w:rPr>
                <w:b/>
                <w:bCs/>
              </w:rPr>
            </w:pPr>
            <w:r>
              <w:rPr>
                <w:b/>
                <w:bCs/>
              </w:rPr>
              <w:t>2</w:t>
            </w:r>
          </w:p>
        </w:tc>
        <w:tc>
          <w:tcPr>
            <w:tcW w:w="560" w:type="dxa"/>
            <w:tcBorders>
              <w:top w:val="nil"/>
              <w:left w:val="nil"/>
              <w:bottom w:val="single" w:sz="12" w:space="0" w:color="auto"/>
              <w:right w:val="single" w:sz="12" w:space="0" w:color="auto"/>
            </w:tcBorders>
            <w:noWrap/>
            <w:vAlign w:val="bottom"/>
            <w:hideMark/>
          </w:tcPr>
          <w:p w:rsidR="00AA0467" w:rsidRDefault="00AA0467">
            <w:pPr>
              <w:jc w:val="center"/>
              <w:rPr>
                <w:b/>
                <w:bCs/>
              </w:rPr>
            </w:pPr>
            <w:r>
              <w:rPr>
                <w:b/>
                <w:bCs/>
              </w:rPr>
              <w:t>3</w:t>
            </w:r>
          </w:p>
        </w:tc>
        <w:tc>
          <w:tcPr>
            <w:tcW w:w="559" w:type="dxa"/>
            <w:tcBorders>
              <w:top w:val="nil"/>
              <w:left w:val="nil"/>
              <w:bottom w:val="single" w:sz="12" w:space="0" w:color="auto"/>
              <w:right w:val="single" w:sz="12" w:space="0" w:color="auto"/>
            </w:tcBorders>
            <w:noWrap/>
            <w:vAlign w:val="bottom"/>
            <w:hideMark/>
          </w:tcPr>
          <w:p w:rsidR="00AA0467" w:rsidRDefault="00AA0467">
            <w:pPr>
              <w:jc w:val="center"/>
              <w:rPr>
                <w:b/>
                <w:bCs/>
              </w:rPr>
            </w:pPr>
            <w:r>
              <w:rPr>
                <w:b/>
                <w:bCs/>
              </w:rPr>
              <w:t>4</w:t>
            </w:r>
          </w:p>
        </w:tc>
        <w:tc>
          <w:tcPr>
            <w:tcW w:w="559" w:type="dxa"/>
            <w:tcBorders>
              <w:top w:val="nil"/>
              <w:left w:val="nil"/>
              <w:bottom w:val="single" w:sz="12" w:space="0" w:color="auto"/>
              <w:right w:val="single" w:sz="12" w:space="0" w:color="auto"/>
            </w:tcBorders>
            <w:noWrap/>
            <w:vAlign w:val="bottom"/>
            <w:hideMark/>
          </w:tcPr>
          <w:p w:rsidR="00AA0467" w:rsidRDefault="00AA0467">
            <w:pPr>
              <w:jc w:val="center"/>
              <w:rPr>
                <w:b/>
                <w:bCs/>
              </w:rPr>
            </w:pPr>
            <w:r>
              <w:rPr>
                <w:b/>
                <w:bCs/>
              </w:rPr>
              <w:t>5</w:t>
            </w:r>
          </w:p>
        </w:tc>
        <w:tc>
          <w:tcPr>
            <w:tcW w:w="385" w:type="dxa"/>
            <w:tcBorders>
              <w:top w:val="nil"/>
              <w:left w:val="nil"/>
              <w:bottom w:val="single" w:sz="12" w:space="0" w:color="auto"/>
              <w:right w:val="single" w:sz="12" w:space="0" w:color="auto"/>
            </w:tcBorders>
            <w:noWrap/>
            <w:vAlign w:val="bottom"/>
            <w:hideMark/>
          </w:tcPr>
          <w:p w:rsidR="00AA0467" w:rsidRDefault="00AA0467">
            <w:pPr>
              <w:jc w:val="center"/>
              <w:rPr>
                <w:b/>
                <w:bCs/>
              </w:rPr>
            </w:pPr>
            <w:r>
              <w:rPr>
                <w:b/>
                <w:bCs/>
              </w:rPr>
              <w:t>6</w:t>
            </w:r>
          </w:p>
        </w:tc>
        <w:tc>
          <w:tcPr>
            <w:tcW w:w="385" w:type="dxa"/>
            <w:tcBorders>
              <w:top w:val="nil"/>
              <w:left w:val="nil"/>
              <w:bottom w:val="single" w:sz="12" w:space="0" w:color="auto"/>
              <w:right w:val="single" w:sz="12" w:space="0" w:color="auto"/>
            </w:tcBorders>
            <w:noWrap/>
            <w:vAlign w:val="bottom"/>
            <w:hideMark/>
          </w:tcPr>
          <w:p w:rsidR="00AA0467" w:rsidRDefault="00AA0467">
            <w:pPr>
              <w:jc w:val="center"/>
              <w:rPr>
                <w:b/>
                <w:bCs/>
              </w:rPr>
            </w:pPr>
            <w:r>
              <w:rPr>
                <w:b/>
                <w:bCs/>
              </w:rPr>
              <w:t>7</w:t>
            </w:r>
          </w:p>
        </w:tc>
        <w:tc>
          <w:tcPr>
            <w:tcW w:w="0" w:type="auto"/>
            <w:vMerge/>
            <w:tcBorders>
              <w:top w:val="single" w:sz="12" w:space="0" w:color="auto"/>
              <w:left w:val="single" w:sz="12" w:space="0" w:color="auto"/>
              <w:bottom w:val="single" w:sz="12" w:space="0" w:color="000000"/>
              <w:right w:val="single" w:sz="12" w:space="0" w:color="auto"/>
            </w:tcBorders>
            <w:vAlign w:val="center"/>
            <w:hideMark/>
          </w:tcPr>
          <w:p w:rsidR="00AA0467" w:rsidRDefault="00AA0467">
            <w:pPr>
              <w:rPr>
                <w:b/>
                <w:bCs/>
                <w:color w:val="000000"/>
              </w:rPr>
            </w:pPr>
          </w:p>
        </w:tc>
      </w:tr>
      <w:tr w:rsidR="00AA0467" w:rsidTr="00AA0467">
        <w:trPr>
          <w:trHeight w:val="330"/>
        </w:trPr>
        <w:tc>
          <w:tcPr>
            <w:tcW w:w="1540" w:type="dxa"/>
            <w:tcBorders>
              <w:top w:val="single" w:sz="4" w:space="0" w:color="auto"/>
              <w:left w:val="single" w:sz="12" w:space="0" w:color="auto"/>
              <w:bottom w:val="single" w:sz="4" w:space="0" w:color="auto"/>
              <w:right w:val="single" w:sz="12" w:space="0" w:color="auto"/>
            </w:tcBorders>
            <w:noWrap/>
            <w:vAlign w:val="bottom"/>
            <w:hideMark/>
          </w:tcPr>
          <w:p w:rsidR="00AA0467" w:rsidRDefault="00AA0467">
            <w:pPr>
              <w:jc w:val="center"/>
              <w:rPr>
                <w:b/>
                <w:bCs/>
              </w:rPr>
            </w:pPr>
            <w:r>
              <w:rPr>
                <w:b/>
                <w:bCs/>
              </w:rPr>
              <w:t xml:space="preserve">k </w:t>
            </w:r>
            <w:proofErr w:type="gramStart"/>
            <w:r>
              <w:rPr>
                <w:b/>
                <w:bCs/>
              </w:rPr>
              <w:t>31.12.2010</w:t>
            </w:r>
            <w:proofErr w:type="gramEnd"/>
          </w:p>
        </w:tc>
        <w:tc>
          <w:tcPr>
            <w:tcW w:w="1560" w:type="dxa"/>
            <w:tcBorders>
              <w:top w:val="single" w:sz="4" w:space="0" w:color="auto"/>
              <w:left w:val="nil"/>
              <w:bottom w:val="single" w:sz="4" w:space="0" w:color="auto"/>
              <w:right w:val="single" w:sz="12" w:space="0" w:color="auto"/>
            </w:tcBorders>
            <w:noWrap/>
            <w:vAlign w:val="bottom"/>
            <w:hideMark/>
          </w:tcPr>
          <w:p w:rsidR="00AA0467" w:rsidRDefault="00AA0467">
            <w:pPr>
              <w:jc w:val="center"/>
              <w:rPr>
                <w:b/>
                <w:bCs/>
              </w:rPr>
            </w:pPr>
            <w:r>
              <w:rPr>
                <w:b/>
                <w:bCs/>
              </w:rPr>
              <w:t>669</w:t>
            </w:r>
          </w:p>
        </w:tc>
        <w:tc>
          <w:tcPr>
            <w:tcW w:w="386"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19</w:t>
            </w:r>
          </w:p>
        </w:tc>
        <w:tc>
          <w:tcPr>
            <w:tcW w:w="386"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85</w:t>
            </w:r>
          </w:p>
        </w:tc>
        <w:tc>
          <w:tcPr>
            <w:tcW w:w="560"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115</w:t>
            </w:r>
          </w:p>
        </w:tc>
        <w:tc>
          <w:tcPr>
            <w:tcW w:w="559"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178</w:t>
            </w:r>
          </w:p>
        </w:tc>
        <w:tc>
          <w:tcPr>
            <w:tcW w:w="559"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148</w:t>
            </w:r>
          </w:p>
        </w:tc>
        <w:tc>
          <w:tcPr>
            <w:tcW w:w="385"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81</w:t>
            </w:r>
          </w:p>
        </w:tc>
        <w:tc>
          <w:tcPr>
            <w:tcW w:w="385"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43</w:t>
            </w:r>
          </w:p>
        </w:tc>
        <w:tc>
          <w:tcPr>
            <w:tcW w:w="1720" w:type="dxa"/>
            <w:tcBorders>
              <w:top w:val="nil"/>
              <w:left w:val="nil"/>
              <w:bottom w:val="single" w:sz="4" w:space="0" w:color="auto"/>
              <w:right w:val="single" w:sz="12" w:space="0" w:color="auto"/>
            </w:tcBorders>
            <w:vAlign w:val="bottom"/>
            <w:hideMark/>
          </w:tcPr>
          <w:p w:rsidR="00AA0467" w:rsidRDefault="00AA0467">
            <w:pPr>
              <w:jc w:val="center"/>
              <w:rPr>
                <w:color w:val="000000"/>
              </w:rPr>
            </w:pPr>
            <w:r>
              <w:rPr>
                <w:color w:val="000000"/>
              </w:rPr>
              <w:t>4,14</w:t>
            </w:r>
          </w:p>
        </w:tc>
      </w:tr>
      <w:tr w:rsidR="00AA0467" w:rsidTr="00AA0467">
        <w:trPr>
          <w:trHeight w:val="315"/>
        </w:trPr>
        <w:tc>
          <w:tcPr>
            <w:tcW w:w="1540" w:type="dxa"/>
            <w:tcBorders>
              <w:top w:val="nil"/>
              <w:left w:val="single" w:sz="12" w:space="0" w:color="auto"/>
              <w:bottom w:val="single" w:sz="4" w:space="0" w:color="auto"/>
              <w:right w:val="single" w:sz="12" w:space="0" w:color="auto"/>
            </w:tcBorders>
            <w:noWrap/>
            <w:vAlign w:val="bottom"/>
            <w:hideMark/>
          </w:tcPr>
          <w:p w:rsidR="00AA0467" w:rsidRDefault="00AA0467">
            <w:pPr>
              <w:jc w:val="center"/>
              <w:rPr>
                <w:b/>
                <w:bCs/>
              </w:rPr>
            </w:pPr>
            <w:r>
              <w:rPr>
                <w:b/>
                <w:bCs/>
              </w:rPr>
              <w:t xml:space="preserve">k </w:t>
            </w:r>
            <w:proofErr w:type="gramStart"/>
            <w:r>
              <w:rPr>
                <w:b/>
                <w:bCs/>
              </w:rPr>
              <w:t>31.12.2011</w:t>
            </w:r>
            <w:proofErr w:type="gramEnd"/>
          </w:p>
        </w:tc>
        <w:tc>
          <w:tcPr>
            <w:tcW w:w="1560" w:type="dxa"/>
            <w:tcBorders>
              <w:top w:val="nil"/>
              <w:left w:val="nil"/>
              <w:bottom w:val="nil"/>
              <w:right w:val="single" w:sz="12" w:space="0" w:color="auto"/>
            </w:tcBorders>
            <w:noWrap/>
            <w:vAlign w:val="bottom"/>
            <w:hideMark/>
          </w:tcPr>
          <w:p w:rsidR="00AA0467" w:rsidRDefault="00AA0467">
            <w:pPr>
              <w:jc w:val="center"/>
              <w:rPr>
                <w:b/>
                <w:bCs/>
              </w:rPr>
            </w:pPr>
            <w:r>
              <w:rPr>
                <w:b/>
                <w:bCs/>
              </w:rPr>
              <w:t>669</w:t>
            </w:r>
          </w:p>
        </w:tc>
        <w:tc>
          <w:tcPr>
            <w:tcW w:w="386" w:type="dxa"/>
            <w:tcBorders>
              <w:top w:val="nil"/>
              <w:left w:val="nil"/>
              <w:bottom w:val="nil"/>
              <w:right w:val="single" w:sz="12" w:space="0" w:color="auto"/>
            </w:tcBorders>
            <w:noWrap/>
            <w:vAlign w:val="bottom"/>
            <w:hideMark/>
          </w:tcPr>
          <w:p w:rsidR="00AA0467" w:rsidRDefault="00AA0467">
            <w:pPr>
              <w:jc w:val="center"/>
            </w:pPr>
            <w:r>
              <w:t>18</w:t>
            </w:r>
          </w:p>
        </w:tc>
        <w:tc>
          <w:tcPr>
            <w:tcW w:w="386" w:type="dxa"/>
            <w:tcBorders>
              <w:top w:val="nil"/>
              <w:left w:val="nil"/>
              <w:bottom w:val="nil"/>
              <w:right w:val="single" w:sz="12" w:space="0" w:color="auto"/>
            </w:tcBorders>
            <w:noWrap/>
            <w:vAlign w:val="bottom"/>
            <w:hideMark/>
          </w:tcPr>
          <w:p w:rsidR="00AA0467" w:rsidRDefault="00AA0467">
            <w:pPr>
              <w:jc w:val="center"/>
            </w:pPr>
            <w:r>
              <w:t>83</w:t>
            </w:r>
          </w:p>
        </w:tc>
        <w:tc>
          <w:tcPr>
            <w:tcW w:w="560" w:type="dxa"/>
            <w:tcBorders>
              <w:top w:val="nil"/>
              <w:left w:val="nil"/>
              <w:bottom w:val="nil"/>
              <w:right w:val="single" w:sz="12" w:space="0" w:color="auto"/>
            </w:tcBorders>
            <w:noWrap/>
            <w:vAlign w:val="bottom"/>
            <w:hideMark/>
          </w:tcPr>
          <w:p w:rsidR="00AA0467" w:rsidRDefault="00AA0467">
            <w:pPr>
              <w:jc w:val="center"/>
            </w:pPr>
            <w:r>
              <w:t>117</w:t>
            </w:r>
          </w:p>
        </w:tc>
        <w:tc>
          <w:tcPr>
            <w:tcW w:w="559" w:type="dxa"/>
            <w:tcBorders>
              <w:top w:val="nil"/>
              <w:left w:val="nil"/>
              <w:bottom w:val="nil"/>
              <w:right w:val="single" w:sz="12" w:space="0" w:color="auto"/>
            </w:tcBorders>
            <w:noWrap/>
            <w:vAlign w:val="bottom"/>
            <w:hideMark/>
          </w:tcPr>
          <w:p w:rsidR="00AA0467" w:rsidRDefault="00AA0467">
            <w:pPr>
              <w:jc w:val="center"/>
            </w:pPr>
            <w:r>
              <w:t>172</w:t>
            </w:r>
          </w:p>
        </w:tc>
        <w:tc>
          <w:tcPr>
            <w:tcW w:w="559" w:type="dxa"/>
            <w:tcBorders>
              <w:top w:val="nil"/>
              <w:left w:val="nil"/>
              <w:bottom w:val="nil"/>
              <w:right w:val="single" w:sz="12" w:space="0" w:color="auto"/>
            </w:tcBorders>
            <w:noWrap/>
            <w:vAlign w:val="bottom"/>
            <w:hideMark/>
          </w:tcPr>
          <w:p w:rsidR="00AA0467" w:rsidRDefault="00AA0467">
            <w:pPr>
              <w:jc w:val="center"/>
            </w:pPr>
            <w:r>
              <w:t>151</w:t>
            </w:r>
          </w:p>
        </w:tc>
        <w:tc>
          <w:tcPr>
            <w:tcW w:w="385" w:type="dxa"/>
            <w:tcBorders>
              <w:top w:val="nil"/>
              <w:left w:val="nil"/>
              <w:bottom w:val="nil"/>
              <w:right w:val="single" w:sz="12" w:space="0" w:color="auto"/>
            </w:tcBorders>
            <w:noWrap/>
            <w:vAlign w:val="bottom"/>
            <w:hideMark/>
          </w:tcPr>
          <w:p w:rsidR="00AA0467" w:rsidRDefault="00AA0467">
            <w:pPr>
              <w:jc w:val="center"/>
            </w:pPr>
            <w:r>
              <w:t>77</w:t>
            </w:r>
          </w:p>
        </w:tc>
        <w:tc>
          <w:tcPr>
            <w:tcW w:w="385" w:type="dxa"/>
            <w:tcBorders>
              <w:top w:val="nil"/>
              <w:left w:val="nil"/>
              <w:bottom w:val="nil"/>
              <w:right w:val="single" w:sz="12" w:space="0" w:color="auto"/>
            </w:tcBorders>
            <w:noWrap/>
            <w:vAlign w:val="bottom"/>
            <w:hideMark/>
          </w:tcPr>
          <w:p w:rsidR="00AA0467" w:rsidRDefault="00AA0467">
            <w:pPr>
              <w:jc w:val="center"/>
            </w:pPr>
            <w:r>
              <w:t>51</w:t>
            </w:r>
          </w:p>
        </w:tc>
        <w:tc>
          <w:tcPr>
            <w:tcW w:w="1720" w:type="dxa"/>
            <w:tcBorders>
              <w:top w:val="nil"/>
              <w:left w:val="nil"/>
              <w:bottom w:val="single" w:sz="4" w:space="0" w:color="auto"/>
              <w:right w:val="single" w:sz="12" w:space="0" w:color="auto"/>
            </w:tcBorders>
            <w:noWrap/>
            <w:vAlign w:val="bottom"/>
            <w:hideMark/>
          </w:tcPr>
          <w:p w:rsidR="00AA0467" w:rsidRDefault="00AA0467">
            <w:pPr>
              <w:jc w:val="center"/>
              <w:rPr>
                <w:color w:val="000000"/>
              </w:rPr>
            </w:pPr>
            <w:r>
              <w:rPr>
                <w:color w:val="000000"/>
              </w:rPr>
              <w:t>4,18</w:t>
            </w:r>
          </w:p>
        </w:tc>
      </w:tr>
      <w:tr w:rsidR="00AA0467" w:rsidTr="00AA0467">
        <w:trPr>
          <w:trHeight w:val="315"/>
        </w:trPr>
        <w:tc>
          <w:tcPr>
            <w:tcW w:w="1540" w:type="dxa"/>
            <w:tcBorders>
              <w:top w:val="nil"/>
              <w:left w:val="single" w:sz="12" w:space="0" w:color="auto"/>
              <w:bottom w:val="single" w:sz="4" w:space="0" w:color="auto"/>
              <w:right w:val="single" w:sz="12" w:space="0" w:color="auto"/>
            </w:tcBorders>
            <w:noWrap/>
            <w:vAlign w:val="bottom"/>
            <w:hideMark/>
          </w:tcPr>
          <w:p w:rsidR="00AA0467" w:rsidRDefault="00AA0467">
            <w:pPr>
              <w:jc w:val="center"/>
              <w:rPr>
                <w:b/>
                <w:bCs/>
              </w:rPr>
            </w:pPr>
            <w:r>
              <w:rPr>
                <w:b/>
                <w:bCs/>
              </w:rPr>
              <w:t xml:space="preserve">k </w:t>
            </w:r>
            <w:proofErr w:type="gramStart"/>
            <w:r>
              <w:rPr>
                <w:b/>
                <w:bCs/>
              </w:rPr>
              <w:t>31.12.2012</w:t>
            </w:r>
            <w:proofErr w:type="gramEnd"/>
          </w:p>
        </w:tc>
        <w:tc>
          <w:tcPr>
            <w:tcW w:w="1560" w:type="dxa"/>
            <w:tcBorders>
              <w:top w:val="single" w:sz="4" w:space="0" w:color="auto"/>
              <w:left w:val="nil"/>
              <w:bottom w:val="single" w:sz="4" w:space="0" w:color="auto"/>
              <w:right w:val="single" w:sz="12" w:space="0" w:color="auto"/>
            </w:tcBorders>
            <w:noWrap/>
            <w:vAlign w:val="bottom"/>
            <w:hideMark/>
          </w:tcPr>
          <w:p w:rsidR="00AA0467" w:rsidRDefault="00AA0467">
            <w:pPr>
              <w:jc w:val="center"/>
              <w:rPr>
                <w:b/>
                <w:bCs/>
              </w:rPr>
            </w:pPr>
            <w:r>
              <w:rPr>
                <w:b/>
                <w:bCs/>
              </w:rPr>
              <w:t>665</w:t>
            </w:r>
          </w:p>
        </w:tc>
        <w:tc>
          <w:tcPr>
            <w:tcW w:w="386"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51</w:t>
            </w:r>
          </w:p>
        </w:tc>
        <w:tc>
          <w:tcPr>
            <w:tcW w:w="386"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93</w:t>
            </w:r>
          </w:p>
        </w:tc>
        <w:tc>
          <w:tcPr>
            <w:tcW w:w="560"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118</w:t>
            </w:r>
          </w:p>
        </w:tc>
        <w:tc>
          <w:tcPr>
            <w:tcW w:w="559"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162</w:t>
            </w:r>
          </w:p>
        </w:tc>
        <w:tc>
          <w:tcPr>
            <w:tcW w:w="559"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156</w:t>
            </w:r>
          </w:p>
        </w:tc>
        <w:tc>
          <w:tcPr>
            <w:tcW w:w="385"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48</w:t>
            </w:r>
          </w:p>
        </w:tc>
        <w:tc>
          <w:tcPr>
            <w:tcW w:w="385" w:type="dxa"/>
            <w:tcBorders>
              <w:top w:val="single" w:sz="4" w:space="0" w:color="auto"/>
              <w:left w:val="nil"/>
              <w:bottom w:val="single" w:sz="4" w:space="0" w:color="auto"/>
              <w:right w:val="single" w:sz="12" w:space="0" w:color="auto"/>
            </w:tcBorders>
            <w:noWrap/>
            <w:vAlign w:val="bottom"/>
            <w:hideMark/>
          </w:tcPr>
          <w:p w:rsidR="00AA0467" w:rsidRDefault="00AA0467">
            <w:pPr>
              <w:jc w:val="center"/>
            </w:pPr>
            <w:r>
              <w:t>37</w:t>
            </w:r>
          </w:p>
        </w:tc>
        <w:tc>
          <w:tcPr>
            <w:tcW w:w="1720" w:type="dxa"/>
            <w:tcBorders>
              <w:top w:val="nil"/>
              <w:left w:val="nil"/>
              <w:bottom w:val="single" w:sz="4" w:space="0" w:color="auto"/>
              <w:right w:val="single" w:sz="12" w:space="0" w:color="auto"/>
            </w:tcBorders>
            <w:noWrap/>
            <w:vAlign w:val="bottom"/>
            <w:hideMark/>
          </w:tcPr>
          <w:p w:rsidR="00AA0467" w:rsidRDefault="00AA0467">
            <w:pPr>
              <w:jc w:val="center"/>
              <w:rPr>
                <w:color w:val="000000"/>
              </w:rPr>
            </w:pPr>
            <w:r>
              <w:rPr>
                <w:color w:val="000000"/>
              </w:rPr>
              <w:t>3,86</w:t>
            </w:r>
          </w:p>
        </w:tc>
      </w:tr>
      <w:tr w:rsidR="00AA0467" w:rsidTr="00AA0467">
        <w:trPr>
          <w:trHeight w:val="315"/>
        </w:trPr>
        <w:tc>
          <w:tcPr>
            <w:tcW w:w="1540" w:type="dxa"/>
            <w:tcBorders>
              <w:top w:val="nil"/>
              <w:left w:val="single" w:sz="12" w:space="0" w:color="auto"/>
              <w:bottom w:val="single" w:sz="4" w:space="0" w:color="auto"/>
              <w:right w:val="single" w:sz="12" w:space="0" w:color="auto"/>
            </w:tcBorders>
            <w:noWrap/>
            <w:vAlign w:val="bottom"/>
            <w:hideMark/>
          </w:tcPr>
          <w:p w:rsidR="00AA0467" w:rsidRDefault="00AA0467">
            <w:pPr>
              <w:jc w:val="center"/>
              <w:rPr>
                <w:b/>
                <w:bCs/>
              </w:rPr>
            </w:pPr>
            <w:r>
              <w:rPr>
                <w:b/>
                <w:bCs/>
              </w:rPr>
              <w:t xml:space="preserve">k </w:t>
            </w:r>
            <w:proofErr w:type="gramStart"/>
            <w:r>
              <w:rPr>
                <w:b/>
                <w:bCs/>
              </w:rPr>
              <w:t>31.12.2013</w:t>
            </w:r>
            <w:proofErr w:type="gramEnd"/>
          </w:p>
        </w:tc>
        <w:tc>
          <w:tcPr>
            <w:tcW w:w="1560" w:type="dxa"/>
            <w:tcBorders>
              <w:top w:val="nil"/>
              <w:left w:val="nil"/>
              <w:bottom w:val="single" w:sz="4" w:space="0" w:color="auto"/>
              <w:right w:val="single" w:sz="12" w:space="0" w:color="auto"/>
            </w:tcBorders>
            <w:noWrap/>
            <w:vAlign w:val="bottom"/>
            <w:hideMark/>
          </w:tcPr>
          <w:p w:rsidR="00AA0467" w:rsidRDefault="00AA0467">
            <w:pPr>
              <w:jc w:val="center"/>
              <w:rPr>
                <w:b/>
                <w:bCs/>
              </w:rPr>
            </w:pPr>
            <w:r>
              <w:rPr>
                <w:b/>
                <w:bCs/>
              </w:rPr>
              <w:t>661</w:t>
            </w:r>
          </w:p>
        </w:tc>
        <w:tc>
          <w:tcPr>
            <w:tcW w:w="386" w:type="dxa"/>
            <w:tcBorders>
              <w:top w:val="nil"/>
              <w:left w:val="nil"/>
              <w:bottom w:val="single" w:sz="4" w:space="0" w:color="auto"/>
              <w:right w:val="single" w:sz="12" w:space="0" w:color="auto"/>
            </w:tcBorders>
            <w:noWrap/>
            <w:vAlign w:val="bottom"/>
            <w:hideMark/>
          </w:tcPr>
          <w:p w:rsidR="00AA0467" w:rsidRDefault="00AA0467">
            <w:pPr>
              <w:jc w:val="center"/>
            </w:pPr>
            <w:r>
              <w:t>77</w:t>
            </w:r>
          </w:p>
        </w:tc>
        <w:tc>
          <w:tcPr>
            <w:tcW w:w="386" w:type="dxa"/>
            <w:tcBorders>
              <w:top w:val="nil"/>
              <w:left w:val="nil"/>
              <w:bottom w:val="single" w:sz="4" w:space="0" w:color="auto"/>
              <w:right w:val="single" w:sz="12" w:space="0" w:color="auto"/>
            </w:tcBorders>
            <w:noWrap/>
            <w:vAlign w:val="bottom"/>
            <w:hideMark/>
          </w:tcPr>
          <w:p w:rsidR="00AA0467" w:rsidRDefault="00AA0467">
            <w:pPr>
              <w:jc w:val="center"/>
            </w:pPr>
            <w:r>
              <w:t>90</w:t>
            </w:r>
          </w:p>
        </w:tc>
        <w:tc>
          <w:tcPr>
            <w:tcW w:w="560" w:type="dxa"/>
            <w:tcBorders>
              <w:top w:val="nil"/>
              <w:left w:val="nil"/>
              <w:bottom w:val="single" w:sz="4" w:space="0" w:color="auto"/>
              <w:right w:val="single" w:sz="12" w:space="0" w:color="auto"/>
            </w:tcBorders>
            <w:noWrap/>
            <w:vAlign w:val="bottom"/>
            <w:hideMark/>
          </w:tcPr>
          <w:p w:rsidR="00AA0467" w:rsidRDefault="00AA0467">
            <w:pPr>
              <w:jc w:val="center"/>
            </w:pPr>
            <w:r>
              <w:t>115</w:t>
            </w:r>
          </w:p>
        </w:tc>
        <w:tc>
          <w:tcPr>
            <w:tcW w:w="559" w:type="dxa"/>
            <w:tcBorders>
              <w:top w:val="nil"/>
              <w:left w:val="nil"/>
              <w:bottom w:val="single" w:sz="4" w:space="0" w:color="auto"/>
              <w:right w:val="single" w:sz="12" w:space="0" w:color="auto"/>
            </w:tcBorders>
            <w:noWrap/>
            <w:vAlign w:val="bottom"/>
            <w:hideMark/>
          </w:tcPr>
          <w:p w:rsidR="00AA0467" w:rsidRDefault="00AA0467">
            <w:pPr>
              <w:jc w:val="center"/>
            </w:pPr>
            <w:r>
              <w:t>171</w:t>
            </w:r>
          </w:p>
        </w:tc>
        <w:tc>
          <w:tcPr>
            <w:tcW w:w="559" w:type="dxa"/>
            <w:tcBorders>
              <w:top w:val="nil"/>
              <w:left w:val="nil"/>
              <w:bottom w:val="single" w:sz="4" w:space="0" w:color="auto"/>
              <w:right w:val="single" w:sz="12" w:space="0" w:color="auto"/>
            </w:tcBorders>
            <w:noWrap/>
            <w:vAlign w:val="bottom"/>
            <w:hideMark/>
          </w:tcPr>
          <w:p w:rsidR="00AA0467" w:rsidRDefault="00AA0467">
            <w:pPr>
              <w:jc w:val="center"/>
            </w:pPr>
            <w:r>
              <w:t>148</w:t>
            </w:r>
          </w:p>
        </w:tc>
        <w:tc>
          <w:tcPr>
            <w:tcW w:w="385" w:type="dxa"/>
            <w:tcBorders>
              <w:top w:val="nil"/>
              <w:left w:val="nil"/>
              <w:bottom w:val="single" w:sz="4" w:space="0" w:color="auto"/>
              <w:right w:val="single" w:sz="12" w:space="0" w:color="auto"/>
            </w:tcBorders>
            <w:noWrap/>
            <w:vAlign w:val="bottom"/>
            <w:hideMark/>
          </w:tcPr>
          <w:p w:rsidR="00AA0467" w:rsidRDefault="00AA0467">
            <w:pPr>
              <w:jc w:val="center"/>
            </w:pPr>
            <w:r>
              <w:t>40</w:t>
            </w:r>
          </w:p>
        </w:tc>
        <w:tc>
          <w:tcPr>
            <w:tcW w:w="385" w:type="dxa"/>
            <w:tcBorders>
              <w:top w:val="nil"/>
              <w:left w:val="nil"/>
              <w:bottom w:val="single" w:sz="4" w:space="0" w:color="auto"/>
              <w:right w:val="single" w:sz="12" w:space="0" w:color="auto"/>
            </w:tcBorders>
            <w:noWrap/>
            <w:vAlign w:val="bottom"/>
            <w:hideMark/>
          </w:tcPr>
          <w:p w:rsidR="00AA0467" w:rsidRDefault="00AA0467">
            <w:pPr>
              <w:jc w:val="center"/>
            </w:pPr>
            <w:r>
              <w:t>20</w:t>
            </w:r>
          </w:p>
        </w:tc>
        <w:tc>
          <w:tcPr>
            <w:tcW w:w="1720" w:type="dxa"/>
            <w:tcBorders>
              <w:top w:val="nil"/>
              <w:left w:val="nil"/>
              <w:bottom w:val="single" w:sz="4" w:space="0" w:color="auto"/>
              <w:right w:val="single" w:sz="12" w:space="0" w:color="auto"/>
            </w:tcBorders>
            <w:noWrap/>
            <w:vAlign w:val="bottom"/>
            <w:hideMark/>
          </w:tcPr>
          <w:p w:rsidR="00AA0467" w:rsidRDefault="00AA0467">
            <w:pPr>
              <w:jc w:val="center"/>
              <w:rPr>
                <w:color w:val="000000"/>
              </w:rPr>
            </w:pPr>
            <w:r>
              <w:rPr>
                <w:color w:val="000000"/>
              </w:rPr>
              <w:t>3,64</w:t>
            </w:r>
          </w:p>
        </w:tc>
      </w:tr>
      <w:tr w:rsidR="00AA0467" w:rsidTr="00AA0467">
        <w:trPr>
          <w:trHeight w:val="315"/>
        </w:trPr>
        <w:tc>
          <w:tcPr>
            <w:tcW w:w="1540" w:type="dxa"/>
            <w:tcBorders>
              <w:top w:val="nil"/>
              <w:left w:val="single" w:sz="12" w:space="0" w:color="auto"/>
              <w:bottom w:val="single" w:sz="4" w:space="0" w:color="auto"/>
              <w:right w:val="single" w:sz="12" w:space="0" w:color="auto"/>
            </w:tcBorders>
            <w:noWrap/>
            <w:vAlign w:val="bottom"/>
            <w:hideMark/>
          </w:tcPr>
          <w:p w:rsidR="00AA0467" w:rsidRDefault="00AA0467">
            <w:pPr>
              <w:jc w:val="center"/>
              <w:rPr>
                <w:b/>
                <w:bCs/>
              </w:rPr>
            </w:pPr>
            <w:r>
              <w:rPr>
                <w:b/>
                <w:bCs/>
              </w:rPr>
              <w:t xml:space="preserve">k </w:t>
            </w:r>
            <w:proofErr w:type="gramStart"/>
            <w:r>
              <w:rPr>
                <w:b/>
                <w:bCs/>
              </w:rPr>
              <w:t>31.12.2014</w:t>
            </w:r>
            <w:proofErr w:type="gramEnd"/>
          </w:p>
        </w:tc>
        <w:tc>
          <w:tcPr>
            <w:tcW w:w="1560" w:type="dxa"/>
            <w:tcBorders>
              <w:top w:val="nil"/>
              <w:left w:val="nil"/>
              <w:bottom w:val="single" w:sz="4" w:space="0" w:color="auto"/>
              <w:right w:val="single" w:sz="12" w:space="0" w:color="auto"/>
            </w:tcBorders>
            <w:noWrap/>
            <w:vAlign w:val="bottom"/>
            <w:hideMark/>
          </w:tcPr>
          <w:p w:rsidR="00AA0467" w:rsidRDefault="00AA0467">
            <w:pPr>
              <w:jc w:val="center"/>
              <w:rPr>
                <w:b/>
                <w:bCs/>
              </w:rPr>
            </w:pPr>
            <w:r>
              <w:rPr>
                <w:b/>
                <w:bCs/>
              </w:rPr>
              <w:t>658</w:t>
            </w:r>
          </w:p>
        </w:tc>
        <w:tc>
          <w:tcPr>
            <w:tcW w:w="386" w:type="dxa"/>
            <w:tcBorders>
              <w:top w:val="nil"/>
              <w:left w:val="nil"/>
              <w:bottom w:val="single" w:sz="4" w:space="0" w:color="auto"/>
              <w:right w:val="single" w:sz="12" w:space="0" w:color="auto"/>
            </w:tcBorders>
            <w:noWrap/>
            <w:vAlign w:val="bottom"/>
            <w:hideMark/>
          </w:tcPr>
          <w:p w:rsidR="00AA0467" w:rsidRDefault="00AA0467">
            <w:pPr>
              <w:jc w:val="center"/>
            </w:pPr>
            <w:r>
              <w:t>74</w:t>
            </w:r>
          </w:p>
        </w:tc>
        <w:tc>
          <w:tcPr>
            <w:tcW w:w="386" w:type="dxa"/>
            <w:tcBorders>
              <w:top w:val="nil"/>
              <w:left w:val="nil"/>
              <w:bottom w:val="single" w:sz="4" w:space="0" w:color="auto"/>
              <w:right w:val="single" w:sz="12" w:space="0" w:color="auto"/>
            </w:tcBorders>
            <w:noWrap/>
            <w:vAlign w:val="bottom"/>
            <w:hideMark/>
          </w:tcPr>
          <w:p w:rsidR="00AA0467" w:rsidRDefault="00AA0467">
            <w:pPr>
              <w:jc w:val="center"/>
            </w:pPr>
            <w:r>
              <w:t>91</w:t>
            </w:r>
          </w:p>
        </w:tc>
        <w:tc>
          <w:tcPr>
            <w:tcW w:w="560" w:type="dxa"/>
            <w:tcBorders>
              <w:top w:val="nil"/>
              <w:left w:val="nil"/>
              <w:bottom w:val="single" w:sz="4" w:space="0" w:color="auto"/>
              <w:right w:val="single" w:sz="12" w:space="0" w:color="auto"/>
            </w:tcBorders>
            <w:noWrap/>
            <w:vAlign w:val="bottom"/>
            <w:hideMark/>
          </w:tcPr>
          <w:p w:rsidR="00AA0467" w:rsidRDefault="00AA0467">
            <w:pPr>
              <w:jc w:val="center"/>
            </w:pPr>
            <w:r>
              <w:t>115</w:t>
            </w:r>
          </w:p>
        </w:tc>
        <w:tc>
          <w:tcPr>
            <w:tcW w:w="559" w:type="dxa"/>
            <w:tcBorders>
              <w:top w:val="nil"/>
              <w:left w:val="nil"/>
              <w:bottom w:val="single" w:sz="4" w:space="0" w:color="auto"/>
              <w:right w:val="single" w:sz="12" w:space="0" w:color="auto"/>
            </w:tcBorders>
            <w:noWrap/>
            <w:vAlign w:val="bottom"/>
            <w:hideMark/>
          </w:tcPr>
          <w:p w:rsidR="00AA0467" w:rsidRDefault="00AA0467">
            <w:pPr>
              <w:jc w:val="center"/>
            </w:pPr>
            <w:r>
              <w:t>155</w:t>
            </w:r>
          </w:p>
        </w:tc>
        <w:tc>
          <w:tcPr>
            <w:tcW w:w="559" w:type="dxa"/>
            <w:tcBorders>
              <w:top w:val="nil"/>
              <w:left w:val="nil"/>
              <w:bottom w:val="single" w:sz="4" w:space="0" w:color="auto"/>
              <w:right w:val="single" w:sz="12" w:space="0" w:color="auto"/>
            </w:tcBorders>
            <w:noWrap/>
            <w:vAlign w:val="bottom"/>
            <w:hideMark/>
          </w:tcPr>
          <w:p w:rsidR="00AA0467" w:rsidRDefault="00AA0467">
            <w:pPr>
              <w:jc w:val="center"/>
            </w:pPr>
            <w:r>
              <w:t>152</w:t>
            </w:r>
          </w:p>
        </w:tc>
        <w:tc>
          <w:tcPr>
            <w:tcW w:w="385" w:type="dxa"/>
            <w:tcBorders>
              <w:top w:val="nil"/>
              <w:left w:val="nil"/>
              <w:bottom w:val="single" w:sz="4" w:space="0" w:color="auto"/>
              <w:right w:val="single" w:sz="12" w:space="0" w:color="auto"/>
            </w:tcBorders>
            <w:noWrap/>
            <w:vAlign w:val="bottom"/>
            <w:hideMark/>
          </w:tcPr>
          <w:p w:rsidR="00AA0467" w:rsidRDefault="00AA0467">
            <w:pPr>
              <w:jc w:val="center"/>
            </w:pPr>
            <w:r>
              <w:t>50</w:t>
            </w:r>
          </w:p>
        </w:tc>
        <w:tc>
          <w:tcPr>
            <w:tcW w:w="385" w:type="dxa"/>
            <w:tcBorders>
              <w:top w:val="nil"/>
              <w:left w:val="nil"/>
              <w:bottom w:val="single" w:sz="4" w:space="0" w:color="auto"/>
              <w:right w:val="single" w:sz="12" w:space="0" w:color="auto"/>
            </w:tcBorders>
            <w:noWrap/>
            <w:vAlign w:val="bottom"/>
            <w:hideMark/>
          </w:tcPr>
          <w:p w:rsidR="00AA0467" w:rsidRDefault="00AA0467">
            <w:pPr>
              <w:jc w:val="center"/>
            </w:pPr>
            <w:r>
              <w:t>21</w:t>
            </w:r>
          </w:p>
        </w:tc>
        <w:tc>
          <w:tcPr>
            <w:tcW w:w="1720" w:type="dxa"/>
            <w:tcBorders>
              <w:top w:val="nil"/>
              <w:left w:val="nil"/>
              <w:bottom w:val="single" w:sz="4" w:space="0" w:color="auto"/>
              <w:right w:val="single" w:sz="12" w:space="0" w:color="auto"/>
            </w:tcBorders>
            <w:noWrap/>
            <w:vAlign w:val="bottom"/>
            <w:hideMark/>
          </w:tcPr>
          <w:p w:rsidR="00AA0467" w:rsidRDefault="00AA0467">
            <w:pPr>
              <w:jc w:val="center"/>
              <w:rPr>
                <w:color w:val="000000"/>
              </w:rPr>
            </w:pPr>
            <w:r>
              <w:rPr>
                <w:color w:val="000000"/>
              </w:rPr>
              <w:t>3,69</w:t>
            </w:r>
          </w:p>
        </w:tc>
      </w:tr>
      <w:tr w:rsidR="00AA0467" w:rsidTr="00AA0467">
        <w:trPr>
          <w:trHeight w:val="330"/>
        </w:trPr>
        <w:tc>
          <w:tcPr>
            <w:tcW w:w="1540" w:type="dxa"/>
            <w:tcBorders>
              <w:top w:val="nil"/>
              <w:left w:val="single" w:sz="12" w:space="0" w:color="auto"/>
              <w:bottom w:val="single" w:sz="12" w:space="0" w:color="auto"/>
              <w:right w:val="single" w:sz="12" w:space="0" w:color="auto"/>
            </w:tcBorders>
            <w:noWrap/>
            <w:vAlign w:val="bottom"/>
            <w:hideMark/>
          </w:tcPr>
          <w:p w:rsidR="00AA0467" w:rsidRDefault="00AA0467">
            <w:pPr>
              <w:jc w:val="center"/>
              <w:rPr>
                <w:b/>
                <w:bCs/>
              </w:rPr>
            </w:pPr>
            <w:r>
              <w:rPr>
                <w:b/>
                <w:bCs/>
              </w:rPr>
              <w:t xml:space="preserve">k </w:t>
            </w:r>
            <w:proofErr w:type="gramStart"/>
            <w:r>
              <w:rPr>
                <w:b/>
                <w:bCs/>
              </w:rPr>
              <w:t>31.12.2015</w:t>
            </w:r>
            <w:proofErr w:type="gramEnd"/>
          </w:p>
        </w:tc>
        <w:tc>
          <w:tcPr>
            <w:tcW w:w="1560" w:type="dxa"/>
            <w:tcBorders>
              <w:top w:val="nil"/>
              <w:left w:val="nil"/>
              <w:bottom w:val="single" w:sz="12" w:space="0" w:color="auto"/>
              <w:right w:val="single" w:sz="12" w:space="0" w:color="auto"/>
            </w:tcBorders>
            <w:noWrap/>
            <w:vAlign w:val="bottom"/>
            <w:hideMark/>
          </w:tcPr>
          <w:p w:rsidR="00AA0467" w:rsidRDefault="00AA0467">
            <w:pPr>
              <w:jc w:val="center"/>
              <w:rPr>
                <w:b/>
                <w:bCs/>
              </w:rPr>
            </w:pPr>
            <w:r>
              <w:rPr>
                <w:b/>
                <w:bCs/>
              </w:rPr>
              <w:t>653</w:t>
            </w:r>
          </w:p>
        </w:tc>
        <w:tc>
          <w:tcPr>
            <w:tcW w:w="386" w:type="dxa"/>
            <w:tcBorders>
              <w:top w:val="nil"/>
              <w:left w:val="nil"/>
              <w:bottom w:val="single" w:sz="12" w:space="0" w:color="auto"/>
              <w:right w:val="single" w:sz="12" w:space="0" w:color="auto"/>
            </w:tcBorders>
            <w:noWrap/>
            <w:vAlign w:val="bottom"/>
            <w:hideMark/>
          </w:tcPr>
          <w:p w:rsidR="00AA0467" w:rsidRDefault="00AA0467">
            <w:pPr>
              <w:jc w:val="center"/>
            </w:pPr>
            <w:r>
              <w:t>83</w:t>
            </w:r>
          </w:p>
        </w:tc>
        <w:tc>
          <w:tcPr>
            <w:tcW w:w="386" w:type="dxa"/>
            <w:tcBorders>
              <w:top w:val="nil"/>
              <w:left w:val="nil"/>
              <w:bottom w:val="single" w:sz="12" w:space="0" w:color="auto"/>
              <w:right w:val="single" w:sz="12" w:space="0" w:color="auto"/>
            </w:tcBorders>
            <w:noWrap/>
            <w:vAlign w:val="bottom"/>
            <w:hideMark/>
          </w:tcPr>
          <w:p w:rsidR="00AA0467" w:rsidRDefault="00AA0467">
            <w:pPr>
              <w:jc w:val="center"/>
            </w:pPr>
            <w:r>
              <w:t>94</w:t>
            </w:r>
          </w:p>
        </w:tc>
        <w:tc>
          <w:tcPr>
            <w:tcW w:w="560" w:type="dxa"/>
            <w:tcBorders>
              <w:top w:val="nil"/>
              <w:left w:val="nil"/>
              <w:bottom w:val="single" w:sz="12" w:space="0" w:color="auto"/>
              <w:right w:val="single" w:sz="12" w:space="0" w:color="auto"/>
            </w:tcBorders>
            <w:noWrap/>
            <w:vAlign w:val="bottom"/>
            <w:hideMark/>
          </w:tcPr>
          <w:p w:rsidR="00AA0467" w:rsidRDefault="00AA0467">
            <w:pPr>
              <w:jc w:val="center"/>
            </w:pPr>
            <w:r>
              <w:t>104</w:t>
            </w:r>
          </w:p>
        </w:tc>
        <w:tc>
          <w:tcPr>
            <w:tcW w:w="559" w:type="dxa"/>
            <w:tcBorders>
              <w:top w:val="nil"/>
              <w:left w:val="nil"/>
              <w:bottom w:val="single" w:sz="12" w:space="0" w:color="auto"/>
              <w:right w:val="single" w:sz="12" w:space="0" w:color="auto"/>
            </w:tcBorders>
            <w:noWrap/>
            <w:vAlign w:val="bottom"/>
            <w:hideMark/>
          </w:tcPr>
          <w:p w:rsidR="00AA0467" w:rsidRDefault="00AA0467">
            <w:pPr>
              <w:jc w:val="center"/>
            </w:pPr>
            <w:r>
              <w:t>158</w:t>
            </w:r>
          </w:p>
        </w:tc>
        <w:tc>
          <w:tcPr>
            <w:tcW w:w="559" w:type="dxa"/>
            <w:tcBorders>
              <w:top w:val="nil"/>
              <w:left w:val="nil"/>
              <w:bottom w:val="single" w:sz="12" w:space="0" w:color="auto"/>
              <w:right w:val="single" w:sz="12" w:space="0" w:color="auto"/>
            </w:tcBorders>
            <w:noWrap/>
            <w:vAlign w:val="bottom"/>
            <w:hideMark/>
          </w:tcPr>
          <w:p w:rsidR="00AA0467" w:rsidRDefault="00AA0467">
            <w:pPr>
              <w:jc w:val="center"/>
            </w:pPr>
            <w:r>
              <w:t>142</w:t>
            </w:r>
          </w:p>
        </w:tc>
        <w:tc>
          <w:tcPr>
            <w:tcW w:w="385" w:type="dxa"/>
            <w:tcBorders>
              <w:top w:val="nil"/>
              <w:left w:val="nil"/>
              <w:bottom w:val="single" w:sz="12" w:space="0" w:color="auto"/>
              <w:right w:val="single" w:sz="12" w:space="0" w:color="auto"/>
            </w:tcBorders>
            <w:noWrap/>
            <w:vAlign w:val="bottom"/>
            <w:hideMark/>
          </w:tcPr>
          <w:p w:rsidR="00AA0467" w:rsidRDefault="00AA0467">
            <w:pPr>
              <w:jc w:val="center"/>
            </w:pPr>
            <w:r>
              <w:t>53</w:t>
            </w:r>
          </w:p>
        </w:tc>
        <w:tc>
          <w:tcPr>
            <w:tcW w:w="385" w:type="dxa"/>
            <w:tcBorders>
              <w:top w:val="nil"/>
              <w:left w:val="nil"/>
              <w:bottom w:val="single" w:sz="12" w:space="0" w:color="auto"/>
              <w:right w:val="single" w:sz="12" w:space="0" w:color="auto"/>
            </w:tcBorders>
            <w:noWrap/>
            <w:vAlign w:val="bottom"/>
            <w:hideMark/>
          </w:tcPr>
          <w:p w:rsidR="00AA0467" w:rsidRDefault="00AA0467">
            <w:pPr>
              <w:jc w:val="center"/>
            </w:pPr>
            <w:r>
              <w:t>19</w:t>
            </w:r>
          </w:p>
        </w:tc>
        <w:tc>
          <w:tcPr>
            <w:tcW w:w="1720" w:type="dxa"/>
            <w:tcBorders>
              <w:top w:val="nil"/>
              <w:left w:val="nil"/>
              <w:bottom w:val="single" w:sz="12" w:space="0" w:color="auto"/>
              <w:right w:val="single" w:sz="12" w:space="0" w:color="auto"/>
            </w:tcBorders>
            <w:noWrap/>
            <w:vAlign w:val="bottom"/>
            <w:hideMark/>
          </w:tcPr>
          <w:p w:rsidR="00AA0467" w:rsidRDefault="00AA0467">
            <w:pPr>
              <w:jc w:val="center"/>
              <w:rPr>
                <w:color w:val="000000"/>
              </w:rPr>
            </w:pPr>
            <w:r>
              <w:rPr>
                <w:color w:val="000000"/>
              </w:rPr>
              <w:t>3,64</w:t>
            </w:r>
          </w:p>
        </w:tc>
      </w:tr>
    </w:tbl>
    <w:p w:rsidR="00AA0467" w:rsidRDefault="00AA0467" w:rsidP="00AA0467">
      <w:pPr>
        <w:spacing w:before="120"/>
        <w:jc w:val="both"/>
      </w:pPr>
    </w:p>
    <w:p w:rsidR="00AA0467" w:rsidRDefault="00AA0467" w:rsidP="00AA0467">
      <w:pPr>
        <w:spacing w:before="120"/>
        <w:jc w:val="both"/>
      </w:pPr>
      <w:r>
        <w:t xml:space="preserve">Z analýzy vyplývá, že kompletní obnova vozovek silnic II. a III. třídy se zahrnutím cyklických oprav v rámci 10 ti letého plánu a včetně nutné údržby k zajištění bezpečnosti </w:t>
      </w:r>
      <w:r>
        <w:rPr>
          <w:b/>
        </w:rPr>
        <w:t>provozu činí 3,3 mld. Kč.</w:t>
      </w:r>
      <w:r>
        <w:t xml:space="preserve"> Uvedené částky a výsledky zpracovávají pouze náklady na vozovky pozemních komunikací, nezahrnují tedy náklady na opravy mostů, propustků, zdí, dopravního značení, případně náklady na diagnostiky vozovek a projekční práce. </w:t>
      </w:r>
      <w:r>
        <w:rPr>
          <w:b/>
        </w:rPr>
        <w:t xml:space="preserve">Při porovnání finanční analýzy z předešlého roku vyplývá, že došlo ke snížení deficitu o 0,4 mld. Kč. </w:t>
      </w:r>
      <w:r>
        <w:t xml:space="preserve"> </w:t>
      </w:r>
    </w:p>
    <w:p w:rsidR="00AA0467" w:rsidRDefault="00AA0467" w:rsidP="00AA0467">
      <w:pPr>
        <w:pStyle w:val="Normln12"/>
        <w:ind w:firstLine="0"/>
      </w:pPr>
      <w:r>
        <w:t xml:space="preserve">V příloze materiálu jsou v mapě znázorněny úseky silnic, na kterých byla v roce 2015 provedena výměna povrchu vozovky. </w:t>
      </w:r>
      <w:r>
        <w:rPr>
          <w:b/>
        </w:rPr>
        <w:t>V roce 2015 byla provedena celoplošná oprava vozovek na silnicích II. a III. třídy v rozsahu 79,409 km</w:t>
      </w:r>
      <w:r>
        <w:t xml:space="preserve">, z toho 12,453 km bylo v rámci akcí z MMR, 27,262 km v rámci akcí z Regionálního operačního programu, 23,282 km v rámci akcí ze Státního fondu dopravní infrastruktury, 7,075 km v rámci akce Rozšíření průmyslové zóny ve Vrchlabí a 9,337 km v rámci oprav jiných subjektů při zásahách do krajských komunikací. </w:t>
      </w:r>
    </w:p>
    <w:p w:rsidR="00AA0467" w:rsidRDefault="00AA0467" w:rsidP="00AA0467">
      <w:pPr>
        <w:pStyle w:val="Normln12"/>
        <w:ind w:firstLine="0"/>
        <w:rPr>
          <w:b/>
        </w:rPr>
      </w:pPr>
      <w:r>
        <w:t>V příloze materiálu je uvedena i tabulka, ve které jsou uvedeny prostředky alokované v jednotlivých letech do údržby silnic, investiční a neinvestiční prostředky na opravy a rekonstrukce silnic ve vlastnictví kraje v letech.</w:t>
      </w:r>
    </w:p>
    <w:p w:rsidR="00AA0467" w:rsidRDefault="00AA0467" w:rsidP="00AA0467">
      <w:pPr>
        <w:spacing w:before="120"/>
        <w:jc w:val="both"/>
        <w:rPr>
          <w:b/>
        </w:rPr>
      </w:pPr>
      <w:r>
        <w:rPr>
          <w:b/>
        </w:rPr>
        <w:t>Přílohy:</w:t>
      </w:r>
    </w:p>
    <w:p w:rsidR="00AA0467" w:rsidRDefault="00AA0467" w:rsidP="00AA0467">
      <w:pPr>
        <w:numPr>
          <w:ilvl w:val="0"/>
          <w:numId w:val="5"/>
        </w:numPr>
        <w:spacing w:before="120"/>
        <w:jc w:val="both"/>
      </w:pPr>
      <w:r>
        <w:t>Zpráva o stavu povrchu vozovek na silnicích II. a III. třídy v Libereckém kraji k 3</w:t>
      </w:r>
      <w:r>
        <w:rPr>
          <w:lang w:val="en-US"/>
        </w:rPr>
        <w:t>1</w:t>
      </w:r>
      <w:r>
        <w:t>. 12. 2015 - pouze elektronicky na CD,</w:t>
      </w:r>
    </w:p>
    <w:p w:rsidR="00AA0467" w:rsidRDefault="00AA0467" w:rsidP="00AA0467">
      <w:pPr>
        <w:numPr>
          <w:ilvl w:val="0"/>
          <w:numId w:val="5"/>
        </w:numPr>
        <w:spacing w:before="120"/>
        <w:jc w:val="both"/>
      </w:pPr>
      <w:r>
        <w:t xml:space="preserve">Mapa silniční sítě s rozdělením stavu povrchů vozovek silnic II. a III. třídy, včetně opravených úseků v roce 2015 </w:t>
      </w:r>
    </w:p>
    <w:p w:rsidR="00AA0467" w:rsidRDefault="00AA0467" w:rsidP="00AA0467">
      <w:pPr>
        <w:numPr>
          <w:ilvl w:val="0"/>
          <w:numId w:val="5"/>
        </w:numPr>
        <w:spacing w:before="120"/>
        <w:jc w:val="both"/>
      </w:pPr>
      <w:r>
        <w:t xml:space="preserve">Alokované prostředky do silnic </w:t>
      </w:r>
    </w:p>
    <w:p w:rsidR="000056BE" w:rsidRDefault="000056BE" w:rsidP="00771434">
      <w:pPr>
        <w:spacing w:before="120"/>
      </w:pPr>
    </w:p>
    <w:sectPr w:rsidR="00005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nsid w:val="37C66795"/>
    <w:multiLevelType w:val="hybridMultilevel"/>
    <w:tmpl w:val="DEDE9AD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8C"/>
    <w:rsid w:val="000056BE"/>
    <w:rsid w:val="0001160F"/>
    <w:rsid w:val="000313ED"/>
    <w:rsid w:val="00076D30"/>
    <w:rsid w:val="00180CD5"/>
    <w:rsid w:val="0026548C"/>
    <w:rsid w:val="003D02EF"/>
    <w:rsid w:val="006A2792"/>
    <w:rsid w:val="00771434"/>
    <w:rsid w:val="008B196C"/>
    <w:rsid w:val="00934306"/>
    <w:rsid w:val="00977273"/>
    <w:rsid w:val="00AA0467"/>
    <w:rsid w:val="00DA7266"/>
    <w:rsid w:val="00E548C8"/>
    <w:rsid w:val="00E920CE"/>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kladntext3">
    <w:name w:val="Body Text 3"/>
    <w:basedOn w:val="Normln"/>
    <w:link w:val="Zkladntext3Char"/>
    <w:semiHidden/>
    <w:unhideWhenUsed/>
    <w:rsid w:val="00AA0467"/>
    <w:pPr>
      <w:spacing w:after="120"/>
    </w:pPr>
    <w:rPr>
      <w:sz w:val="16"/>
      <w:szCs w:val="16"/>
    </w:rPr>
  </w:style>
  <w:style w:type="character" w:customStyle="1" w:styleId="Zkladntext3Char">
    <w:name w:val="Základní text 3 Char"/>
    <w:basedOn w:val="Standardnpsmoodstavce"/>
    <w:link w:val="Zkladntext3"/>
    <w:semiHidden/>
    <w:rsid w:val="00AA0467"/>
    <w:rPr>
      <w:rFonts w:ascii="Times New Roman" w:eastAsia="Times New Roman" w:hAnsi="Times New Roman" w:cs="Times New Roman"/>
      <w:sz w:val="16"/>
      <w:szCs w:val="16"/>
      <w:lang w:eastAsia="cs-CZ"/>
    </w:rPr>
  </w:style>
  <w:style w:type="paragraph" w:customStyle="1" w:styleId="Normln12">
    <w:name w:val="Normální 12"/>
    <w:basedOn w:val="Normln"/>
    <w:rsid w:val="00AA0467"/>
    <w:pPr>
      <w:spacing w:before="120"/>
      <w:ind w:firstLine="709"/>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kladntext3">
    <w:name w:val="Body Text 3"/>
    <w:basedOn w:val="Normln"/>
    <w:link w:val="Zkladntext3Char"/>
    <w:semiHidden/>
    <w:unhideWhenUsed/>
    <w:rsid w:val="00AA0467"/>
    <w:pPr>
      <w:spacing w:after="120"/>
    </w:pPr>
    <w:rPr>
      <w:sz w:val="16"/>
      <w:szCs w:val="16"/>
    </w:rPr>
  </w:style>
  <w:style w:type="character" w:customStyle="1" w:styleId="Zkladntext3Char">
    <w:name w:val="Základní text 3 Char"/>
    <w:basedOn w:val="Standardnpsmoodstavce"/>
    <w:link w:val="Zkladntext3"/>
    <w:semiHidden/>
    <w:rsid w:val="00AA0467"/>
    <w:rPr>
      <w:rFonts w:ascii="Times New Roman" w:eastAsia="Times New Roman" w:hAnsi="Times New Roman" w:cs="Times New Roman"/>
      <w:sz w:val="16"/>
      <w:szCs w:val="16"/>
      <w:lang w:eastAsia="cs-CZ"/>
    </w:rPr>
  </w:style>
  <w:style w:type="paragraph" w:customStyle="1" w:styleId="Normln12">
    <w:name w:val="Normální 12"/>
    <w:basedOn w:val="Normln"/>
    <w:rsid w:val="00AA0467"/>
    <w:pPr>
      <w:spacing w:before="120"/>
      <w:ind w:firstLine="709"/>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8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888</Words>
  <Characters>5241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Jezkova Zuzana</cp:lastModifiedBy>
  <cp:revision>11</cp:revision>
  <cp:lastPrinted>2016-02-05T07:11:00Z</cp:lastPrinted>
  <dcterms:created xsi:type="dcterms:W3CDTF">2016-01-04T12:57:00Z</dcterms:created>
  <dcterms:modified xsi:type="dcterms:W3CDTF">2016-02-05T07:11:00Z</dcterms:modified>
</cp:coreProperties>
</file>