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E3" w:rsidRDefault="00441FE3" w:rsidP="00441FE3">
      <w:pPr>
        <w:pStyle w:val="Zhlav"/>
        <w:tabs>
          <w:tab w:val="clear" w:pos="4536"/>
          <w:tab w:val="clear" w:pos="9072"/>
        </w:tabs>
        <w:jc w:val="center"/>
        <w:rPr>
          <w:b/>
          <w:sz w:val="28"/>
          <w:szCs w:val="28"/>
        </w:rPr>
      </w:pPr>
    </w:p>
    <w:p w:rsidR="00441FE3" w:rsidRPr="00762254" w:rsidRDefault="00441FE3" w:rsidP="00441FE3">
      <w:pPr>
        <w:pStyle w:val="Zhlav"/>
        <w:tabs>
          <w:tab w:val="clear" w:pos="4536"/>
          <w:tab w:val="clear" w:pos="9072"/>
        </w:tabs>
        <w:jc w:val="center"/>
        <w:rPr>
          <w:b/>
          <w:sz w:val="28"/>
          <w:szCs w:val="28"/>
        </w:rPr>
      </w:pPr>
      <w:r w:rsidRPr="00762254">
        <w:rPr>
          <w:b/>
          <w:sz w:val="28"/>
          <w:szCs w:val="28"/>
        </w:rPr>
        <w:t>PÍSEMNÁ INFORMACE</w:t>
      </w:r>
    </w:p>
    <w:p w:rsidR="00441FE3" w:rsidRPr="002D626D" w:rsidRDefault="00441FE3" w:rsidP="00441FE3">
      <w:pPr>
        <w:pStyle w:val="Nzev"/>
        <w:pBdr>
          <w:bottom w:val="single" w:sz="4" w:space="1" w:color="auto"/>
        </w:pBdr>
        <w:rPr>
          <w:sz w:val="28"/>
          <w:szCs w:val="28"/>
        </w:rPr>
      </w:pPr>
      <w:r w:rsidRPr="009E7A09">
        <w:rPr>
          <w:sz w:val="28"/>
          <w:szCs w:val="28"/>
        </w:rPr>
        <w:t xml:space="preserve">pro </w:t>
      </w:r>
      <w:r>
        <w:rPr>
          <w:sz w:val="28"/>
          <w:szCs w:val="28"/>
        </w:rPr>
        <w:t>2</w:t>
      </w:r>
      <w:r w:rsidRPr="009E7A09">
        <w:rPr>
          <w:sz w:val="28"/>
          <w:szCs w:val="28"/>
        </w:rPr>
        <w:t xml:space="preserve">. zasedání Zastupitelstva </w:t>
      </w:r>
      <w:r>
        <w:rPr>
          <w:sz w:val="28"/>
          <w:szCs w:val="28"/>
        </w:rPr>
        <w:t xml:space="preserve">Libereckého </w:t>
      </w:r>
      <w:r w:rsidRPr="009E7A09">
        <w:rPr>
          <w:sz w:val="28"/>
          <w:szCs w:val="28"/>
        </w:rPr>
        <w:t>kraje dne 2</w:t>
      </w:r>
      <w:r>
        <w:rPr>
          <w:sz w:val="28"/>
          <w:szCs w:val="28"/>
        </w:rPr>
        <w:t>3</w:t>
      </w:r>
      <w:r w:rsidRPr="009E7A09">
        <w:rPr>
          <w:sz w:val="28"/>
          <w:szCs w:val="28"/>
        </w:rPr>
        <w:t xml:space="preserve">. </w:t>
      </w:r>
      <w:r>
        <w:rPr>
          <w:sz w:val="28"/>
          <w:szCs w:val="28"/>
        </w:rPr>
        <w:t>2</w:t>
      </w:r>
      <w:r w:rsidRPr="009E7A09">
        <w:rPr>
          <w:sz w:val="28"/>
          <w:szCs w:val="28"/>
        </w:rPr>
        <w:t>. 201</w:t>
      </w:r>
      <w:r>
        <w:rPr>
          <w:sz w:val="28"/>
          <w:szCs w:val="28"/>
        </w:rPr>
        <w:t>6</w:t>
      </w:r>
    </w:p>
    <w:p w:rsidR="00441FE3" w:rsidRDefault="00441FE3" w:rsidP="00441FE3">
      <w:pPr>
        <w:spacing w:before="2640" w:after="2640"/>
        <w:jc w:val="center"/>
        <w:rPr>
          <w:b/>
          <w:sz w:val="28"/>
          <w:szCs w:val="28"/>
        </w:rPr>
      </w:pPr>
      <w:bookmarkStart w:id="0" w:name="Text37"/>
      <w:r>
        <w:rPr>
          <w:b/>
          <w:sz w:val="28"/>
          <w:szCs w:val="28"/>
        </w:rPr>
        <w:t xml:space="preserve">50 </w:t>
      </w:r>
      <w:r w:rsidR="008854C3">
        <w:rPr>
          <w:b/>
          <w:sz w:val="28"/>
          <w:szCs w:val="28"/>
        </w:rPr>
        <w:t>k</w:t>
      </w:r>
      <w:r>
        <w:rPr>
          <w:b/>
          <w:sz w:val="28"/>
          <w:szCs w:val="28"/>
        </w:rPr>
        <w:t>)</w:t>
      </w:r>
    </w:p>
    <w:bookmarkEnd w:id="0"/>
    <w:p w:rsidR="00441FE3" w:rsidRPr="00993639" w:rsidRDefault="001D6B01" w:rsidP="00441FE3">
      <w:pPr>
        <w:spacing w:before="2640" w:after="2640"/>
        <w:jc w:val="center"/>
        <w:rPr>
          <w:b/>
          <w:sz w:val="28"/>
          <w:szCs w:val="28"/>
        </w:rPr>
      </w:pPr>
      <w:r w:rsidRPr="001D6B01">
        <w:rPr>
          <w:b/>
          <w:sz w:val="28"/>
          <w:szCs w:val="28"/>
        </w:rPr>
        <w:t>Výroční zpráva o poskytování informací podle zákona č. 106/1999 Sb., o svobodném přístupu k informacím, v platném znění</w:t>
      </w:r>
    </w:p>
    <w:tbl>
      <w:tblPr>
        <w:tblpPr w:leftFromText="141" w:rightFromText="141" w:vertAnchor="text" w:horzAnchor="margin" w:tblpY="162"/>
        <w:tblW w:w="0" w:type="auto"/>
        <w:tblLayout w:type="fixed"/>
        <w:tblCellMar>
          <w:left w:w="70" w:type="dxa"/>
          <w:right w:w="70" w:type="dxa"/>
        </w:tblCellMar>
        <w:tblLook w:val="0000" w:firstRow="0" w:lastRow="0" w:firstColumn="0" w:lastColumn="0" w:noHBand="0" w:noVBand="0"/>
      </w:tblPr>
      <w:tblGrid>
        <w:gridCol w:w="2050"/>
        <w:gridCol w:w="7160"/>
      </w:tblGrid>
      <w:tr w:rsidR="00441FE3" w:rsidTr="00BD361D">
        <w:tc>
          <w:tcPr>
            <w:tcW w:w="2050" w:type="dxa"/>
            <w:shd w:val="clear" w:color="auto" w:fill="auto"/>
          </w:tcPr>
          <w:p w:rsidR="00441FE3" w:rsidRDefault="00441FE3" w:rsidP="00BD361D">
            <w:pPr>
              <w:spacing w:after="100" w:afterAutospacing="1"/>
            </w:pPr>
          </w:p>
          <w:p w:rsidR="00441FE3" w:rsidRDefault="00441FE3" w:rsidP="00BD361D">
            <w:pPr>
              <w:spacing w:after="100" w:afterAutospacing="1"/>
            </w:pPr>
            <w:r>
              <w:t>Důvod předložení:</w:t>
            </w:r>
          </w:p>
        </w:tc>
        <w:tc>
          <w:tcPr>
            <w:tcW w:w="7160" w:type="dxa"/>
            <w:shd w:val="clear" w:color="auto" w:fill="auto"/>
          </w:tcPr>
          <w:p w:rsidR="00441FE3" w:rsidRDefault="00441FE3" w:rsidP="00BD361D">
            <w:pPr>
              <w:pStyle w:val="Zhlav"/>
              <w:tabs>
                <w:tab w:val="left" w:pos="708"/>
              </w:tabs>
              <w:spacing w:after="100" w:afterAutospacing="1"/>
            </w:pPr>
          </w:p>
          <w:p w:rsidR="00441FE3" w:rsidRDefault="00441FE3" w:rsidP="00BD361D">
            <w:pPr>
              <w:pStyle w:val="Zhlav"/>
              <w:tabs>
                <w:tab w:val="left" w:pos="708"/>
              </w:tabs>
              <w:spacing w:after="100" w:afterAutospacing="1"/>
            </w:pPr>
            <w:r>
              <w:t xml:space="preserve">Usnesení rady kraje č. </w:t>
            </w:r>
            <w:r w:rsidR="009C667D">
              <w:t xml:space="preserve"> </w:t>
            </w:r>
            <w:r w:rsidR="009C667D" w:rsidRPr="009C667D">
              <w:t>213/16/RK</w:t>
            </w:r>
            <w:r w:rsidR="009C667D">
              <w:t xml:space="preserve"> </w:t>
            </w:r>
            <w:r>
              <w:t>ze dne 2. 2. 2016</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441FE3" w:rsidP="00BD361D">
            <w:pPr>
              <w:spacing w:after="100" w:afterAutospacing="1"/>
            </w:pPr>
          </w:p>
        </w:tc>
      </w:tr>
      <w:tr w:rsidR="00441FE3" w:rsidTr="00BD361D">
        <w:tc>
          <w:tcPr>
            <w:tcW w:w="2050" w:type="dxa"/>
            <w:shd w:val="clear" w:color="auto" w:fill="auto"/>
          </w:tcPr>
          <w:p w:rsidR="00441FE3" w:rsidRDefault="00441FE3" w:rsidP="00E1340A">
            <w:pPr>
              <w:spacing w:after="100" w:afterAutospacing="1"/>
            </w:pPr>
            <w:r>
              <w:t>Zpracoval:</w:t>
            </w:r>
          </w:p>
        </w:tc>
        <w:tc>
          <w:tcPr>
            <w:tcW w:w="7160" w:type="dxa"/>
            <w:shd w:val="clear" w:color="auto" w:fill="auto"/>
          </w:tcPr>
          <w:p w:rsidR="00441FE3" w:rsidRDefault="001D6B01" w:rsidP="00BD361D">
            <w:pPr>
              <w:spacing w:after="100" w:afterAutospacing="1"/>
            </w:pPr>
            <w:r>
              <w:t>Mgr. Zdeněk Hluštík</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1D6B01" w:rsidP="001D6B01">
            <w:pPr>
              <w:spacing w:after="100" w:afterAutospacing="1"/>
            </w:pPr>
            <w:r>
              <w:t>Právní odbor</w:t>
            </w:r>
            <w:r w:rsidR="00441FE3">
              <w:t xml:space="preserve"> </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441FE3" w:rsidP="00BD361D">
            <w:pPr>
              <w:spacing w:after="100" w:afterAutospacing="1"/>
            </w:pPr>
          </w:p>
        </w:tc>
      </w:tr>
      <w:tr w:rsidR="00441FE3" w:rsidTr="00BD361D">
        <w:tc>
          <w:tcPr>
            <w:tcW w:w="2050" w:type="dxa"/>
            <w:shd w:val="clear" w:color="auto" w:fill="auto"/>
          </w:tcPr>
          <w:p w:rsidR="00441FE3" w:rsidRDefault="00441FE3" w:rsidP="00BD361D">
            <w:pPr>
              <w:spacing w:after="100" w:afterAutospacing="1"/>
            </w:pPr>
            <w:r>
              <w:t>Předkládá:</w:t>
            </w:r>
          </w:p>
        </w:tc>
        <w:tc>
          <w:tcPr>
            <w:tcW w:w="7160" w:type="dxa"/>
            <w:shd w:val="clear" w:color="auto" w:fill="auto"/>
          </w:tcPr>
          <w:p w:rsidR="00441FE3" w:rsidRDefault="00152275" w:rsidP="00BD361D">
            <w:pPr>
              <w:spacing w:after="100" w:afterAutospacing="1"/>
            </w:pPr>
            <w:r>
              <w:t>Mgr. René Havlík</w:t>
            </w:r>
          </w:p>
        </w:tc>
      </w:tr>
      <w:tr w:rsidR="00441FE3" w:rsidTr="00BD361D">
        <w:tc>
          <w:tcPr>
            <w:tcW w:w="2050" w:type="dxa"/>
            <w:shd w:val="clear" w:color="auto" w:fill="auto"/>
          </w:tcPr>
          <w:p w:rsidR="00441FE3" w:rsidRDefault="00441FE3" w:rsidP="00BD361D">
            <w:pPr>
              <w:spacing w:after="100" w:afterAutospacing="1"/>
            </w:pPr>
          </w:p>
        </w:tc>
        <w:tc>
          <w:tcPr>
            <w:tcW w:w="7160" w:type="dxa"/>
            <w:shd w:val="clear" w:color="auto" w:fill="auto"/>
          </w:tcPr>
          <w:p w:rsidR="00441FE3" w:rsidRDefault="00152275" w:rsidP="00BD361D">
            <w:pPr>
              <w:spacing w:after="100" w:afterAutospacing="1"/>
            </w:pPr>
            <w:r>
              <w:t>ředitel krajského úřadu</w:t>
            </w:r>
          </w:p>
        </w:tc>
      </w:tr>
    </w:tbl>
    <w:p w:rsidR="00441FE3" w:rsidRDefault="00441FE3" w:rsidP="00441FE3"/>
    <w:p w:rsidR="00441FE3" w:rsidRDefault="00441FE3" w:rsidP="00441FE3"/>
    <w:p w:rsidR="00441FE3" w:rsidRDefault="00441FE3" w:rsidP="00441FE3">
      <w:pPr>
        <w:jc w:val="center"/>
        <w:rPr>
          <w:b/>
          <w:sz w:val="32"/>
        </w:rPr>
      </w:pPr>
      <w:r>
        <w:br w:type="page"/>
      </w:r>
      <w:r>
        <w:rPr>
          <w:b/>
          <w:sz w:val="32"/>
        </w:rPr>
        <w:lastRenderedPageBreak/>
        <w:t>Důvodová zpráva</w:t>
      </w:r>
    </w:p>
    <w:p w:rsidR="00B659C3" w:rsidRDefault="00B659C3" w:rsidP="00FF411B">
      <w:pPr>
        <w:jc w:val="both"/>
      </w:pPr>
    </w:p>
    <w:p w:rsidR="00FF411B" w:rsidRDefault="00FF411B" w:rsidP="00FF411B">
      <w:pPr>
        <w:jc w:val="both"/>
      </w:pPr>
      <w:r>
        <w:t>Liberecký kraj jakožto územní samosprávný celek je subjektem povinným poskytovat informace na základě zákona č. 106/1999 Sb., o svobodném přístupu k informacím, v platném znění (dále jen "zákon"), a to v souladu s ustanovením § 2 odst. 1 zákona. Jako takový má v souladu s ustanovením § 18 odst. 1 zákona povinnost každoročně nejpozději do 1. března zveřejnit výroční zprávu o své činnosti v oblasti poskytování informací za předchozí kalendářní rok. Parametry výroční zprávy jsou stanoveny týmž zákonným ustanovením.</w:t>
      </w:r>
    </w:p>
    <w:p w:rsidR="00FF411B" w:rsidRDefault="00FF411B" w:rsidP="00FF411B">
      <w:pPr>
        <w:jc w:val="both"/>
      </w:pPr>
    </w:p>
    <w:p w:rsidR="00FF411B" w:rsidRDefault="00FF411B" w:rsidP="00FF411B">
      <w:pPr>
        <w:jc w:val="both"/>
      </w:pPr>
      <w:r>
        <w:t>Liberecký kraj jakožto povinný subjekt v roce 2015 vyřizoval 75 žádostí o informace. Jedná se o téměř čtyřicetiprocentní nárůst oproti roku 2014, kdy bylo vyřizováno 54 žádostí. Vedle toho bylo vyřízeno 7 žádostí o informace, které nesplňovaly zákonné náležitosti</w:t>
      </w:r>
      <w:r w:rsidR="002F4265">
        <w:t>,</w:t>
      </w:r>
      <w:r>
        <w:t xml:space="preserve"> a proto nemohly být vyřízeny v režimu zákona, zpravidla z důvodu, že nebyly zaslány na e-mailovou adresu elektronické podatelny, ale na jinou e-mailovou adresu v rámci krajského úřadu. V takovýchto případech zákon výslovně stanoví, že se nejedná o žádost podle tohoto zákona. Přesto byly i v těchto případech informace žadatelům poskytnuty, případně byl žadatel odkázán na jiný subjekt, kde může informace získat, pokud tyto informace neměl krajský úřad k dispozici.</w:t>
      </w:r>
    </w:p>
    <w:p w:rsidR="00FF411B" w:rsidRDefault="00FF411B" w:rsidP="00FF411B">
      <w:pPr>
        <w:jc w:val="both"/>
      </w:pPr>
      <w:r>
        <w:t xml:space="preserve">Samotné znění výroční zprávy je přílohou </w:t>
      </w:r>
      <w:r w:rsidR="00611D3C">
        <w:t>této písemné informace</w:t>
      </w:r>
      <w:r>
        <w:t>.</w:t>
      </w:r>
      <w:r w:rsidR="00B659C3">
        <w:t xml:space="preserve"> Výroční zpráva byla projednána v radě kraje dne </w:t>
      </w:r>
      <w:proofErr w:type="gramStart"/>
      <w:r w:rsidR="00B659C3">
        <w:t>2.2.2016</w:t>
      </w:r>
      <w:proofErr w:type="gramEnd"/>
      <w:r w:rsidR="00B659C3">
        <w:t xml:space="preserve"> usnesením č. </w:t>
      </w:r>
      <w:r w:rsidR="00B659C3" w:rsidRPr="00B659C3">
        <w:t>213/16/RK</w:t>
      </w:r>
      <w:r w:rsidR="00B659C3">
        <w:t xml:space="preserve"> a byla v souladu se zákonem zveřejněna na webu Libereckého kraje dne </w:t>
      </w:r>
      <w:r w:rsidR="00417A1B">
        <w:t>4.2.2016.</w:t>
      </w:r>
    </w:p>
    <w:p w:rsidR="00FF411B" w:rsidRDefault="00FF411B" w:rsidP="00FF411B">
      <w:pPr>
        <w:jc w:val="both"/>
      </w:pPr>
    </w:p>
    <w:p w:rsidR="00FF411B" w:rsidRDefault="00FF411B" w:rsidP="00FF411B">
      <w:pPr>
        <w:jc w:val="both"/>
        <w:rPr>
          <w:b/>
          <w:u w:val="single"/>
        </w:rPr>
      </w:pPr>
      <w:r>
        <w:rPr>
          <w:b/>
          <w:u w:val="single"/>
        </w:rPr>
        <w:t>Přílohy:</w:t>
      </w:r>
    </w:p>
    <w:p w:rsidR="00FF411B" w:rsidRDefault="00FF411B" w:rsidP="00FF411B">
      <w:pPr>
        <w:jc w:val="both"/>
      </w:pPr>
      <w:r>
        <w:t>1) Výroční zpráva o poskytování informací v roce 2015</w:t>
      </w:r>
    </w:p>
    <w:p w:rsidR="00EF5415" w:rsidRDefault="00EF5415">
      <w:pPr>
        <w:spacing w:after="200" w:line="276" w:lineRule="auto"/>
      </w:pPr>
      <w:r>
        <w:br w:type="page"/>
      </w:r>
      <w:bookmarkStart w:id="1" w:name="_GoBack"/>
      <w:bookmarkEnd w:id="1"/>
    </w:p>
    <w:p w:rsidR="00EF5415" w:rsidRDefault="00EF5415" w:rsidP="00FF411B">
      <w:pPr>
        <w:jc w:val="both"/>
      </w:pPr>
    </w:p>
    <w:p w:rsidR="00FC7EB9" w:rsidRDefault="00FC7EB9" w:rsidP="00FF411B">
      <w:pPr>
        <w:pStyle w:val="Nzev"/>
        <w:jc w:val="both"/>
      </w:pPr>
    </w:p>
    <w:p w:rsidR="00EF5415" w:rsidRPr="00302476" w:rsidRDefault="00EF5415" w:rsidP="00EF5415">
      <w:pPr>
        <w:spacing w:after="200" w:line="276" w:lineRule="auto"/>
        <w:jc w:val="right"/>
        <w:rPr>
          <w:rFonts w:eastAsiaTheme="minorHAnsi"/>
          <w:sz w:val="22"/>
          <w:szCs w:val="22"/>
          <w:lang w:eastAsia="en-US"/>
        </w:rPr>
      </w:pPr>
      <w:r w:rsidRPr="00302476">
        <w:rPr>
          <w:rFonts w:eastAsiaTheme="minorHAnsi"/>
          <w:sz w:val="22"/>
          <w:szCs w:val="22"/>
          <w:lang w:eastAsia="en-US"/>
        </w:rPr>
        <w:t>Příloha č. 1</w:t>
      </w:r>
    </w:p>
    <w:p w:rsidR="00B92856" w:rsidRPr="00302476" w:rsidRDefault="00B92856" w:rsidP="00B92856">
      <w:pPr>
        <w:spacing w:after="200" w:line="276" w:lineRule="auto"/>
        <w:jc w:val="center"/>
        <w:rPr>
          <w:rFonts w:eastAsiaTheme="minorHAnsi"/>
          <w:b/>
          <w:szCs w:val="22"/>
          <w:u w:val="single"/>
          <w:lang w:eastAsia="en-US"/>
        </w:rPr>
      </w:pPr>
      <w:r w:rsidRPr="00302476">
        <w:rPr>
          <w:rFonts w:eastAsiaTheme="minorHAnsi"/>
          <w:b/>
          <w:szCs w:val="22"/>
          <w:u w:val="single"/>
          <w:lang w:eastAsia="en-US"/>
        </w:rPr>
        <w:t>Výroční zpráva o poskytování informací v roce 2015 podle zákona č. 106/1999 Sb.,</w:t>
      </w:r>
    </w:p>
    <w:p w:rsidR="00B92856" w:rsidRPr="00302476" w:rsidRDefault="00B92856" w:rsidP="00B92856">
      <w:pPr>
        <w:spacing w:after="200" w:line="276" w:lineRule="auto"/>
        <w:jc w:val="center"/>
        <w:rPr>
          <w:rFonts w:eastAsiaTheme="minorHAnsi"/>
          <w:b/>
          <w:szCs w:val="22"/>
          <w:u w:val="single"/>
          <w:lang w:eastAsia="en-US"/>
        </w:rPr>
      </w:pPr>
      <w:r w:rsidRPr="00302476">
        <w:rPr>
          <w:rFonts w:eastAsiaTheme="minorHAnsi"/>
          <w:b/>
          <w:szCs w:val="22"/>
          <w:u w:val="single"/>
          <w:lang w:eastAsia="en-US"/>
        </w:rPr>
        <w:t>o svobodném přístupu k informacím</w:t>
      </w:r>
    </w:p>
    <w:p w:rsidR="00B92856" w:rsidRPr="00302476" w:rsidRDefault="00B92856" w:rsidP="00B92856">
      <w:pPr>
        <w:spacing w:after="200" w:line="276" w:lineRule="auto"/>
        <w:jc w:val="both"/>
        <w:rPr>
          <w:rFonts w:eastAsiaTheme="minorHAnsi"/>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r w:rsidRPr="00302476">
        <w:rPr>
          <w:rFonts w:eastAsiaTheme="minorHAnsi"/>
          <w:b/>
          <w:sz w:val="22"/>
          <w:szCs w:val="22"/>
          <w:lang w:eastAsia="en-US"/>
        </w:rPr>
        <w:t>1. Počet podaných žádostí o informace a počet vydaných rozhodnutí o odmítnutí žádosti</w:t>
      </w:r>
    </w:p>
    <w:p w:rsidR="00B92856" w:rsidRPr="00302476" w:rsidRDefault="00B92856" w:rsidP="00B92856">
      <w:pPr>
        <w:numPr>
          <w:ilvl w:val="0"/>
          <w:numId w:val="3"/>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průběhu roku 2015 bylo podáno celkem 75 žádostí o poskytnutí informace podle zákona č. 106/1999 Sb., o svobodném přístupu k informacím, v platném znění (dále jen „zákon“).</w:t>
      </w:r>
    </w:p>
    <w:p w:rsidR="00B92856" w:rsidRPr="00302476" w:rsidRDefault="00B92856" w:rsidP="00B92856">
      <w:pPr>
        <w:numPr>
          <w:ilvl w:val="0"/>
          <w:numId w:val="3"/>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průběhu roku 2015 bylo vydáno 5 rozhodnutí o odmítnutí žádosti.</w:t>
      </w:r>
    </w:p>
    <w:p w:rsidR="00B92856" w:rsidRPr="00302476" w:rsidRDefault="00B92856" w:rsidP="00B92856">
      <w:pPr>
        <w:spacing w:after="200" w:line="276" w:lineRule="auto"/>
        <w:jc w:val="both"/>
        <w:rPr>
          <w:rFonts w:eastAsiaTheme="minorHAnsi"/>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r w:rsidRPr="00302476">
        <w:rPr>
          <w:rFonts w:eastAsiaTheme="minorHAnsi"/>
          <w:b/>
          <w:sz w:val="22"/>
          <w:szCs w:val="22"/>
          <w:lang w:eastAsia="en-US"/>
        </w:rPr>
        <w:t>2. Počet podaných odvolání proti rozhodnutí</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průběhu roku 2015 byla podána 3 odvolání proti rozhodnutí.</w:t>
      </w:r>
    </w:p>
    <w:p w:rsidR="00B92856" w:rsidRPr="00302476" w:rsidRDefault="00B92856" w:rsidP="00B92856">
      <w:pPr>
        <w:spacing w:after="200" w:line="276" w:lineRule="auto"/>
        <w:jc w:val="both"/>
        <w:rPr>
          <w:rFonts w:eastAsiaTheme="minorHAnsi"/>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r w:rsidRPr="00302476">
        <w:rPr>
          <w:rFonts w:eastAsiaTheme="minorHAnsi"/>
          <w:b/>
          <w:sz w:val="22"/>
          <w:szCs w:val="22"/>
          <w:lang w:eastAsia="en-US"/>
        </w:rPr>
        <w:t>3. 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průběhu roku 2015 nebyla předmětem soudního přezkumu žádná rozhodnutí, týkající se vyřizování žádostí o informace orgány Libereckého kraje, žádné výdaje ani náklady tedy Libereckému kraji nevznikly.</w:t>
      </w:r>
    </w:p>
    <w:p w:rsidR="00B92856" w:rsidRPr="00302476" w:rsidRDefault="00B92856" w:rsidP="00B92856">
      <w:pPr>
        <w:spacing w:after="200" w:line="276" w:lineRule="auto"/>
        <w:jc w:val="both"/>
        <w:rPr>
          <w:rFonts w:eastAsiaTheme="minorHAnsi"/>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r w:rsidRPr="00302476">
        <w:rPr>
          <w:rFonts w:eastAsiaTheme="minorHAnsi"/>
          <w:b/>
          <w:sz w:val="22"/>
          <w:szCs w:val="22"/>
          <w:lang w:eastAsia="en-US"/>
        </w:rPr>
        <w:t>4. Výčet poskytnutých výhradních licencí, včetně odůvodnění nezbytnosti poskytnutí výhradní licence:</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průběhu roku 2015 nebyla poskytnuta žádná výhradní licence.</w:t>
      </w:r>
    </w:p>
    <w:p w:rsidR="00B92856" w:rsidRPr="00302476" w:rsidRDefault="00B92856" w:rsidP="00B92856">
      <w:pPr>
        <w:spacing w:after="200" w:line="276" w:lineRule="auto"/>
        <w:jc w:val="both"/>
        <w:rPr>
          <w:rFonts w:eastAsiaTheme="minorHAnsi"/>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r w:rsidRPr="00302476">
        <w:rPr>
          <w:rFonts w:eastAsiaTheme="minorHAnsi"/>
          <w:b/>
          <w:sz w:val="22"/>
          <w:szCs w:val="22"/>
          <w:lang w:eastAsia="en-US"/>
        </w:rPr>
        <w:t>5. Počet stížností podaných podle §16a zákona, důvody jejich podání a stručný popis způsobu jejich vyřízení,</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průběhu roku 2015 byly podány 3 stížnosti na postup při vyřizování žádosti o informace. První stížnost směřovala proti nevydání rozhodnutí o odmítnutí žádosti o poskytnutí informace a byla vyřízena tak, že bylo rozhodnutí vydáno. Druhá stížnost směřovala proti výši úhrady nákladů za mimořádně rozsáhlé vyhledávání informací a na jejím základě byla výše úhrady ministerstvem vnitra snížena, když ministerstvo rozhodlo, že není možné žadateli účtovat náklady na obeslání dotčených osob, přestože byl Krajský úřad Libereckého kraje povinen tyto osoby obeslat. Třetí stížnost směřovala rovněž proti výši úhrady nákladů za mimořádně rozsáhlé vyhledávání informací a postup KÚ LK byl ministerstvem vnitra potvrzen.</w:t>
      </w:r>
    </w:p>
    <w:p w:rsidR="00B92856" w:rsidRPr="00302476" w:rsidRDefault="00B92856" w:rsidP="00B92856">
      <w:pPr>
        <w:spacing w:after="200" w:line="276" w:lineRule="auto"/>
        <w:jc w:val="both"/>
        <w:rPr>
          <w:rFonts w:eastAsiaTheme="minorHAnsi"/>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p>
    <w:p w:rsidR="00B92856" w:rsidRPr="00302476" w:rsidRDefault="00B92856" w:rsidP="00B92856">
      <w:pPr>
        <w:spacing w:after="200" w:line="276" w:lineRule="auto"/>
        <w:jc w:val="both"/>
        <w:rPr>
          <w:rFonts w:eastAsiaTheme="minorHAnsi"/>
          <w:b/>
          <w:sz w:val="22"/>
          <w:szCs w:val="22"/>
          <w:lang w:eastAsia="en-US"/>
        </w:rPr>
      </w:pPr>
      <w:r w:rsidRPr="00302476">
        <w:rPr>
          <w:rFonts w:eastAsiaTheme="minorHAnsi"/>
          <w:b/>
          <w:sz w:val="22"/>
          <w:szCs w:val="22"/>
          <w:lang w:eastAsia="en-US"/>
        </w:rPr>
        <w:t>6. Další informace vztahující se k uplatnění tohoto zákona</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roce 2015 byla v 5 případech požadována úhrada nákladů dle ustanovení § 17 zákona.</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 souladu s ustanovením § 5 zákona č. 106/1999 Sb., o svobodném přístupu k informacím, ve znění pozdějších předpisů, vydal Krajský úřad Libereckého kraje základní informace. Tento materiál je zpřístupněn na internetových stránkách Libereckého kraje na adrese www.kraj-lbc.cz.</w:t>
      </w:r>
    </w:p>
    <w:p w:rsidR="00B92856" w:rsidRPr="00302476" w:rsidRDefault="00B92856" w:rsidP="00B92856">
      <w:pPr>
        <w:numPr>
          <w:ilvl w:val="0"/>
          <w:numId w:val="4"/>
        </w:numPr>
        <w:spacing w:after="200" w:line="276" w:lineRule="auto"/>
        <w:contextualSpacing/>
        <w:jc w:val="both"/>
        <w:rPr>
          <w:rFonts w:eastAsiaTheme="minorHAnsi"/>
          <w:sz w:val="22"/>
          <w:szCs w:val="22"/>
          <w:lang w:eastAsia="en-US"/>
        </w:rPr>
      </w:pPr>
      <w:r w:rsidRPr="00302476">
        <w:rPr>
          <w:rFonts w:eastAsiaTheme="minorHAnsi"/>
          <w:sz w:val="22"/>
          <w:szCs w:val="22"/>
          <w:lang w:eastAsia="en-US"/>
        </w:rPr>
        <w:t>Výroční zpráva byla projednána v radě kraje dne 2. 2. 2016, číslo usnesení: 213/16/RK</w:t>
      </w:r>
    </w:p>
    <w:p w:rsidR="00B92856" w:rsidRPr="00302476" w:rsidRDefault="00B92856" w:rsidP="00FF411B">
      <w:pPr>
        <w:pStyle w:val="Nzev"/>
        <w:jc w:val="both"/>
      </w:pPr>
    </w:p>
    <w:sectPr w:rsidR="00B92856" w:rsidRPr="00302476" w:rsidSect="00CD721F">
      <w:pgSz w:w="11906" w:h="16838"/>
      <w:pgMar w:top="71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06DDA"/>
    <w:multiLevelType w:val="hybridMultilevel"/>
    <w:tmpl w:val="813E9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1706CC2"/>
    <w:multiLevelType w:val="hybridMultilevel"/>
    <w:tmpl w:val="238CF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B798114"/>
    <w:multiLevelType w:val="multilevel"/>
    <w:tmpl w:val="02D5516A"/>
    <w:lvl w:ilvl="0">
      <w:numFmt w:val="bullet"/>
      <w:lvlText w:val="-"/>
      <w:lvlJc w:val="left"/>
      <w:pPr>
        <w:tabs>
          <w:tab w:val="num" w:pos="426"/>
        </w:tabs>
        <w:ind w:left="426" w:hanging="360"/>
      </w:pPr>
      <w:rPr>
        <w:rFonts w:ascii="Times New Roman" w:hAnsi="Times New Roman"/>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
    <w:nsid w:val="75145CAD"/>
    <w:multiLevelType w:val="hybridMultilevel"/>
    <w:tmpl w:val="2A1602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E3"/>
    <w:rsid w:val="00152275"/>
    <w:rsid w:val="001D6B01"/>
    <w:rsid w:val="002F4265"/>
    <w:rsid w:val="00302476"/>
    <w:rsid w:val="00417A1B"/>
    <w:rsid w:val="00441FE3"/>
    <w:rsid w:val="00611D3C"/>
    <w:rsid w:val="008854C3"/>
    <w:rsid w:val="009C667D"/>
    <w:rsid w:val="00B659C3"/>
    <w:rsid w:val="00B92856"/>
    <w:rsid w:val="00D70F64"/>
    <w:rsid w:val="00E1340A"/>
    <w:rsid w:val="00EF5415"/>
    <w:rsid w:val="00FC7EB9"/>
    <w:rsid w:val="00FF4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1FE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41FE3"/>
    <w:pPr>
      <w:tabs>
        <w:tab w:val="center" w:pos="4536"/>
        <w:tab w:val="right" w:pos="9072"/>
      </w:tabs>
    </w:pPr>
  </w:style>
  <w:style w:type="character" w:customStyle="1" w:styleId="ZhlavChar">
    <w:name w:val="Záhlaví Char"/>
    <w:basedOn w:val="Standardnpsmoodstavce"/>
    <w:link w:val="Zhlav"/>
    <w:rsid w:val="00441FE3"/>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441FE3"/>
    <w:pPr>
      <w:jc w:val="center"/>
    </w:pPr>
    <w:rPr>
      <w:b/>
      <w:bCs/>
    </w:rPr>
  </w:style>
  <w:style w:type="character" w:customStyle="1" w:styleId="NzevChar">
    <w:name w:val="Název Char"/>
    <w:basedOn w:val="Standardnpsmoodstavce"/>
    <w:link w:val="Nzev"/>
    <w:uiPriority w:val="99"/>
    <w:rsid w:val="00441FE3"/>
    <w:rPr>
      <w:rFonts w:ascii="Times New Roman" w:eastAsia="Times New Roman" w:hAnsi="Times New Roman" w:cs="Times New Roman"/>
      <w:b/>
      <w:bCs/>
      <w:sz w:val="24"/>
      <w:szCs w:val="24"/>
      <w:lang w:eastAsia="cs-CZ"/>
    </w:rPr>
  </w:style>
  <w:style w:type="paragraph" w:styleId="Odstavecseseznamem">
    <w:name w:val="List Paragraph"/>
    <w:basedOn w:val="Normln"/>
    <w:uiPriority w:val="99"/>
    <w:qFormat/>
    <w:rsid w:val="00441FE3"/>
    <w:pPr>
      <w:widowControl w:val="0"/>
      <w:autoSpaceDE w:val="0"/>
      <w:autoSpaceDN w:val="0"/>
      <w:adjustRightInd w:val="0"/>
      <w:ind w:left="720"/>
      <w:contextualSpacing/>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1FE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41FE3"/>
    <w:pPr>
      <w:tabs>
        <w:tab w:val="center" w:pos="4536"/>
        <w:tab w:val="right" w:pos="9072"/>
      </w:tabs>
    </w:pPr>
  </w:style>
  <w:style w:type="character" w:customStyle="1" w:styleId="ZhlavChar">
    <w:name w:val="Záhlaví Char"/>
    <w:basedOn w:val="Standardnpsmoodstavce"/>
    <w:link w:val="Zhlav"/>
    <w:rsid w:val="00441FE3"/>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441FE3"/>
    <w:pPr>
      <w:jc w:val="center"/>
    </w:pPr>
    <w:rPr>
      <w:b/>
      <w:bCs/>
    </w:rPr>
  </w:style>
  <w:style w:type="character" w:customStyle="1" w:styleId="NzevChar">
    <w:name w:val="Název Char"/>
    <w:basedOn w:val="Standardnpsmoodstavce"/>
    <w:link w:val="Nzev"/>
    <w:uiPriority w:val="99"/>
    <w:rsid w:val="00441FE3"/>
    <w:rPr>
      <w:rFonts w:ascii="Times New Roman" w:eastAsia="Times New Roman" w:hAnsi="Times New Roman" w:cs="Times New Roman"/>
      <w:b/>
      <w:bCs/>
      <w:sz w:val="24"/>
      <w:szCs w:val="24"/>
      <w:lang w:eastAsia="cs-CZ"/>
    </w:rPr>
  </w:style>
  <w:style w:type="paragraph" w:styleId="Odstavecseseznamem">
    <w:name w:val="List Paragraph"/>
    <w:basedOn w:val="Normln"/>
    <w:uiPriority w:val="99"/>
    <w:qFormat/>
    <w:rsid w:val="00441FE3"/>
    <w:pPr>
      <w:widowControl w:val="0"/>
      <w:autoSpaceDE w:val="0"/>
      <w:autoSpaceDN w:val="0"/>
      <w:adjustRightInd w:val="0"/>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D24D-7F91-4A5A-B566-67C20109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664</Words>
  <Characters>3918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Machálková Jitka</dc:creator>
  <cp:lastModifiedBy>Zdeněk Hluštík</cp:lastModifiedBy>
  <cp:revision>15</cp:revision>
  <dcterms:created xsi:type="dcterms:W3CDTF">2016-02-08T15:03:00Z</dcterms:created>
  <dcterms:modified xsi:type="dcterms:W3CDTF">2016-02-09T13:52:00Z</dcterms:modified>
</cp:coreProperties>
</file>