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1339BC">
        <w:rPr>
          <w:szCs w:val="28"/>
        </w:rPr>
        <w:t>6</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w:t>
      </w:r>
      <w:r w:rsidR="00B61D3B">
        <w:rPr>
          <w:b/>
        </w:rPr>
        <w:t>30</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977982">
        <w:rPr>
          <w:b/>
        </w:rPr>
        <w:t xml:space="preserve">Rekonstrukce </w:t>
      </w:r>
      <w:r w:rsidR="00B61D3B">
        <w:rPr>
          <w:b/>
        </w:rPr>
        <w:t>hlavních ventilátorů na operační sály</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B61D3B">
        <w:rPr>
          <w:b/>
        </w:rPr>
        <w:t>montáž nových motorů a ventilátorů vzduchotechniky, včetně záložních, které zabezpečí plynulou distribuci vzduchu zejména pro operační sály nemocnice, včetně zajištění přetlakového režimu.</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B61D3B" w:rsidP="00777AA7">
            <w:r>
              <w:t>Dodávka a montáž nových ventilátorů</w:t>
            </w:r>
          </w:p>
        </w:tc>
        <w:tc>
          <w:tcPr>
            <w:tcW w:w="3071" w:type="dxa"/>
            <w:vAlign w:val="center"/>
          </w:tcPr>
          <w:p w:rsidR="004523BC" w:rsidRPr="0063242F" w:rsidRDefault="00777AA7" w:rsidP="00777AA7">
            <w:pPr>
              <w:ind w:firstLine="11"/>
              <w:jc w:val="center"/>
            </w:pPr>
            <w:r>
              <w:t>ks</w:t>
            </w:r>
          </w:p>
        </w:tc>
        <w:tc>
          <w:tcPr>
            <w:tcW w:w="3071" w:type="dxa"/>
            <w:vAlign w:val="center"/>
          </w:tcPr>
          <w:p w:rsidR="004523BC" w:rsidRPr="005B3B19" w:rsidRDefault="00B61D3B" w:rsidP="0063242F">
            <w:pPr>
              <w:jc w:val="center"/>
            </w:pPr>
            <w:r>
              <w:t>8</w:t>
            </w:r>
          </w:p>
        </w:tc>
      </w:tr>
      <w:tr w:rsidR="00AB2F19" w:rsidRPr="005B3B19" w:rsidTr="00A31927">
        <w:tc>
          <w:tcPr>
            <w:tcW w:w="3070" w:type="dxa"/>
          </w:tcPr>
          <w:p w:rsidR="00AB2F19" w:rsidRDefault="00B61D3B" w:rsidP="00AB2F19">
            <w:r>
              <w:t>Dodávka a montáž nových motorů</w:t>
            </w:r>
          </w:p>
        </w:tc>
        <w:tc>
          <w:tcPr>
            <w:tcW w:w="3071" w:type="dxa"/>
            <w:vAlign w:val="center"/>
          </w:tcPr>
          <w:p w:rsidR="00AB2F19" w:rsidRPr="0063242F" w:rsidRDefault="00777AA7" w:rsidP="00777AA7">
            <w:pPr>
              <w:ind w:firstLine="11"/>
              <w:jc w:val="center"/>
            </w:pPr>
            <w:r>
              <w:t>ks</w:t>
            </w:r>
          </w:p>
        </w:tc>
        <w:tc>
          <w:tcPr>
            <w:tcW w:w="3071" w:type="dxa"/>
            <w:vAlign w:val="center"/>
          </w:tcPr>
          <w:p w:rsidR="00AB2F19" w:rsidRDefault="00B61D3B" w:rsidP="00A31927">
            <w:pPr>
              <w:jc w:val="center"/>
            </w:pPr>
            <w:r>
              <w:t>8</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Default="00DB45F5" w:rsidP="000C0631">
      <w:pPr>
        <w:jc w:val="center"/>
        <w:outlineLvl w:val="0"/>
        <w:rPr>
          <w:b/>
        </w:rPr>
      </w:pPr>
    </w:p>
    <w:p w:rsidR="00B61D3B" w:rsidRPr="005B3B19" w:rsidRDefault="00B61D3B"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B61D3B">
        <w:t>1.990.208</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B61D3B" w:rsidP="00B61D3B">
            <w:pPr>
              <w:jc w:val="center"/>
            </w:pPr>
            <w:r>
              <w:t>1.990.208</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B61D3B" w:rsidP="00842D67">
            <w:pPr>
              <w:jc w:val="center"/>
            </w:pPr>
            <w:r>
              <w:t>1.990.208</w:t>
            </w:r>
            <w:r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B61D3B">
        <w:t xml:space="preserve">1.990.208 </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Default="009621D3" w:rsidP="00842D67">
      <w:pPr>
        <w:pStyle w:val="Odstavecseseznamem"/>
        <w:spacing w:before="120"/>
        <w:ind w:left="360"/>
        <w:jc w:val="both"/>
      </w:pPr>
    </w:p>
    <w:p w:rsidR="00B61D3B" w:rsidRDefault="00B61D3B" w:rsidP="00842D67">
      <w:pPr>
        <w:pStyle w:val="Odstavecseseznamem"/>
        <w:spacing w:before="120"/>
        <w:ind w:left="360"/>
        <w:jc w:val="both"/>
      </w:pPr>
    </w:p>
    <w:p w:rsidR="00B61D3B" w:rsidRPr="005B3B19" w:rsidRDefault="00B61D3B" w:rsidP="00842D67">
      <w:pPr>
        <w:pStyle w:val="Odstavecseseznamem"/>
        <w:spacing w:before="120"/>
        <w:ind w:left="360"/>
        <w:jc w:val="both"/>
      </w:pPr>
    </w:p>
    <w:p w:rsidR="004523BC" w:rsidRPr="005B3B19" w:rsidRDefault="004523BC" w:rsidP="00AD6763">
      <w:pPr>
        <w:jc w:val="center"/>
        <w:outlineLvl w:val="0"/>
        <w:rPr>
          <w:b/>
        </w:rPr>
      </w:pPr>
      <w:r w:rsidRPr="005B3B19">
        <w:rPr>
          <w:b/>
        </w:rPr>
        <w:lastRenderedPageBreak/>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550FDD">
        <w:t>2</w:t>
      </w:r>
      <w:r w:rsidR="003E6840" w:rsidRPr="005B3B19">
        <w:t>1</w:t>
      </w:r>
      <w:r w:rsidR="00550FDD">
        <w:t>.</w:t>
      </w:r>
      <w:r w:rsidR="00343B5F" w:rsidRPr="005B3B19">
        <w:t> </w:t>
      </w:r>
      <w:r w:rsidR="003E6840" w:rsidRPr="005B3B19">
        <w:t>0</w:t>
      </w:r>
      <w:r w:rsidR="00550FDD">
        <w:t>7</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B61D3B">
        <w:rPr>
          <w:b/>
        </w:rPr>
        <w:t>21</w:t>
      </w:r>
      <w:r w:rsidR="002640A2" w:rsidRPr="005B3B19">
        <w:rPr>
          <w:b/>
        </w:rPr>
        <w:t xml:space="preserve">. </w:t>
      </w:r>
      <w:r w:rsidR="003E6840" w:rsidRPr="005B3B19">
        <w:rPr>
          <w:b/>
        </w:rPr>
        <w:t>0</w:t>
      </w:r>
      <w:r w:rsidR="00B61D3B">
        <w:rPr>
          <w:b/>
        </w:rPr>
        <w:t>7</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B61D3B">
        <w:rPr>
          <w:b/>
        </w:rPr>
        <w:t>3</w:t>
      </w:r>
      <w:r w:rsidR="00EA21A9" w:rsidRPr="005B3B19">
        <w:rPr>
          <w:b/>
        </w:rPr>
        <w:t>.</w:t>
      </w:r>
      <w:r w:rsidR="003E6840" w:rsidRPr="005B3B19">
        <w:rPr>
          <w:b/>
        </w:rPr>
        <w:t xml:space="preserve"> </w:t>
      </w:r>
      <w:r w:rsidR="00777AA7">
        <w:rPr>
          <w:b/>
        </w:rPr>
        <w:t>01</w:t>
      </w:r>
      <w:r w:rsidR="00EA21A9" w:rsidRPr="005B3B19">
        <w:rPr>
          <w:b/>
        </w:rPr>
        <w:t>.</w:t>
      </w:r>
      <w:r w:rsidR="003E6840" w:rsidRPr="005B3B19">
        <w:rPr>
          <w:b/>
        </w:rPr>
        <w:t xml:space="preserve"> 201</w:t>
      </w:r>
      <w:r w:rsidR="00777AA7">
        <w:rPr>
          <w:b/>
        </w:rPr>
        <w:t>7</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w:t>
      </w:r>
      <w:r w:rsidR="00B61D3B">
        <w:rPr>
          <w:b/>
        </w:rPr>
        <w:t>4</w:t>
      </w:r>
      <w:r w:rsidR="00D53E64" w:rsidRPr="005B3B19">
        <w:rPr>
          <w:b/>
        </w:rPr>
        <w:t>.</w:t>
      </w:r>
      <w:r w:rsidR="004509C6" w:rsidRPr="005B3B19">
        <w:rPr>
          <w:b/>
        </w:rPr>
        <w:t xml:space="preserve"> 0</w:t>
      </w:r>
      <w:r w:rsidR="00777AA7">
        <w:rPr>
          <w:b/>
        </w:rPr>
        <w:t>3</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3F798D">
        <w:t>5</w:t>
      </w:r>
      <w:r w:rsidR="00B61D3B">
        <w:t>6</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01795B">
        <w:t>5</w:t>
      </w:r>
      <w:r w:rsidR="00B61D3B">
        <w:t>6</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BA1199">
        <w:t>.</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BA1199">
        <w:t> </w:t>
      </w:r>
      <w:r w:rsidR="008C722E" w:rsidRPr="005B3B19">
        <w:t>tabulce</w:t>
      </w:r>
      <w:r w:rsidR="00BA1199">
        <w:t>.</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BA1199">
        <w:t> </w:t>
      </w:r>
      <w:r w:rsidR="003A4DE5" w:rsidRPr="005B3B19">
        <w:t>tabulce</w:t>
      </w:r>
      <w:r w:rsidR="00BA1199">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BA1199">
        <w:t> </w:t>
      </w:r>
      <w:r w:rsidR="002327B6" w:rsidRPr="005B3B19">
        <w:t>tabulce</w:t>
      </w:r>
      <w:r w:rsidR="00BA1199">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BA1199">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01795B">
        <w:t>5</w:t>
      </w:r>
      <w:r w:rsidR="00B61D3B">
        <w:t>6</w:t>
      </w:r>
      <w:r w:rsidR="00DB5C73" w:rsidRPr="005B3B19">
        <w:t>.</w:t>
      </w:r>
    </w:p>
    <w:p w:rsidR="004523BC" w:rsidRDefault="004523BC" w:rsidP="00AD6763">
      <w:pPr>
        <w:jc w:val="both"/>
      </w:pPr>
    </w:p>
    <w:p w:rsidR="00352841" w:rsidRDefault="00352841" w:rsidP="00AD6763">
      <w:pPr>
        <w:jc w:val="center"/>
        <w:outlineLvl w:val="0"/>
        <w:rPr>
          <w:b/>
        </w:rPr>
      </w:pPr>
    </w:p>
    <w:p w:rsidR="00B61D3B" w:rsidRPr="005B3B19" w:rsidRDefault="00B61D3B"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4D0210">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4D0210">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4D0210">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4D0210">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4D0210">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4D0210">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4D0210">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4D0210">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4D0210">
      <w:pPr>
        <w:numPr>
          <w:ilvl w:val="0"/>
          <w:numId w:val="19"/>
        </w:numPr>
        <w:tabs>
          <w:tab w:val="clear" w:pos="720"/>
          <w:tab w:val="num" w:pos="426"/>
        </w:tabs>
        <w:spacing w:before="120"/>
        <w:ind w:left="426"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AA3" w:rsidRDefault="000A2AA3">
      <w:r>
        <w:separator/>
      </w:r>
    </w:p>
  </w:endnote>
  <w:endnote w:type="continuationSeparator" w:id="0">
    <w:p w:rsidR="000A2AA3" w:rsidRDefault="000A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1339BC">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88517C">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AA3" w:rsidRDefault="000A2AA3">
      <w:r>
        <w:separator/>
      </w:r>
    </w:p>
  </w:footnote>
  <w:footnote w:type="continuationSeparator" w:id="0">
    <w:p w:rsidR="000A2AA3" w:rsidRDefault="000A2AA3">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3715"/>
    <w:rsid w:val="00054F7A"/>
    <w:rsid w:val="00055ABE"/>
    <w:rsid w:val="000608FA"/>
    <w:rsid w:val="000618B6"/>
    <w:rsid w:val="00061BFA"/>
    <w:rsid w:val="00061C7C"/>
    <w:rsid w:val="00067DDD"/>
    <w:rsid w:val="000704B1"/>
    <w:rsid w:val="00072B46"/>
    <w:rsid w:val="00073D9A"/>
    <w:rsid w:val="00074D0F"/>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2AA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5FB3"/>
    <w:rsid w:val="000E6137"/>
    <w:rsid w:val="000E7D99"/>
    <w:rsid w:val="000E7DE8"/>
    <w:rsid w:val="000F13B6"/>
    <w:rsid w:val="000F1952"/>
    <w:rsid w:val="000F1959"/>
    <w:rsid w:val="000F6B31"/>
    <w:rsid w:val="000F768D"/>
    <w:rsid w:val="000F7C22"/>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2AA5"/>
    <w:rsid w:val="0013337F"/>
    <w:rsid w:val="001339BC"/>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210"/>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0FDD"/>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E755A"/>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77AA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1B9"/>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517C"/>
    <w:rsid w:val="00886D9C"/>
    <w:rsid w:val="00890492"/>
    <w:rsid w:val="00893666"/>
    <w:rsid w:val="00894B06"/>
    <w:rsid w:val="0089672E"/>
    <w:rsid w:val="00896C0B"/>
    <w:rsid w:val="00897727"/>
    <w:rsid w:val="008A0706"/>
    <w:rsid w:val="008A21AB"/>
    <w:rsid w:val="008A3F21"/>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1D3B"/>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199"/>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04EA"/>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71CD-D041-451B-AB61-7415AC76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3723</Words>
  <Characters>21967</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2016-08-17T10:06:00Z</cp:lastPrinted>
  <dcterms:created xsi:type="dcterms:W3CDTF">2016-08-08T10:19:00Z</dcterms:created>
  <dcterms:modified xsi:type="dcterms:W3CDTF">2016-08-17T10:06:00Z</dcterms:modified>
</cp:coreProperties>
</file>