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FD50B2">
        <w:rPr>
          <w:szCs w:val="28"/>
        </w:rPr>
        <w:t>9</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w:t>
      </w:r>
      <w:r w:rsidR="00B61D3B">
        <w:rPr>
          <w:b/>
        </w:rPr>
        <w:t>3</w:t>
      </w:r>
      <w:r w:rsidR="00D526A8">
        <w:rPr>
          <w:b/>
        </w:rPr>
        <w:t>3</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D526A8">
        <w:rPr>
          <w:b/>
        </w:rPr>
        <w:t>NsP Česká Lípa – Výměna hlavních ARV jističů v rozvodnách nemocnice</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D526A8">
        <w:rPr>
          <w:b/>
        </w:rPr>
        <w:t>Dodávka a postupná montáž 20 nových ARV jističů v elektrických rozvodnách NN a ve strojovně náhradního zdroje elektrické energie. Dojde ke zvýšení bezpečnosti a kontinuity dodávek elektrické energie pro oddělení s nepřetržitým provozem a pro technologie.</w:t>
      </w:r>
      <w:r w:rsidR="00494AFF">
        <w:rPr>
          <w:b/>
        </w:rPr>
        <w:t xml:space="preserve"> </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D526A8" w:rsidP="00777AA7">
            <w:r>
              <w:t>Dodávka a montáž nových ARV jističů</w:t>
            </w:r>
          </w:p>
        </w:tc>
        <w:tc>
          <w:tcPr>
            <w:tcW w:w="3071" w:type="dxa"/>
            <w:vAlign w:val="center"/>
          </w:tcPr>
          <w:p w:rsidR="004523BC" w:rsidRPr="00494AFF" w:rsidRDefault="00D526A8" w:rsidP="00D526A8">
            <w:pPr>
              <w:ind w:firstLine="11"/>
              <w:jc w:val="center"/>
            </w:pPr>
            <w:r>
              <w:t>ks</w:t>
            </w:r>
          </w:p>
        </w:tc>
        <w:tc>
          <w:tcPr>
            <w:tcW w:w="3071" w:type="dxa"/>
            <w:vAlign w:val="center"/>
          </w:tcPr>
          <w:p w:rsidR="004523BC" w:rsidRPr="005B3B19" w:rsidRDefault="00D526A8" w:rsidP="0063242F">
            <w:pPr>
              <w:jc w:val="center"/>
            </w:pPr>
            <w:r>
              <w:t>20</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Default="00DB45F5" w:rsidP="000C0631">
      <w:pPr>
        <w:jc w:val="center"/>
        <w:outlineLvl w:val="0"/>
        <w:rPr>
          <w:b/>
        </w:rPr>
      </w:pPr>
    </w:p>
    <w:p w:rsidR="00B61D3B" w:rsidRPr="005B3B19" w:rsidRDefault="00B61D3B"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D526A8">
        <w:t>2.695.880</w:t>
      </w:r>
      <w:r w:rsidR="00175F17" w:rsidRPr="005B3B19">
        <w:t xml:space="preserve">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D526A8" w:rsidP="00B61D3B">
            <w:pPr>
              <w:jc w:val="center"/>
            </w:pPr>
            <w:r>
              <w:t>2.695.880</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D526A8" w:rsidP="00842D67">
            <w:pPr>
              <w:jc w:val="center"/>
            </w:pPr>
            <w:r>
              <w:t>2.695.880</w:t>
            </w:r>
            <w:r w:rsidR="00B61D3B"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D526A8">
        <w:t>2.695.880</w:t>
      </w:r>
      <w:r w:rsidR="00D526A8" w:rsidRPr="005B3B19">
        <w:t xml:space="preserve"> </w:t>
      </w:r>
      <w:r w:rsidRPr="005B3B19">
        <w:rPr>
          <w:snapToGrid w:val="0"/>
        </w:rPr>
        <w:t xml:space="preserve">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Default="009621D3" w:rsidP="00842D67">
      <w:pPr>
        <w:pStyle w:val="Odstavecseseznamem"/>
        <w:spacing w:before="120"/>
        <w:ind w:left="360"/>
        <w:jc w:val="both"/>
      </w:pPr>
    </w:p>
    <w:p w:rsidR="00D526A8" w:rsidRDefault="00D526A8" w:rsidP="00842D67">
      <w:pPr>
        <w:pStyle w:val="Odstavecseseznamem"/>
        <w:spacing w:before="120"/>
        <w:ind w:left="360"/>
        <w:jc w:val="both"/>
      </w:pPr>
    </w:p>
    <w:p w:rsidR="00D526A8" w:rsidRDefault="00D526A8" w:rsidP="00842D67">
      <w:pPr>
        <w:pStyle w:val="Odstavecseseznamem"/>
        <w:spacing w:before="120"/>
        <w:ind w:left="360"/>
        <w:jc w:val="both"/>
      </w:pPr>
    </w:p>
    <w:p w:rsidR="00D526A8" w:rsidRDefault="00D526A8" w:rsidP="00842D67">
      <w:pPr>
        <w:pStyle w:val="Odstavecseseznamem"/>
        <w:spacing w:before="120"/>
        <w:ind w:left="360"/>
        <w:jc w:val="both"/>
      </w:pPr>
    </w:p>
    <w:p w:rsidR="004523BC" w:rsidRPr="005B3B19" w:rsidRDefault="004523BC" w:rsidP="00AD6763">
      <w:pPr>
        <w:jc w:val="center"/>
        <w:outlineLvl w:val="0"/>
        <w:rPr>
          <w:b/>
        </w:rPr>
      </w:pPr>
      <w:r w:rsidRPr="005B3B19">
        <w:rPr>
          <w:b/>
        </w:rPr>
        <w:lastRenderedPageBreak/>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8755AD">
        <w:t>2</w:t>
      </w:r>
      <w:r w:rsidR="003E6840" w:rsidRPr="005B3B19">
        <w:t>1</w:t>
      </w:r>
      <w:r w:rsidR="008755AD">
        <w:t>.</w:t>
      </w:r>
      <w:r w:rsidR="00343B5F" w:rsidRPr="005B3B19">
        <w:t> </w:t>
      </w:r>
      <w:r w:rsidR="003E6840" w:rsidRPr="005B3B19">
        <w:t>0</w:t>
      </w:r>
      <w:r w:rsidR="008755AD">
        <w:t>7</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D526A8">
        <w:rPr>
          <w:b/>
        </w:rPr>
        <w:t>21</w:t>
      </w:r>
      <w:r w:rsidR="002640A2" w:rsidRPr="005B3B19">
        <w:rPr>
          <w:b/>
        </w:rPr>
        <w:t xml:space="preserve">. </w:t>
      </w:r>
      <w:r w:rsidR="003E6840" w:rsidRPr="005B3B19">
        <w:rPr>
          <w:b/>
        </w:rPr>
        <w:t>0</w:t>
      </w:r>
      <w:r w:rsidR="00D526A8">
        <w:rPr>
          <w:b/>
        </w:rPr>
        <w:t>7</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592C75">
        <w:rPr>
          <w:b/>
        </w:rPr>
        <w:t>5</w:t>
      </w:r>
      <w:r w:rsidR="00EA21A9" w:rsidRPr="005B3B19">
        <w:rPr>
          <w:b/>
        </w:rPr>
        <w:t>.</w:t>
      </w:r>
      <w:r w:rsidR="003E6840" w:rsidRPr="005B3B19">
        <w:rPr>
          <w:b/>
        </w:rPr>
        <w:t xml:space="preserve"> </w:t>
      </w:r>
      <w:r w:rsidR="00777AA7">
        <w:rPr>
          <w:b/>
        </w:rPr>
        <w:t>1</w:t>
      </w:r>
      <w:r w:rsidR="00592C75">
        <w:rPr>
          <w:b/>
        </w:rPr>
        <w:t>2</w:t>
      </w:r>
      <w:r w:rsidR="00EA21A9" w:rsidRPr="005B3B19">
        <w:rPr>
          <w:b/>
        </w:rPr>
        <w:t>.</w:t>
      </w:r>
      <w:r w:rsidR="003E6840" w:rsidRPr="005B3B19">
        <w:rPr>
          <w:b/>
        </w:rPr>
        <w:t xml:space="preserve"> 201</w:t>
      </w:r>
      <w:r w:rsidR="00592C75">
        <w:rPr>
          <w:b/>
        </w:rPr>
        <w:t>6</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w:t>
      </w:r>
      <w:r w:rsidR="00592C75">
        <w:rPr>
          <w:b/>
        </w:rPr>
        <w:t>3</w:t>
      </w:r>
      <w:r w:rsidR="00D53E64" w:rsidRPr="005B3B19">
        <w:rPr>
          <w:b/>
        </w:rPr>
        <w:t>.</w:t>
      </w:r>
      <w:r w:rsidR="004509C6" w:rsidRPr="005B3B19">
        <w:rPr>
          <w:b/>
        </w:rPr>
        <w:t xml:space="preserve"> 0</w:t>
      </w:r>
      <w:r w:rsidR="00592C75">
        <w:rPr>
          <w:b/>
        </w:rPr>
        <w:t>2</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lastRenderedPageBreak/>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9C6339">
        <w:t>6</w:t>
      </w:r>
      <w:r w:rsidR="008B62F0">
        <w:t>1</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9C6339">
        <w:t>6</w:t>
      </w:r>
      <w:r w:rsidR="008B62F0">
        <w:t>1</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8755AD">
        <w:t>.</w:t>
      </w:r>
    </w:p>
    <w:p w:rsidR="005A6A2B" w:rsidRPr="005B3B19" w:rsidRDefault="00605C85" w:rsidP="000020DC">
      <w:pPr>
        <w:numPr>
          <w:ilvl w:val="1"/>
          <w:numId w:val="36"/>
        </w:numPr>
        <w:tabs>
          <w:tab w:val="left" w:pos="709"/>
        </w:tabs>
        <w:spacing w:before="120"/>
        <w:ind w:left="709" w:hanging="283"/>
      </w:pPr>
      <w:r w:rsidRPr="005B3B19">
        <w:lastRenderedPageBreak/>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8755AD">
        <w:t> </w:t>
      </w:r>
      <w:r w:rsidR="008C722E" w:rsidRPr="005B3B19">
        <w:t>tabulce</w:t>
      </w:r>
      <w:r w:rsidR="008755AD">
        <w:t>.</w:t>
      </w:r>
      <w:r w:rsidR="00406CAF" w:rsidRPr="005B3B19">
        <w:t xml:space="preserve"> </w:t>
      </w:r>
    </w:p>
    <w:p w:rsidR="004523BC" w:rsidRPr="005B3B19" w:rsidRDefault="008073F0" w:rsidP="00982A41">
      <w:pPr>
        <w:spacing w:before="120"/>
        <w:ind w:left="397" w:right="227"/>
        <w:jc w:val="both"/>
      </w:pPr>
      <w:r w:rsidRPr="005B3B19">
        <w:lastRenderedPageBreak/>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w:t>
      </w:r>
      <w:r w:rsidR="008755AD">
        <w:t> </w:t>
      </w:r>
      <w:r w:rsidR="003A4DE5" w:rsidRPr="005B3B19">
        <w:t>tabulce</w:t>
      </w:r>
      <w:r w:rsidR="008755AD">
        <w:t>.</w:t>
      </w:r>
      <w:r w:rsidR="003A4DE5" w:rsidRPr="005B3B19">
        <w:t xml:space="preserv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7C635A">
        <w:t> </w:t>
      </w:r>
      <w:r w:rsidR="002327B6" w:rsidRPr="005B3B19">
        <w:t>tabulce</w:t>
      </w:r>
      <w:r w:rsidR="007C635A">
        <w:t>,</w:t>
      </w:r>
      <w:r w:rsidR="002327B6" w:rsidRPr="005B3B19">
        <w:t xml:space="preserv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8755AD">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9C6339">
        <w:t>6</w:t>
      </w:r>
      <w:r w:rsidR="008B62F0">
        <w:t>1</w:t>
      </w:r>
      <w:r w:rsidR="008755AD">
        <w:t>.</w:t>
      </w:r>
    </w:p>
    <w:p w:rsidR="004523BC" w:rsidRDefault="004523BC" w:rsidP="00AD6763">
      <w:pPr>
        <w:jc w:val="both"/>
      </w:pPr>
    </w:p>
    <w:p w:rsidR="00352841" w:rsidRDefault="00352841" w:rsidP="00AD6763">
      <w:pPr>
        <w:jc w:val="center"/>
        <w:outlineLvl w:val="0"/>
        <w:rPr>
          <w:b/>
        </w:rPr>
      </w:pPr>
    </w:p>
    <w:p w:rsidR="00B61D3B" w:rsidRPr="005B3B19" w:rsidRDefault="00B61D3B"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F649DE">
      <w:pPr>
        <w:numPr>
          <w:ilvl w:val="0"/>
          <w:numId w:val="19"/>
        </w:numPr>
        <w:tabs>
          <w:tab w:val="clear" w:pos="720"/>
          <w:tab w:val="num" w:pos="426"/>
        </w:tabs>
        <w:spacing w:before="120"/>
        <w:ind w:left="426" w:hanging="426"/>
        <w:jc w:val="both"/>
      </w:pPr>
      <w:r w:rsidRPr="005B3B19">
        <w:t>Poskytnutá dotace je veřejnou finanční podporou ve smyslu zákona č. 320/2001 Sb., o finanční kontrole, ve znění pozdějších předpisů.</w:t>
      </w:r>
    </w:p>
    <w:p w:rsidR="004523BC" w:rsidRPr="005B3B19" w:rsidRDefault="004523BC" w:rsidP="00F649DE">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F649DE">
      <w:pPr>
        <w:numPr>
          <w:ilvl w:val="0"/>
          <w:numId w:val="19"/>
        </w:numPr>
        <w:tabs>
          <w:tab w:val="clear" w:pos="720"/>
          <w:tab w:val="num" w:pos="426"/>
        </w:tabs>
        <w:spacing w:before="120"/>
        <w:ind w:left="426" w:hanging="426"/>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F649DE">
      <w:pPr>
        <w:numPr>
          <w:ilvl w:val="0"/>
          <w:numId w:val="19"/>
        </w:numPr>
        <w:tabs>
          <w:tab w:val="clear" w:pos="720"/>
          <w:tab w:val="num" w:pos="426"/>
        </w:tabs>
        <w:spacing w:before="120"/>
        <w:ind w:left="426" w:hanging="426"/>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F649DE">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F649DE">
      <w:pPr>
        <w:numPr>
          <w:ilvl w:val="0"/>
          <w:numId w:val="19"/>
        </w:numPr>
        <w:tabs>
          <w:tab w:val="clear" w:pos="720"/>
          <w:tab w:val="num" w:pos="426"/>
        </w:tabs>
        <w:spacing w:before="120"/>
        <w:ind w:left="426" w:hanging="426"/>
        <w:jc w:val="both"/>
      </w:pPr>
      <w:r w:rsidRPr="005B3B19">
        <w:t>Tato smlouva je vyhotovena ve třech stejnopisech, z nichž dvě vyhotovení si ponechá poskytovatel a jedno vyhotovení obdrží příjemce.</w:t>
      </w:r>
    </w:p>
    <w:p w:rsidR="00445BE3" w:rsidRDefault="004523BC" w:rsidP="00F649DE">
      <w:pPr>
        <w:numPr>
          <w:ilvl w:val="0"/>
          <w:numId w:val="19"/>
        </w:numPr>
        <w:tabs>
          <w:tab w:val="clear" w:pos="720"/>
          <w:tab w:val="num" w:pos="426"/>
        </w:tabs>
        <w:spacing w:before="120"/>
        <w:ind w:left="426" w:hanging="426"/>
        <w:jc w:val="both"/>
      </w:pPr>
      <w:r w:rsidRPr="005B3B19">
        <w:t>Smluvní strany prohlašují, že se s obsahem smlouvy seznámily, porozuměly jí a smlouva plně vyjadřuje jejich svobodnou a vážnou vůli.</w:t>
      </w:r>
    </w:p>
    <w:p w:rsidR="00B97993" w:rsidRPr="005B3B19" w:rsidRDefault="00B97993" w:rsidP="00F649DE">
      <w:pPr>
        <w:numPr>
          <w:ilvl w:val="0"/>
          <w:numId w:val="19"/>
        </w:numPr>
        <w:tabs>
          <w:tab w:val="clear" w:pos="720"/>
          <w:tab w:val="num" w:pos="426"/>
        </w:tabs>
        <w:spacing w:before="120"/>
        <w:ind w:left="426" w:hanging="426"/>
        <w:jc w:val="both"/>
      </w:pPr>
      <w:r>
        <w:t>Příjemce se zavazuje zohlednit poskytnutou dotaci v následně uzavřené nájemní smlouvě mezi příjemcem jako pronajímatele a Zdravotnickou záchrannou službou Libereckého kraje jako nájemcem.</w:t>
      </w:r>
    </w:p>
    <w:p w:rsidR="00445BE3" w:rsidRPr="005B3B19" w:rsidRDefault="00445BE3" w:rsidP="00F649DE">
      <w:pPr>
        <w:numPr>
          <w:ilvl w:val="0"/>
          <w:numId w:val="19"/>
        </w:numPr>
        <w:tabs>
          <w:tab w:val="clear" w:pos="720"/>
          <w:tab w:val="num" w:pos="426"/>
        </w:tabs>
        <w:spacing w:before="120"/>
        <w:ind w:left="426"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DD" w:rsidRDefault="00D309DD">
      <w:r>
        <w:separator/>
      </w:r>
    </w:p>
  </w:endnote>
  <w:endnote w:type="continuationSeparator" w:id="0">
    <w:p w:rsidR="00D309DD" w:rsidRDefault="00D3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FD50B2">
      <w:rPr>
        <w:noProof/>
        <w:sz w:val="20"/>
        <w:szCs w:val="20"/>
      </w:rPr>
      <w:t>1</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C2326F">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DD" w:rsidRDefault="00D309DD">
      <w:r>
        <w:separator/>
      </w:r>
    </w:p>
  </w:footnote>
  <w:footnote w:type="continuationSeparator" w:id="0">
    <w:p w:rsidR="00D309DD" w:rsidRDefault="00D309DD">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167"/>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2AA5"/>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5478"/>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6E24"/>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563E"/>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35CD"/>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3F798D"/>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85D07"/>
    <w:rsid w:val="00490F9A"/>
    <w:rsid w:val="00491AF4"/>
    <w:rsid w:val="004932F1"/>
    <w:rsid w:val="0049415A"/>
    <w:rsid w:val="004949BE"/>
    <w:rsid w:val="00494AFF"/>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2C75"/>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42F"/>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E755A"/>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77AA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635A"/>
    <w:rsid w:val="007C74BE"/>
    <w:rsid w:val="007E081F"/>
    <w:rsid w:val="007E3122"/>
    <w:rsid w:val="007E3FCE"/>
    <w:rsid w:val="007E41E5"/>
    <w:rsid w:val="007E7086"/>
    <w:rsid w:val="007F01B9"/>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5AD"/>
    <w:rsid w:val="00876256"/>
    <w:rsid w:val="00882252"/>
    <w:rsid w:val="0088309F"/>
    <w:rsid w:val="00884408"/>
    <w:rsid w:val="00886D9C"/>
    <w:rsid w:val="00890492"/>
    <w:rsid w:val="00893666"/>
    <w:rsid w:val="00894B06"/>
    <w:rsid w:val="0089672E"/>
    <w:rsid w:val="00896C0B"/>
    <w:rsid w:val="00897727"/>
    <w:rsid w:val="008A0706"/>
    <w:rsid w:val="008A21AB"/>
    <w:rsid w:val="008A3F21"/>
    <w:rsid w:val="008A7CF0"/>
    <w:rsid w:val="008B2C97"/>
    <w:rsid w:val="008B62F0"/>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1461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54EDE"/>
    <w:rsid w:val="0096110C"/>
    <w:rsid w:val="009621D3"/>
    <w:rsid w:val="00963182"/>
    <w:rsid w:val="00964D99"/>
    <w:rsid w:val="009716D3"/>
    <w:rsid w:val="0097751F"/>
    <w:rsid w:val="00977982"/>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6339"/>
    <w:rsid w:val="009C7C06"/>
    <w:rsid w:val="009D05EE"/>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1EF0"/>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3877"/>
    <w:rsid w:val="00AD6763"/>
    <w:rsid w:val="00AD7BFB"/>
    <w:rsid w:val="00AE20F4"/>
    <w:rsid w:val="00AE22C4"/>
    <w:rsid w:val="00AF1B10"/>
    <w:rsid w:val="00AF29C1"/>
    <w:rsid w:val="00AF4F42"/>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1D3B"/>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326F"/>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09DD"/>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26A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15DE"/>
    <w:rsid w:val="00DA0B6C"/>
    <w:rsid w:val="00DA61FA"/>
    <w:rsid w:val="00DA725E"/>
    <w:rsid w:val="00DB02F6"/>
    <w:rsid w:val="00DB03CE"/>
    <w:rsid w:val="00DB2407"/>
    <w:rsid w:val="00DB45F5"/>
    <w:rsid w:val="00DB494C"/>
    <w:rsid w:val="00DB5C73"/>
    <w:rsid w:val="00DC1BF1"/>
    <w:rsid w:val="00DC5149"/>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9DE"/>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0B2"/>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91A34-BCB0-4044-81A9-D686F377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3730</Words>
  <Characters>22009</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2016-08-17T10:07:00Z</cp:lastPrinted>
  <dcterms:created xsi:type="dcterms:W3CDTF">2016-08-08T10:20:00Z</dcterms:created>
  <dcterms:modified xsi:type="dcterms:W3CDTF">2016-08-17T10:07:00Z</dcterms:modified>
</cp:coreProperties>
</file>