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64" w:rsidRPr="009C4764" w:rsidRDefault="009C4764" w:rsidP="009C4764">
      <w:pPr>
        <w:widowControl w:val="0"/>
        <w:spacing w:before="120"/>
        <w:jc w:val="right"/>
        <w:rPr>
          <w:sz w:val="24"/>
          <w:szCs w:val="32"/>
        </w:rPr>
      </w:pPr>
      <w:r w:rsidRPr="009C4764">
        <w:rPr>
          <w:sz w:val="24"/>
          <w:szCs w:val="32"/>
        </w:rPr>
        <w:t>Příloha č. 1</w:t>
      </w:r>
    </w:p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053DD7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bookmarkStart w:id="2" w:name="Text53"/>
      <w:r w:rsidR="00053DD7">
        <w:rPr>
          <w:b/>
          <w:noProof/>
          <w:sz w:val="24"/>
          <w:szCs w:val="24"/>
        </w:rPr>
        <w:t>smlouvě o poskytnutí účelové dotace z </w:t>
      </w:r>
      <w:r w:rsidR="0056112B">
        <w:rPr>
          <w:b/>
          <w:noProof/>
          <w:sz w:val="24"/>
          <w:szCs w:val="24"/>
        </w:rPr>
        <w:t>rozpočtu</w:t>
      </w:r>
      <w:r w:rsidR="00053DD7">
        <w:rPr>
          <w:b/>
          <w:noProof/>
          <w:sz w:val="24"/>
          <w:szCs w:val="24"/>
        </w:rPr>
        <w:t xml:space="preserve"> Libereckého kraje</w:t>
      </w:r>
      <w:bookmarkEnd w:id="2"/>
      <w:r w:rsidR="00972AD4">
        <w:rPr>
          <w:b/>
          <w:sz w:val="24"/>
          <w:szCs w:val="24"/>
        </w:rPr>
        <w:t xml:space="preserve">, </w:t>
      </w:r>
      <w:r w:rsidR="00575E2B">
        <w:rPr>
          <w:b/>
          <w:sz w:val="24"/>
          <w:szCs w:val="24"/>
        </w:rPr>
        <w:t>č. OLP/</w:t>
      </w:r>
      <w:bookmarkStart w:id="3" w:name="Text14"/>
      <w:r w:rsidR="0056112B">
        <w:rPr>
          <w:b/>
          <w:sz w:val="24"/>
          <w:szCs w:val="24"/>
        </w:rPr>
        <w:t>1929</w:t>
      </w:r>
      <w:r w:rsidR="00575E2B" w:rsidRPr="00DC40AF">
        <w:rPr>
          <w:b/>
          <w:sz w:val="24"/>
          <w:szCs w:val="24"/>
        </w:rPr>
        <w:t>/20</w:t>
      </w:r>
      <w:r w:rsidR="00053DD7">
        <w:rPr>
          <w:b/>
          <w:sz w:val="24"/>
          <w:szCs w:val="24"/>
        </w:rPr>
        <w:t>1</w:t>
      </w:r>
      <w:bookmarkEnd w:id="3"/>
      <w:r w:rsidR="0056112B">
        <w:rPr>
          <w:b/>
          <w:sz w:val="24"/>
          <w:szCs w:val="24"/>
        </w:rPr>
        <w:t>6</w:t>
      </w:r>
    </w:p>
    <w:p w:rsidR="00904B45" w:rsidRPr="00575E2B" w:rsidRDefault="0056112B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>„</w:t>
      </w:r>
      <w:r w:rsidRPr="0056112B">
        <w:rPr>
          <w:b/>
          <w:noProof/>
          <w:sz w:val="24"/>
          <w:szCs w:val="24"/>
        </w:rPr>
        <w:t>Podpora publikační a výzkumné činnosti Národního památkového ústavu, ú. o. p. v</w:t>
      </w:r>
      <w:r>
        <w:rPr>
          <w:b/>
          <w:noProof/>
          <w:sz w:val="24"/>
          <w:szCs w:val="24"/>
        </w:rPr>
        <w:t> </w:t>
      </w:r>
      <w:r w:rsidRPr="0056112B">
        <w:rPr>
          <w:b/>
          <w:noProof/>
          <w:sz w:val="24"/>
          <w:szCs w:val="24"/>
        </w:rPr>
        <w:t>Liberci</w:t>
      </w:r>
      <w:r>
        <w:rPr>
          <w:b/>
          <w:noProof/>
          <w:sz w:val="24"/>
          <w:szCs w:val="24"/>
        </w:rPr>
        <w:t>“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bookmarkStart w:id="4" w:name="Text44"/>
      <w:r w:rsidR="00B4142B">
        <w:rPr>
          <w:noProof/>
          <w:sz w:val="24"/>
          <w:szCs w:val="24"/>
        </w:rPr>
        <w:t xml:space="preserve">Martinem Půtou, hejtmanem, </w:t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6112B" w:rsidRPr="0056112B" w:rsidRDefault="0056112B" w:rsidP="00FE3592">
      <w:pPr>
        <w:spacing w:line="360" w:lineRule="auto"/>
        <w:jc w:val="both"/>
        <w:rPr>
          <w:b/>
          <w:sz w:val="24"/>
          <w:szCs w:val="24"/>
        </w:rPr>
      </w:pPr>
      <w:r w:rsidRPr="0056112B">
        <w:rPr>
          <w:b/>
          <w:sz w:val="24"/>
          <w:szCs w:val="24"/>
        </w:rPr>
        <w:t>Národní památkový ústav, územní odborné pracoviště v Liberci</w:t>
      </w:r>
    </w:p>
    <w:p w:rsidR="0056112B" w:rsidRPr="0056112B" w:rsidRDefault="0056112B" w:rsidP="00FE3592">
      <w:pPr>
        <w:spacing w:line="360" w:lineRule="auto"/>
        <w:jc w:val="both"/>
        <w:rPr>
          <w:sz w:val="24"/>
          <w:szCs w:val="24"/>
        </w:rPr>
      </w:pPr>
      <w:r w:rsidRPr="0056112B">
        <w:rPr>
          <w:sz w:val="24"/>
          <w:szCs w:val="24"/>
        </w:rPr>
        <w:t>se sídlem</w:t>
      </w:r>
      <w:r w:rsidRPr="0056112B">
        <w:rPr>
          <w:sz w:val="24"/>
          <w:szCs w:val="24"/>
        </w:rPr>
        <w:tab/>
        <w:t>: Jablonecká 642/23, 460 01 Liberec</w:t>
      </w:r>
    </w:p>
    <w:p w:rsidR="0056112B" w:rsidRPr="0056112B" w:rsidRDefault="0056112B" w:rsidP="00FE3592">
      <w:pPr>
        <w:spacing w:line="360" w:lineRule="auto"/>
        <w:jc w:val="both"/>
        <w:rPr>
          <w:sz w:val="24"/>
          <w:szCs w:val="24"/>
        </w:rPr>
      </w:pPr>
      <w:r w:rsidRPr="0056112B">
        <w:rPr>
          <w:sz w:val="24"/>
          <w:szCs w:val="24"/>
        </w:rPr>
        <w:t>zastoupený</w:t>
      </w:r>
      <w:r w:rsidRPr="0056112B">
        <w:rPr>
          <w:sz w:val="24"/>
          <w:szCs w:val="24"/>
        </w:rPr>
        <w:tab/>
        <w:t>: Mgr. Milošem Krčmářem, ředitelem</w:t>
      </w:r>
    </w:p>
    <w:p w:rsidR="0056112B" w:rsidRPr="0056112B" w:rsidRDefault="0056112B" w:rsidP="00FE3592">
      <w:pPr>
        <w:spacing w:line="360" w:lineRule="auto"/>
        <w:jc w:val="both"/>
        <w:rPr>
          <w:sz w:val="24"/>
          <w:szCs w:val="24"/>
        </w:rPr>
      </w:pPr>
      <w:r w:rsidRPr="0056112B">
        <w:rPr>
          <w:sz w:val="24"/>
          <w:szCs w:val="24"/>
        </w:rPr>
        <w:t>IČ</w:t>
      </w:r>
      <w:r w:rsidRPr="0056112B">
        <w:rPr>
          <w:sz w:val="24"/>
          <w:szCs w:val="24"/>
        </w:rPr>
        <w:tab/>
      </w:r>
      <w:r w:rsidRPr="0056112B">
        <w:rPr>
          <w:sz w:val="24"/>
          <w:szCs w:val="24"/>
        </w:rPr>
        <w:tab/>
        <w:t>: 75032333</w:t>
      </w:r>
    </w:p>
    <w:p w:rsidR="0056112B" w:rsidRPr="0056112B" w:rsidRDefault="0056112B" w:rsidP="00FE3592">
      <w:pPr>
        <w:spacing w:line="360" w:lineRule="auto"/>
        <w:jc w:val="both"/>
        <w:rPr>
          <w:sz w:val="24"/>
          <w:szCs w:val="24"/>
        </w:rPr>
      </w:pPr>
      <w:r w:rsidRPr="0056112B">
        <w:rPr>
          <w:sz w:val="24"/>
          <w:szCs w:val="24"/>
        </w:rPr>
        <w:t>DIČ</w:t>
      </w:r>
      <w:r w:rsidRPr="0056112B">
        <w:rPr>
          <w:sz w:val="24"/>
          <w:szCs w:val="24"/>
        </w:rPr>
        <w:tab/>
      </w:r>
      <w:r w:rsidRPr="0056112B">
        <w:rPr>
          <w:sz w:val="24"/>
          <w:szCs w:val="24"/>
        </w:rPr>
        <w:tab/>
        <w:t>: CZ 75032333</w:t>
      </w:r>
    </w:p>
    <w:p w:rsidR="0056112B" w:rsidRPr="0056112B" w:rsidRDefault="0056112B" w:rsidP="00FE3592">
      <w:pPr>
        <w:spacing w:line="360" w:lineRule="auto"/>
        <w:jc w:val="both"/>
        <w:rPr>
          <w:sz w:val="24"/>
          <w:szCs w:val="24"/>
        </w:rPr>
      </w:pPr>
      <w:r w:rsidRPr="0056112B">
        <w:rPr>
          <w:sz w:val="24"/>
          <w:szCs w:val="24"/>
        </w:rPr>
        <w:t>Bankovní spojení: Česká národní banka</w:t>
      </w:r>
    </w:p>
    <w:p w:rsidR="0056112B" w:rsidRPr="0056112B" w:rsidRDefault="0056112B" w:rsidP="00FE3592">
      <w:pPr>
        <w:spacing w:line="360" w:lineRule="auto"/>
        <w:jc w:val="both"/>
        <w:rPr>
          <w:sz w:val="24"/>
          <w:szCs w:val="24"/>
        </w:rPr>
      </w:pPr>
      <w:r w:rsidRPr="0056112B">
        <w:rPr>
          <w:sz w:val="24"/>
          <w:szCs w:val="24"/>
        </w:rPr>
        <w:t>Číslo účtu: 530001-60039011/0710</w:t>
      </w:r>
    </w:p>
    <w:p w:rsidR="0056112B" w:rsidRPr="0056112B" w:rsidRDefault="0056112B" w:rsidP="00FE3592">
      <w:pPr>
        <w:spacing w:line="360" w:lineRule="auto"/>
        <w:jc w:val="both"/>
        <w:rPr>
          <w:sz w:val="24"/>
          <w:szCs w:val="24"/>
        </w:rPr>
      </w:pPr>
      <w:r w:rsidRPr="0056112B">
        <w:rPr>
          <w:sz w:val="24"/>
          <w:szCs w:val="24"/>
        </w:rPr>
        <w:t>(dále jen „</w:t>
      </w:r>
      <w:r w:rsidRPr="0056112B">
        <w:rPr>
          <w:b/>
          <w:sz w:val="24"/>
          <w:szCs w:val="24"/>
        </w:rPr>
        <w:t>příjemce</w:t>
      </w:r>
      <w:r w:rsidRPr="0056112B">
        <w:rPr>
          <w:sz w:val="24"/>
          <w:szCs w:val="24"/>
        </w:rPr>
        <w:t>“)</w:t>
      </w:r>
    </w:p>
    <w:p w:rsidR="0056112B" w:rsidRPr="0056112B" w:rsidRDefault="0056112B" w:rsidP="00FE3592">
      <w:pPr>
        <w:spacing w:line="360" w:lineRule="auto"/>
        <w:jc w:val="both"/>
        <w:rPr>
          <w:sz w:val="24"/>
          <w:szCs w:val="24"/>
        </w:rPr>
      </w:pPr>
      <w:r w:rsidRPr="0056112B">
        <w:rPr>
          <w:sz w:val="24"/>
          <w:szCs w:val="24"/>
        </w:rPr>
        <w:t>na straně druhé</w:t>
      </w: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300A9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 w:rsidR="0056112B">
        <w:rPr>
          <w:noProof/>
          <w:sz w:val="24"/>
          <w:szCs w:val="24"/>
        </w:rPr>
        <w:t>13</w:t>
      </w:r>
      <w:r w:rsidR="00837E23">
        <w:rPr>
          <w:noProof/>
          <w:sz w:val="24"/>
          <w:szCs w:val="24"/>
        </w:rPr>
        <w:t xml:space="preserve">. </w:t>
      </w:r>
      <w:r w:rsidR="0056112B">
        <w:rPr>
          <w:noProof/>
          <w:sz w:val="24"/>
          <w:szCs w:val="24"/>
        </w:rPr>
        <w:t>6</w:t>
      </w:r>
      <w:r w:rsidR="007632F4">
        <w:rPr>
          <w:noProof/>
          <w:sz w:val="24"/>
          <w:szCs w:val="24"/>
        </w:rPr>
        <w:t>. 201</w:t>
      </w:r>
      <w:r w:rsidR="0056112B">
        <w:rPr>
          <w:sz w:val="24"/>
          <w:szCs w:val="24"/>
        </w:rPr>
        <w:t>6</w:t>
      </w:r>
      <w:r w:rsidRPr="003319C5">
        <w:rPr>
          <w:sz w:val="24"/>
          <w:szCs w:val="24"/>
        </w:rPr>
        <w:t xml:space="preserve"> </w:t>
      </w:r>
      <w:bookmarkStart w:id="8" w:name="Text52"/>
      <w:r w:rsidR="007632F4">
        <w:rPr>
          <w:noProof/>
          <w:sz w:val="24"/>
          <w:szCs w:val="24"/>
        </w:rPr>
        <w:t>smlouvu o poskytnutí účelové dotace z </w:t>
      </w:r>
      <w:r w:rsidR="0056112B">
        <w:rPr>
          <w:noProof/>
          <w:sz w:val="24"/>
          <w:szCs w:val="24"/>
        </w:rPr>
        <w:t>rozpočtu</w:t>
      </w:r>
      <w:r w:rsidR="007632F4">
        <w:rPr>
          <w:noProof/>
          <w:sz w:val="24"/>
          <w:szCs w:val="24"/>
        </w:rPr>
        <w:t xml:space="preserve"> Libereckého kraje </w:t>
      </w:r>
      <w:bookmarkEnd w:id="8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bookmarkStart w:id="9" w:name="Text34"/>
      <w:r w:rsidR="001E0D11">
        <w:rPr>
          <w:noProof/>
          <w:sz w:val="24"/>
          <w:szCs w:val="24"/>
        </w:rPr>
        <w:t>OLP/</w:t>
      </w:r>
      <w:bookmarkEnd w:id="9"/>
      <w:r w:rsidR="0056112B">
        <w:rPr>
          <w:noProof/>
          <w:sz w:val="24"/>
          <w:szCs w:val="24"/>
        </w:rPr>
        <w:t>1929/2016</w:t>
      </w:r>
      <w:r>
        <w:rPr>
          <w:sz w:val="24"/>
          <w:szCs w:val="24"/>
        </w:rPr>
        <w:t xml:space="preserve">, jejímž předmětem je </w:t>
      </w:r>
      <w:bookmarkStart w:id="10" w:name="Text35"/>
      <w:r w:rsidR="007632F4">
        <w:rPr>
          <w:noProof/>
          <w:sz w:val="24"/>
          <w:szCs w:val="24"/>
        </w:rPr>
        <w:t>podpora projektu "</w:t>
      </w:r>
      <w:r w:rsidR="0056112B" w:rsidRPr="0056112B">
        <w:t xml:space="preserve"> </w:t>
      </w:r>
      <w:r w:rsidR="0056112B" w:rsidRPr="0056112B">
        <w:rPr>
          <w:noProof/>
          <w:sz w:val="24"/>
          <w:szCs w:val="24"/>
        </w:rPr>
        <w:t xml:space="preserve">Podpora </w:t>
      </w:r>
      <w:r w:rsidR="0056112B" w:rsidRPr="0056112B">
        <w:rPr>
          <w:noProof/>
          <w:sz w:val="24"/>
          <w:szCs w:val="24"/>
        </w:rPr>
        <w:lastRenderedPageBreak/>
        <w:t xml:space="preserve">publikační a výzkumné činnosti Národního památkového ústavu, ú. o. p. v Liberci </w:t>
      </w:r>
      <w:r w:rsidR="007632F4">
        <w:rPr>
          <w:noProof/>
          <w:sz w:val="24"/>
          <w:szCs w:val="24"/>
        </w:rPr>
        <w:t>"</w:t>
      </w:r>
      <w:bookmarkEnd w:id="10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732F95" w:rsidRDefault="00B94AA3" w:rsidP="00300A9E">
      <w:pPr>
        <w:pStyle w:val="Odstavecseseznamem"/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732F95">
        <w:rPr>
          <w:sz w:val="24"/>
          <w:szCs w:val="24"/>
        </w:rPr>
        <w:t xml:space="preserve">Důvodem pro uzavření tohoto dodatku je </w:t>
      </w:r>
      <w:bookmarkStart w:id="11" w:name="Text36"/>
      <w:r w:rsidR="00837E23" w:rsidRPr="00732F95">
        <w:rPr>
          <w:sz w:val="24"/>
          <w:szCs w:val="24"/>
        </w:rPr>
        <w:t xml:space="preserve">žádost příjemce o </w:t>
      </w:r>
      <w:r w:rsidR="001E0D11" w:rsidRPr="00732F95">
        <w:rPr>
          <w:sz w:val="24"/>
          <w:szCs w:val="24"/>
        </w:rPr>
        <w:t>změnu závazných parametrů</w:t>
      </w:r>
      <w:r w:rsidR="00F36356" w:rsidRPr="00732F95">
        <w:rPr>
          <w:sz w:val="24"/>
          <w:szCs w:val="24"/>
        </w:rPr>
        <w:t xml:space="preserve"> projektu</w:t>
      </w:r>
      <w:r w:rsidR="007632F4" w:rsidRPr="00732F95">
        <w:rPr>
          <w:noProof/>
          <w:sz w:val="24"/>
          <w:szCs w:val="24"/>
        </w:rPr>
        <w:t>. Příjemce požádal poskytovatele do</w:t>
      </w:r>
      <w:r w:rsidR="0056112B" w:rsidRPr="00732F95">
        <w:rPr>
          <w:noProof/>
          <w:sz w:val="24"/>
          <w:szCs w:val="24"/>
        </w:rPr>
        <w:t>pisem ze dne 11</w:t>
      </w:r>
      <w:r w:rsidR="00897052" w:rsidRPr="00732F95">
        <w:rPr>
          <w:noProof/>
          <w:sz w:val="24"/>
          <w:szCs w:val="24"/>
        </w:rPr>
        <w:t xml:space="preserve">. </w:t>
      </w:r>
      <w:r w:rsidR="0056112B" w:rsidRPr="00732F95">
        <w:rPr>
          <w:noProof/>
          <w:sz w:val="24"/>
          <w:szCs w:val="24"/>
        </w:rPr>
        <w:t>července 2016</w:t>
      </w:r>
      <w:r w:rsidR="004C5CE3" w:rsidRPr="00732F95">
        <w:rPr>
          <w:noProof/>
          <w:sz w:val="24"/>
          <w:szCs w:val="24"/>
        </w:rPr>
        <w:t xml:space="preserve"> o změnu </w:t>
      </w:r>
      <w:r w:rsidR="001E0D11" w:rsidRPr="00732F95">
        <w:rPr>
          <w:noProof/>
          <w:sz w:val="24"/>
          <w:szCs w:val="24"/>
        </w:rPr>
        <w:t>závazných parametrů projektu uvedených</w:t>
      </w:r>
      <w:r w:rsidR="004C5CE3" w:rsidRPr="00732F95">
        <w:rPr>
          <w:noProof/>
          <w:sz w:val="24"/>
          <w:szCs w:val="24"/>
        </w:rPr>
        <w:t xml:space="preserve"> v Čl. </w:t>
      </w:r>
      <w:r w:rsidR="001E0D11" w:rsidRPr="00732F95">
        <w:rPr>
          <w:noProof/>
          <w:sz w:val="24"/>
          <w:szCs w:val="24"/>
        </w:rPr>
        <w:t>I odst. 3</w:t>
      </w:r>
      <w:r w:rsidR="004C5CE3" w:rsidRPr="00732F95">
        <w:rPr>
          <w:noProof/>
          <w:sz w:val="24"/>
          <w:szCs w:val="24"/>
        </w:rPr>
        <w:t xml:space="preserve"> smlouvy</w:t>
      </w:r>
      <w:r w:rsidR="00897052" w:rsidRPr="00732F95">
        <w:rPr>
          <w:noProof/>
          <w:sz w:val="24"/>
          <w:szCs w:val="24"/>
        </w:rPr>
        <w:t xml:space="preserve">. </w:t>
      </w:r>
      <w:bookmarkEnd w:id="11"/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2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897052">
        <w:rPr>
          <w:noProof/>
          <w:sz w:val="24"/>
          <w:szCs w:val="24"/>
        </w:rPr>
        <w:t>.</w:t>
      </w:r>
      <w:r w:rsidR="00150D55">
        <w:rPr>
          <w:sz w:val="24"/>
          <w:szCs w:val="24"/>
        </w:rPr>
        <w:fldChar w:fldCharType="end"/>
      </w:r>
      <w:bookmarkEnd w:id="12"/>
      <w:r w:rsidRPr="00575E2B">
        <w:rPr>
          <w:sz w:val="24"/>
          <w:szCs w:val="24"/>
        </w:rPr>
        <w:t xml:space="preserve"> odst. </w:t>
      </w:r>
      <w:r w:rsidR="00DF56DC">
        <w:rPr>
          <w:sz w:val="24"/>
          <w:szCs w:val="24"/>
        </w:rPr>
        <w:t>3</w:t>
      </w:r>
      <w:r w:rsidR="00F37628" w:rsidRPr="00575E2B">
        <w:rPr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DF56DC" w:rsidRPr="00DF56DC" w:rsidRDefault="00F36356" w:rsidP="00DF56DC">
      <w:pPr>
        <w:widowControl w:val="0"/>
        <w:spacing w:before="120" w:line="276" w:lineRule="auto"/>
        <w:ind w:left="357" w:hanging="73"/>
        <w:jc w:val="both"/>
        <w:rPr>
          <w:b/>
          <w:sz w:val="24"/>
          <w:szCs w:val="24"/>
        </w:rPr>
      </w:pPr>
      <w:r w:rsidRPr="00DF56DC">
        <w:rPr>
          <w:b/>
          <w:sz w:val="24"/>
          <w:szCs w:val="24"/>
        </w:rPr>
        <w:t>Příjemce je pov</w:t>
      </w:r>
      <w:r w:rsidR="00DF56DC" w:rsidRPr="00DF56DC">
        <w:rPr>
          <w:b/>
          <w:sz w:val="24"/>
          <w:szCs w:val="24"/>
        </w:rPr>
        <w:t xml:space="preserve">inen realizovat projekt </w:t>
      </w:r>
      <w:r w:rsidR="0056112B">
        <w:rPr>
          <w:b/>
          <w:sz w:val="24"/>
          <w:szCs w:val="24"/>
        </w:rPr>
        <w:t>minimálně v rozsahu a dle specifikace těchto závazných parametrů</w:t>
      </w:r>
      <w:r w:rsidR="00DF56DC" w:rsidRPr="00DF56DC">
        <w:rPr>
          <w:b/>
          <w:sz w:val="24"/>
          <w:szCs w:val="24"/>
        </w:rPr>
        <w:t>: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004"/>
        <w:gridCol w:w="2463"/>
        <w:gridCol w:w="2464"/>
      </w:tblGrid>
      <w:tr w:rsidR="0056112B" w:rsidRPr="00DF56DC" w:rsidTr="00DF56DC">
        <w:tc>
          <w:tcPr>
            <w:tcW w:w="4004" w:type="dxa"/>
          </w:tcPr>
          <w:p w:rsidR="0056112B" w:rsidRPr="007A4B05" w:rsidRDefault="0056112B" w:rsidP="00F00C4D">
            <w:r w:rsidRPr="007A4B05">
              <w:t>Název parametru</w:t>
            </w:r>
          </w:p>
        </w:tc>
        <w:tc>
          <w:tcPr>
            <w:tcW w:w="2463" w:type="dxa"/>
          </w:tcPr>
          <w:p w:rsidR="0056112B" w:rsidRPr="007A4B05" w:rsidRDefault="0056112B" w:rsidP="00F00C4D">
            <w:r w:rsidRPr="007A4B05">
              <w:t>jednotka</w:t>
            </w:r>
          </w:p>
        </w:tc>
        <w:tc>
          <w:tcPr>
            <w:tcW w:w="2464" w:type="dxa"/>
          </w:tcPr>
          <w:p w:rsidR="0056112B" w:rsidRPr="007A4B05" w:rsidRDefault="0056112B" w:rsidP="00F00C4D">
            <w:r w:rsidRPr="007A4B05">
              <w:t>hodnota</w:t>
            </w:r>
          </w:p>
        </w:tc>
      </w:tr>
      <w:tr w:rsidR="0056112B" w:rsidRPr="00DF56DC" w:rsidTr="00DF56DC">
        <w:tc>
          <w:tcPr>
            <w:tcW w:w="4004" w:type="dxa"/>
          </w:tcPr>
          <w:p w:rsidR="0056112B" w:rsidRPr="007A4B05" w:rsidRDefault="0056112B" w:rsidP="00F00C4D">
            <w:r w:rsidRPr="007A4B05">
              <w:t>Fontes Nissae – Prameny Nisy</w:t>
            </w:r>
          </w:p>
        </w:tc>
        <w:tc>
          <w:tcPr>
            <w:tcW w:w="2463" w:type="dxa"/>
          </w:tcPr>
          <w:p w:rsidR="0056112B" w:rsidRPr="007A4B05" w:rsidRDefault="0056112B" w:rsidP="00F00C4D">
            <w:r w:rsidRPr="007A4B05">
              <w:t>ks</w:t>
            </w:r>
          </w:p>
        </w:tc>
        <w:tc>
          <w:tcPr>
            <w:tcW w:w="2464" w:type="dxa"/>
          </w:tcPr>
          <w:p w:rsidR="0056112B" w:rsidRPr="007A4B05" w:rsidRDefault="0056112B" w:rsidP="00F00C4D">
            <w:r w:rsidRPr="007A4B05">
              <w:t>500ks+500ks</w:t>
            </w:r>
          </w:p>
        </w:tc>
      </w:tr>
      <w:tr w:rsidR="0056112B" w:rsidRPr="00DF56DC" w:rsidTr="00DF56DC">
        <w:tc>
          <w:tcPr>
            <w:tcW w:w="4004" w:type="dxa"/>
          </w:tcPr>
          <w:p w:rsidR="0056112B" w:rsidRPr="007A4B05" w:rsidRDefault="0056112B" w:rsidP="00F00C4D">
            <w:r w:rsidRPr="007A4B05">
              <w:t>Infoleták Prezentace památek – zřícenina hradu Nístějka</w:t>
            </w:r>
          </w:p>
        </w:tc>
        <w:tc>
          <w:tcPr>
            <w:tcW w:w="2463" w:type="dxa"/>
          </w:tcPr>
          <w:p w:rsidR="0056112B" w:rsidRPr="007A4B05" w:rsidRDefault="0056112B" w:rsidP="00F00C4D">
            <w:r w:rsidRPr="007A4B05">
              <w:t>ks</w:t>
            </w:r>
          </w:p>
        </w:tc>
        <w:tc>
          <w:tcPr>
            <w:tcW w:w="2464" w:type="dxa"/>
          </w:tcPr>
          <w:p w:rsidR="0056112B" w:rsidRPr="007A4B05" w:rsidRDefault="0056112B" w:rsidP="00F00C4D">
            <w:r w:rsidRPr="007A4B05">
              <w:t>5000ks</w:t>
            </w:r>
          </w:p>
        </w:tc>
      </w:tr>
      <w:tr w:rsidR="0056112B" w:rsidRPr="00DF56DC" w:rsidTr="00DF56DC">
        <w:tc>
          <w:tcPr>
            <w:tcW w:w="4004" w:type="dxa"/>
          </w:tcPr>
          <w:p w:rsidR="0056112B" w:rsidRPr="007A4B05" w:rsidRDefault="0056112B" w:rsidP="00F00C4D">
            <w:r w:rsidRPr="007A4B05">
              <w:t>Infoleták Prezentace památek – Husův sbor v Semilech</w:t>
            </w:r>
          </w:p>
        </w:tc>
        <w:tc>
          <w:tcPr>
            <w:tcW w:w="2463" w:type="dxa"/>
          </w:tcPr>
          <w:p w:rsidR="0056112B" w:rsidRPr="007A4B05" w:rsidRDefault="0056112B" w:rsidP="00F00C4D">
            <w:r w:rsidRPr="007A4B05">
              <w:t>ks</w:t>
            </w:r>
          </w:p>
        </w:tc>
        <w:tc>
          <w:tcPr>
            <w:tcW w:w="2464" w:type="dxa"/>
          </w:tcPr>
          <w:p w:rsidR="0056112B" w:rsidRPr="007A4B05" w:rsidRDefault="0056112B" w:rsidP="00F00C4D">
            <w:r w:rsidRPr="007A4B05">
              <w:t>5000ks</w:t>
            </w:r>
          </w:p>
        </w:tc>
      </w:tr>
      <w:tr w:rsidR="0056112B" w:rsidRPr="00DF56DC" w:rsidTr="00DF56DC">
        <w:tc>
          <w:tcPr>
            <w:tcW w:w="4004" w:type="dxa"/>
          </w:tcPr>
          <w:p w:rsidR="0056112B" w:rsidRPr="007A4B05" w:rsidRDefault="0056112B" w:rsidP="00F00C4D">
            <w:r w:rsidRPr="007A4B05">
              <w:t>Dendrochronologické anylýzy</w:t>
            </w:r>
          </w:p>
        </w:tc>
        <w:tc>
          <w:tcPr>
            <w:tcW w:w="2463" w:type="dxa"/>
          </w:tcPr>
          <w:p w:rsidR="0056112B" w:rsidRPr="007A4B05" w:rsidRDefault="0056112B" w:rsidP="00F00C4D">
            <w:r w:rsidRPr="007A4B05">
              <w:t>ks</w:t>
            </w:r>
          </w:p>
        </w:tc>
        <w:tc>
          <w:tcPr>
            <w:tcW w:w="2464" w:type="dxa"/>
          </w:tcPr>
          <w:p w:rsidR="0056112B" w:rsidRPr="007A4B05" w:rsidRDefault="0056112B" w:rsidP="00F00C4D">
            <w:r w:rsidRPr="007A4B05">
              <w:t>3</w:t>
            </w:r>
          </w:p>
        </w:tc>
      </w:tr>
    </w:tbl>
    <w:p w:rsidR="00D9442A" w:rsidRPr="00575E2B" w:rsidRDefault="00D9442A" w:rsidP="00150D55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4A1C61" w:rsidRDefault="004A1C61" w:rsidP="00F36356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56112B" w:rsidRPr="00DF56DC" w:rsidRDefault="0056112B" w:rsidP="0056112B">
      <w:pPr>
        <w:widowControl w:val="0"/>
        <w:spacing w:before="120" w:line="276" w:lineRule="auto"/>
        <w:ind w:left="357" w:hanging="73"/>
        <w:jc w:val="both"/>
        <w:rPr>
          <w:b/>
          <w:sz w:val="24"/>
          <w:szCs w:val="24"/>
        </w:rPr>
      </w:pPr>
      <w:r w:rsidRPr="00DF56DC">
        <w:rPr>
          <w:b/>
          <w:sz w:val="24"/>
          <w:szCs w:val="24"/>
        </w:rPr>
        <w:t xml:space="preserve">Příjemce je povinen realizovat projekt </w:t>
      </w:r>
      <w:r>
        <w:rPr>
          <w:b/>
          <w:sz w:val="24"/>
          <w:szCs w:val="24"/>
        </w:rPr>
        <w:t>minimálně v rozsahu a dle specifikace těchto závazných parametrů</w:t>
      </w:r>
      <w:r w:rsidRPr="00DF56DC">
        <w:rPr>
          <w:b/>
          <w:sz w:val="24"/>
          <w:szCs w:val="24"/>
        </w:rPr>
        <w:t>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2126"/>
        <w:gridCol w:w="2127"/>
      </w:tblGrid>
      <w:tr w:rsidR="0056112B" w:rsidRPr="0056112B" w:rsidTr="00E65DFD">
        <w:tc>
          <w:tcPr>
            <w:tcW w:w="380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rPr>
                <w:b/>
                <w:sz w:val="24"/>
                <w:szCs w:val="24"/>
              </w:rPr>
            </w:pPr>
            <w:r w:rsidRPr="0056112B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212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56112B"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2127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56112B">
              <w:rPr>
                <w:b/>
                <w:sz w:val="24"/>
                <w:szCs w:val="24"/>
              </w:rPr>
              <w:t>hodnota</w:t>
            </w:r>
          </w:p>
        </w:tc>
      </w:tr>
      <w:tr w:rsidR="0056112B" w:rsidRPr="0056112B" w:rsidTr="00E65DFD">
        <w:tc>
          <w:tcPr>
            <w:tcW w:w="380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56112B">
              <w:rPr>
                <w:noProof/>
                <w:szCs w:val="24"/>
              </w:rPr>
              <w:t>Fontes Nissae – Prameny Nisy</w:t>
            </w:r>
          </w:p>
        </w:tc>
        <w:tc>
          <w:tcPr>
            <w:tcW w:w="212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500ks+500ks</w:t>
            </w:r>
          </w:p>
        </w:tc>
      </w:tr>
      <w:tr w:rsidR="0056112B" w:rsidRPr="0056112B" w:rsidTr="00E65DFD">
        <w:tc>
          <w:tcPr>
            <w:tcW w:w="380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56112B">
              <w:rPr>
                <w:noProof/>
                <w:szCs w:val="24"/>
              </w:rPr>
              <w:t>Infoleták Prezentace památek – nádraží Martinice v Krkonoších</w:t>
            </w:r>
          </w:p>
        </w:tc>
        <w:tc>
          <w:tcPr>
            <w:tcW w:w="212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5000ks</w:t>
            </w:r>
          </w:p>
        </w:tc>
      </w:tr>
      <w:tr w:rsidR="0056112B" w:rsidRPr="0056112B" w:rsidTr="00E65DFD">
        <w:tc>
          <w:tcPr>
            <w:tcW w:w="380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56112B">
              <w:rPr>
                <w:noProof/>
                <w:szCs w:val="24"/>
              </w:rPr>
              <w:t>Infoleták Prezentace památek – Husův sbor v Semilech</w:t>
            </w:r>
          </w:p>
        </w:tc>
        <w:tc>
          <w:tcPr>
            <w:tcW w:w="212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5000ks</w:t>
            </w:r>
          </w:p>
        </w:tc>
      </w:tr>
      <w:tr w:rsidR="0056112B" w:rsidRPr="0056112B" w:rsidTr="00E65DFD">
        <w:tc>
          <w:tcPr>
            <w:tcW w:w="380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56112B">
              <w:rPr>
                <w:noProof/>
                <w:szCs w:val="24"/>
              </w:rPr>
              <w:t>Dendrochronologické anylýzy</w:t>
            </w:r>
          </w:p>
        </w:tc>
        <w:tc>
          <w:tcPr>
            <w:tcW w:w="212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3</w:t>
            </w:r>
          </w:p>
        </w:tc>
      </w:tr>
      <w:tr w:rsidR="0056112B" w:rsidRPr="0056112B" w:rsidTr="00E65DFD">
        <w:tc>
          <w:tcPr>
            <w:tcW w:w="380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rPr>
                <w:sz w:val="24"/>
                <w:szCs w:val="24"/>
              </w:rPr>
            </w:pPr>
            <w:r w:rsidRPr="0056112B">
              <w:rPr>
                <w:noProof/>
                <w:szCs w:val="24"/>
              </w:rPr>
              <w:t>Fotogrametrické zaměření</w:t>
            </w:r>
          </w:p>
        </w:tc>
        <w:tc>
          <w:tcPr>
            <w:tcW w:w="2126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ks</w:t>
            </w:r>
          </w:p>
        </w:tc>
        <w:tc>
          <w:tcPr>
            <w:tcW w:w="2127" w:type="dxa"/>
            <w:shd w:val="clear" w:color="auto" w:fill="auto"/>
          </w:tcPr>
          <w:p w:rsidR="0056112B" w:rsidRPr="0056112B" w:rsidRDefault="0056112B" w:rsidP="0056112B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6112B">
              <w:rPr>
                <w:sz w:val="24"/>
                <w:szCs w:val="24"/>
              </w:rPr>
              <w:t>1</w:t>
            </w:r>
          </w:p>
        </w:tc>
      </w:tr>
    </w:tbl>
    <w:p w:rsidR="0056112B" w:rsidRPr="0056112B" w:rsidRDefault="0056112B" w:rsidP="0056112B">
      <w:pPr>
        <w:spacing w:after="120"/>
        <w:ind w:left="483"/>
        <w:jc w:val="both"/>
        <w:rPr>
          <w:sz w:val="24"/>
          <w:szCs w:val="24"/>
        </w:rPr>
      </w:pPr>
    </w:p>
    <w:p w:rsidR="004A1C61" w:rsidRDefault="004A1C61" w:rsidP="00F36356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972AD4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972AD4" w:rsidRPr="00732F95" w:rsidRDefault="00150D55" w:rsidP="00732F95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CA107A">
        <w:rPr>
          <w:sz w:val="24"/>
          <w:szCs w:val="24"/>
        </w:rPr>
        <w:t xml:space="preserve"> dodatek je vyhotoven ve třech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3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3"/>
      <w:r w:rsidR="00CA107A">
        <w:rPr>
          <w:sz w:val="24"/>
          <w:szCs w:val="24"/>
        </w:rPr>
        <w:t>a jeden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4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14"/>
    </w:p>
    <w:p w:rsidR="00BB5647" w:rsidRDefault="00BB5647" w:rsidP="00BB5647">
      <w:pPr>
        <w:pStyle w:val="Odstavecseseznamem"/>
        <w:numPr>
          <w:ilvl w:val="0"/>
          <w:numId w:val="1"/>
        </w:numPr>
        <w:tabs>
          <w:tab w:val="clear" w:pos="397"/>
          <w:tab w:val="num" w:pos="284"/>
          <w:tab w:val="num" w:pos="8506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BB5647">
        <w:rPr>
          <w:sz w:val="24"/>
          <w:szCs w:val="24"/>
        </w:rPr>
        <w:lastRenderedPageBreak/>
        <w:t>Příjemce bere na vědomí, že smlouvy s hodnotou předmětu převyšující 50.000 Kč bez DPH včetně dohod, na základě kterých se tyto smlouvy mění, nahrazují nebo ruší, zveřejní poskytovatel v registru smluv zřízeném jako informační systém veřejné správy na základě zákona č. 340/2015 Sb., o registru smluv.</w:t>
      </w:r>
      <w:r w:rsidRPr="00BB5647">
        <w:rPr>
          <w:i/>
          <w:sz w:val="24"/>
          <w:szCs w:val="24"/>
        </w:rPr>
        <w:t xml:space="preserve"> </w:t>
      </w:r>
      <w:r w:rsidRPr="00BB5647">
        <w:rPr>
          <w:sz w:val="24"/>
          <w:szCs w:val="24"/>
        </w:rPr>
        <w:t>Příjemce výslovně souhlasí s tím, aby tento dodatek byl v plném rozsahu v registru smluv poskytovatelem zveřejněn. Příjemce prohlašuje, že skutečnosti uvedené v tomto dodatku nepovažuje za obchodní tajemství a uděluje svolení k jejich užití a zveřejnění bez stanovení jakýchkoliv dalších podmínek.</w:t>
      </w:r>
    </w:p>
    <w:p w:rsidR="00BB5647" w:rsidRPr="00BB5647" w:rsidRDefault="00BB5647" w:rsidP="00BB5647">
      <w:pPr>
        <w:pStyle w:val="Odstavecseseznamem"/>
        <w:tabs>
          <w:tab w:val="num" w:pos="8506"/>
        </w:tabs>
        <w:spacing w:before="120" w:line="276" w:lineRule="auto"/>
        <w:ind w:left="284"/>
        <w:jc w:val="both"/>
        <w:rPr>
          <w:sz w:val="24"/>
          <w:szCs w:val="24"/>
        </w:rPr>
      </w:pPr>
    </w:p>
    <w:p w:rsidR="00BB5647" w:rsidRPr="00BB5647" w:rsidRDefault="00BB5647" w:rsidP="00BB5647">
      <w:pPr>
        <w:pStyle w:val="Odstavecseseznamem"/>
        <w:numPr>
          <w:ilvl w:val="0"/>
          <w:numId w:val="1"/>
        </w:numPr>
        <w:tabs>
          <w:tab w:val="clear" w:pos="397"/>
          <w:tab w:val="num" w:pos="284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BB5647"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4C5CE3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</w:p>
    <w:p w:rsid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byl schválen</w:t>
      </w:r>
      <w:r w:rsidR="00BD0F41">
        <w:rPr>
          <w:sz w:val="24"/>
          <w:szCs w:val="24"/>
        </w:rPr>
        <w:t xml:space="preserve"> usnesením Zastupitelstva</w:t>
      </w:r>
      <w:r w:rsidRPr="00A85FAD">
        <w:rPr>
          <w:sz w:val="24"/>
          <w:szCs w:val="24"/>
        </w:rPr>
        <w:t xml:space="preserve"> Libereckého kraje č.    ze dne</w:t>
      </w:r>
      <w:r w:rsidR="0056112B">
        <w:rPr>
          <w:sz w:val="24"/>
          <w:szCs w:val="24"/>
        </w:rPr>
        <w:t xml:space="preserve"> 30. 8</w:t>
      </w:r>
      <w:r w:rsidR="004C5CE3">
        <w:rPr>
          <w:sz w:val="24"/>
          <w:szCs w:val="24"/>
        </w:rPr>
        <w:t>.</w:t>
      </w:r>
      <w:r w:rsidR="00CA107A">
        <w:rPr>
          <w:sz w:val="24"/>
          <w:szCs w:val="24"/>
        </w:rPr>
        <w:t> </w:t>
      </w:r>
      <w:r w:rsidR="0056112B">
        <w:rPr>
          <w:sz w:val="24"/>
          <w:szCs w:val="24"/>
        </w:rPr>
        <w:t>2016.</w:t>
      </w:r>
      <w:r w:rsidR="0056112B" w:rsidRPr="00A85FAD">
        <w:rPr>
          <w:noProof/>
          <w:sz w:val="24"/>
          <w:szCs w:val="24"/>
        </w:rPr>
        <w:t xml:space="preserve"> </w:t>
      </w: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4A1C6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5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5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6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4A1C61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4A1C61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4A1C61">
      <w:pPr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F817D2" w:rsidRPr="00F817D2" w:rsidRDefault="0056112B" w:rsidP="00F817D2">
      <w:pPr>
        <w:pStyle w:val="Bezmezer"/>
        <w:rPr>
          <w:sz w:val="24"/>
        </w:rPr>
      </w:pPr>
      <w:r>
        <w:rPr>
          <w:sz w:val="24"/>
        </w:rPr>
        <w:t>Martin Půta</w:t>
      </w:r>
      <w:r w:rsidR="008F13EB" w:rsidRPr="008F13EB">
        <w:rPr>
          <w:sz w:val="24"/>
        </w:rPr>
        <w:t xml:space="preserve">,       </w:t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F817D2"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Miloš Krčmář,</w:t>
      </w:r>
    </w:p>
    <w:p w:rsidR="00F2576F" w:rsidRDefault="00F817D2" w:rsidP="0056112B">
      <w:pPr>
        <w:pStyle w:val="Bezmezer"/>
      </w:pPr>
      <w:r w:rsidRPr="008F13EB">
        <w:rPr>
          <w:sz w:val="24"/>
        </w:rPr>
        <w:t>hejtman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6112B">
        <w:rPr>
          <w:sz w:val="24"/>
        </w:rPr>
        <w:tab/>
      </w:r>
      <w:r w:rsidR="0056112B">
        <w:rPr>
          <w:sz w:val="24"/>
        </w:rPr>
        <w:tab/>
      </w:r>
      <w:r w:rsidR="0056112B">
        <w:rPr>
          <w:sz w:val="24"/>
        </w:rPr>
        <w:tab/>
      </w:r>
      <w:r w:rsidR="0056112B">
        <w:rPr>
          <w:sz w:val="24"/>
        </w:rPr>
        <w:tab/>
      </w:r>
      <w:r>
        <w:rPr>
          <w:sz w:val="24"/>
        </w:rPr>
        <w:tab/>
      </w:r>
      <w:r w:rsidR="0056112B">
        <w:rPr>
          <w:sz w:val="24"/>
        </w:rPr>
        <w:t>ředitel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sectPr w:rsidR="00F2576F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0F" w:rsidRDefault="00B1250F">
      <w:r>
        <w:separator/>
      </w:r>
    </w:p>
  </w:endnote>
  <w:endnote w:type="continuationSeparator" w:id="0">
    <w:p w:rsidR="00B1250F" w:rsidRDefault="00B1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3399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0F" w:rsidRDefault="00B1250F">
      <w:r>
        <w:separator/>
      </w:r>
    </w:p>
  </w:footnote>
  <w:footnote w:type="continuationSeparator" w:id="0">
    <w:p w:rsidR="00B1250F" w:rsidRDefault="00B1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pLicpsZ/CJ1VqEsPehIypS1GT0=" w:salt="e5BnyWZqAVRXPzYJ3F85R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B0E09"/>
    <w:rsid w:val="000D0C33"/>
    <w:rsid w:val="001478B3"/>
    <w:rsid w:val="00150D55"/>
    <w:rsid w:val="00160F86"/>
    <w:rsid w:val="00161483"/>
    <w:rsid w:val="001724CE"/>
    <w:rsid w:val="00192FA0"/>
    <w:rsid w:val="001E0D11"/>
    <w:rsid w:val="001F3665"/>
    <w:rsid w:val="00245DDE"/>
    <w:rsid w:val="002470FF"/>
    <w:rsid w:val="00273CCE"/>
    <w:rsid w:val="002B2AF5"/>
    <w:rsid w:val="002C3399"/>
    <w:rsid w:val="002D7F83"/>
    <w:rsid w:val="00300A9E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5AAA"/>
    <w:rsid w:val="003C2967"/>
    <w:rsid w:val="003E7BD9"/>
    <w:rsid w:val="003F3158"/>
    <w:rsid w:val="004174DF"/>
    <w:rsid w:val="0046606D"/>
    <w:rsid w:val="0047115B"/>
    <w:rsid w:val="00485165"/>
    <w:rsid w:val="004874D0"/>
    <w:rsid w:val="00487E0B"/>
    <w:rsid w:val="004A1C61"/>
    <w:rsid w:val="004C0A11"/>
    <w:rsid w:val="004C5CE3"/>
    <w:rsid w:val="0053275A"/>
    <w:rsid w:val="0056112B"/>
    <w:rsid w:val="00571838"/>
    <w:rsid w:val="00575E2B"/>
    <w:rsid w:val="00591C5C"/>
    <w:rsid w:val="005C516A"/>
    <w:rsid w:val="005D0380"/>
    <w:rsid w:val="005D6E67"/>
    <w:rsid w:val="005E39D4"/>
    <w:rsid w:val="00604DA1"/>
    <w:rsid w:val="00633873"/>
    <w:rsid w:val="0069260C"/>
    <w:rsid w:val="006A09CB"/>
    <w:rsid w:val="006A4B23"/>
    <w:rsid w:val="00722CD8"/>
    <w:rsid w:val="00732F95"/>
    <w:rsid w:val="007463DE"/>
    <w:rsid w:val="007612EF"/>
    <w:rsid w:val="00761F64"/>
    <w:rsid w:val="007632F4"/>
    <w:rsid w:val="00772BA6"/>
    <w:rsid w:val="007B01BD"/>
    <w:rsid w:val="007E05B7"/>
    <w:rsid w:val="0080253B"/>
    <w:rsid w:val="00817DBC"/>
    <w:rsid w:val="00837E23"/>
    <w:rsid w:val="00843935"/>
    <w:rsid w:val="0087536F"/>
    <w:rsid w:val="008772BD"/>
    <w:rsid w:val="008838D6"/>
    <w:rsid w:val="00897052"/>
    <w:rsid w:val="008C5373"/>
    <w:rsid w:val="008D4591"/>
    <w:rsid w:val="008E235B"/>
    <w:rsid w:val="008E463E"/>
    <w:rsid w:val="008E4A35"/>
    <w:rsid w:val="008E4B7D"/>
    <w:rsid w:val="008E5E35"/>
    <w:rsid w:val="008E6736"/>
    <w:rsid w:val="008F13EB"/>
    <w:rsid w:val="00904B45"/>
    <w:rsid w:val="0092024A"/>
    <w:rsid w:val="00970176"/>
    <w:rsid w:val="00972AD4"/>
    <w:rsid w:val="00983210"/>
    <w:rsid w:val="009A6E87"/>
    <w:rsid w:val="009C4764"/>
    <w:rsid w:val="00A3424A"/>
    <w:rsid w:val="00A458D4"/>
    <w:rsid w:val="00A47B3A"/>
    <w:rsid w:val="00A53D99"/>
    <w:rsid w:val="00A55B99"/>
    <w:rsid w:val="00AE1E03"/>
    <w:rsid w:val="00B1250F"/>
    <w:rsid w:val="00B4142B"/>
    <w:rsid w:val="00B57DEA"/>
    <w:rsid w:val="00B622B2"/>
    <w:rsid w:val="00B65AD5"/>
    <w:rsid w:val="00B7703D"/>
    <w:rsid w:val="00B91EF6"/>
    <w:rsid w:val="00B94AA3"/>
    <w:rsid w:val="00BB5647"/>
    <w:rsid w:val="00BD0F41"/>
    <w:rsid w:val="00BE3027"/>
    <w:rsid w:val="00BF6366"/>
    <w:rsid w:val="00C70059"/>
    <w:rsid w:val="00C72BFC"/>
    <w:rsid w:val="00CA107A"/>
    <w:rsid w:val="00CA72E4"/>
    <w:rsid w:val="00CC218A"/>
    <w:rsid w:val="00CC37E7"/>
    <w:rsid w:val="00CE3B83"/>
    <w:rsid w:val="00D3494E"/>
    <w:rsid w:val="00D56E3A"/>
    <w:rsid w:val="00D60957"/>
    <w:rsid w:val="00D9442A"/>
    <w:rsid w:val="00DA20A6"/>
    <w:rsid w:val="00DA5984"/>
    <w:rsid w:val="00DD1CAE"/>
    <w:rsid w:val="00DF4450"/>
    <w:rsid w:val="00DF56DC"/>
    <w:rsid w:val="00E26B71"/>
    <w:rsid w:val="00E74BC4"/>
    <w:rsid w:val="00E74CD4"/>
    <w:rsid w:val="00E97A56"/>
    <w:rsid w:val="00EB3353"/>
    <w:rsid w:val="00EF39C9"/>
    <w:rsid w:val="00EF736C"/>
    <w:rsid w:val="00F140D4"/>
    <w:rsid w:val="00F16B0E"/>
    <w:rsid w:val="00F17431"/>
    <w:rsid w:val="00F21DC0"/>
    <w:rsid w:val="00F2576F"/>
    <w:rsid w:val="00F36356"/>
    <w:rsid w:val="00F37628"/>
    <w:rsid w:val="00F41ED1"/>
    <w:rsid w:val="00F47BAB"/>
    <w:rsid w:val="00F50B5E"/>
    <w:rsid w:val="00F817D2"/>
    <w:rsid w:val="00FA20F2"/>
    <w:rsid w:val="00FA7FC9"/>
    <w:rsid w:val="00FD080E"/>
    <w:rsid w:val="00FE3592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8A68-4ACA-4EC1-9958-8BB7CCBB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Sedinova Jitka</cp:lastModifiedBy>
  <cp:revision>2</cp:revision>
  <cp:lastPrinted>2011-01-19T12:10:00Z</cp:lastPrinted>
  <dcterms:created xsi:type="dcterms:W3CDTF">2016-07-14T10:38:00Z</dcterms:created>
  <dcterms:modified xsi:type="dcterms:W3CDTF">2016-07-14T10:38:00Z</dcterms:modified>
</cp:coreProperties>
</file>