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9A8" w:rsidRDefault="003119A8" w:rsidP="003119A8">
      <w:pPr>
        <w:pStyle w:val="Normlnweb"/>
        <w:jc w:val="center"/>
        <w:rPr>
          <w:sz w:val="72"/>
          <w:szCs w:val="72"/>
        </w:rPr>
      </w:pPr>
      <w:bookmarkStart w:id="0" w:name="_GoBack"/>
      <w:bookmarkEnd w:id="0"/>
      <w:r>
        <w:rPr>
          <w:sz w:val="72"/>
          <w:szCs w:val="72"/>
        </w:rPr>
        <w:t xml:space="preserve">                             </w:t>
      </w:r>
    </w:p>
    <w:p w:rsidR="003119A8" w:rsidRDefault="003119A8" w:rsidP="003119A8">
      <w:pPr>
        <w:pStyle w:val="Normlnweb"/>
        <w:jc w:val="center"/>
        <w:rPr>
          <w:sz w:val="72"/>
          <w:szCs w:val="72"/>
        </w:rPr>
      </w:pPr>
    </w:p>
    <w:p w:rsidR="003119A8" w:rsidRPr="00FD1098" w:rsidRDefault="003119A8" w:rsidP="00FD1098">
      <w:pPr>
        <w:pStyle w:val="Normlnweb"/>
        <w:spacing w:line="276" w:lineRule="auto"/>
        <w:jc w:val="center"/>
        <w:rPr>
          <w:rFonts w:ascii="Arial" w:hAnsi="Arial" w:cs="Arial"/>
          <w:sz w:val="56"/>
          <w:szCs w:val="56"/>
        </w:rPr>
      </w:pPr>
      <w:r w:rsidRPr="00FD1098">
        <w:rPr>
          <w:rFonts w:ascii="Arial" w:hAnsi="Arial" w:cs="Arial"/>
          <w:sz w:val="56"/>
          <w:szCs w:val="56"/>
        </w:rPr>
        <w:t>Memorandum</w:t>
      </w:r>
    </w:p>
    <w:p w:rsidR="003119A8" w:rsidRPr="003119A8" w:rsidRDefault="003119A8" w:rsidP="00FD1098">
      <w:pPr>
        <w:pStyle w:val="Normlnweb"/>
        <w:spacing w:line="276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3119A8">
        <w:rPr>
          <w:rFonts w:ascii="Arial" w:hAnsi="Arial" w:cs="Arial"/>
          <w:sz w:val="20"/>
          <w:szCs w:val="20"/>
        </w:rPr>
        <w:t>mezi</w:t>
      </w:r>
      <w:proofErr w:type="gramEnd"/>
    </w:p>
    <w:p w:rsidR="003119A8" w:rsidRPr="003119A8" w:rsidRDefault="003119A8" w:rsidP="00FD1098">
      <w:pPr>
        <w:pStyle w:val="Normlnweb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119A8">
        <w:rPr>
          <w:rFonts w:ascii="Arial" w:hAnsi="Arial" w:cs="Arial"/>
          <w:b/>
          <w:sz w:val="20"/>
          <w:szCs w:val="20"/>
        </w:rPr>
        <w:t>Odborem (Agenturou) pro sociální začleňování Úřadu vlády ČR</w:t>
      </w:r>
    </w:p>
    <w:p w:rsidR="003119A8" w:rsidRPr="003119A8" w:rsidRDefault="003119A8" w:rsidP="00FD1098">
      <w:pPr>
        <w:pStyle w:val="Normlnweb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3119A8">
        <w:rPr>
          <w:rFonts w:ascii="Arial" w:hAnsi="Arial" w:cs="Arial"/>
          <w:sz w:val="20"/>
          <w:szCs w:val="20"/>
        </w:rPr>
        <w:t>a</w:t>
      </w:r>
    </w:p>
    <w:p w:rsidR="003119A8" w:rsidRPr="003119A8" w:rsidRDefault="003119A8" w:rsidP="00FD1098">
      <w:pPr>
        <w:pStyle w:val="Normlnweb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119A8">
        <w:rPr>
          <w:rFonts w:ascii="Arial" w:hAnsi="Arial" w:cs="Arial"/>
          <w:b/>
          <w:sz w:val="20"/>
          <w:szCs w:val="20"/>
        </w:rPr>
        <w:t>Libereckým krajem</w:t>
      </w:r>
    </w:p>
    <w:p w:rsidR="003119A8" w:rsidRPr="003119A8" w:rsidRDefault="003119A8" w:rsidP="00FD1098">
      <w:pPr>
        <w:pStyle w:val="Normlnweb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119A8">
        <w:rPr>
          <w:rFonts w:ascii="Arial" w:hAnsi="Arial" w:cs="Arial"/>
          <w:sz w:val="20"/>
          <w:szCs w:val="20"/>
        </w:rPr>
        <w:t xml:space="preserve"> </w:t>
      </w:r>
    </w:p>
    <w:p w:rsidR="003119A8" w:rsidRPr="003119A8" w:rsidRDefault="003119A8" w:rsidP="00FD1098">
      <w:pPr>
        <w:pStyle w:val="Normln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19A8">
        <w:rPr>
          <w:rFonts w:ascii="Arial" w:hAnsi="Arial" w:cs="Arial"/>
          <w:b/>
          <w:bCs/>
          <w:sz w:val="20"/>
          <w:szCs w:val="20"/>
        </w:rPr>
        <w:t>Odbor (Agentura) pro sociální začleňování (Úřad vlády ČR)</w:t>
      </w:r>
      <w:r w:rsidRPr="003119A8">
        <w:rPr>
          <w:rFonts w:ascii="Arial" w:hAnsi="Arial" w:cs="Arial"/>
          <w:sz w:val="20"/>
          <w:szCs w:val="20"/>
        </w:rPr>
        <w:t xml:space="preserve">, jehož činnost vláda schválila usnesením vlády ČR ze dne 23. ledna 2008 č. </w:t>
      </w:r>
      <w:smartTag w:uri="urn:schemas-microsoft-com:office:smarttags" w:element="metricconverter">
        <w:smartTagPr>
          <w:attr w:name="ProductID" w:val="85 a"/>
        </w:smartTagPr>
        <w:r w:rsidRPr="003119A8">
          <w:rPr>
            <w:rFonts w:ascii="Arial" w:hAnsi="Arial" w:cs="Arial"/>
            <w:sz w:val="20"/>
            <w:szCs w:val="20"/>
          </w:rPr>
          <w:t>85 a</w:t>
        </w:r>
      </w:smartTag>
      <w:r w:rsidRPr="003119A8">
        <w:rPr>
          <w:rFonts w:ascii="Arial" w:hAnsi="Arial" w:cs="Arial"/>
          <w:sz w:val="20"/>
          <w:szCs w:val="20"/>
        </w:rPr>
        <w:t xml:space="preserve"> usnesením ze dne 25. července 2012 č. 570, zastoupený ředitelem odboru Mgr. Radkem Jiránkem (dále jen „Agentura“)</w:t>
      </w:r>
    </w:p>
    <w:p w:rsidR="003119A8" w:rsidRPr="003119A8" w:rsidRDefault="003119A8" w:rsidP="00FD1098">
      <w:pPr>
        <w:pStyle w:val="Normln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19A8">
        <w:rPr>
          <w:rFonts w:ascii="Arial" w:hAnsi="Arial" w:cs="Arial"/>
          <w:sz w:val="20"/>
          <w:szCs w:val="20"/>
        </w:rPr>
        <w:t xml:space="preserve">a </w:t>
      </w:r>
    </w:p>
    <w:p w:rsidR="003119A8" w:rsidRPr="003119A8" w:rsidRDefault="003119A8" w:rsidP="00FD1098">
      <w:pPr>
        <w:pStyle w:val="Normln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19A8">
        <w:rPr>
          <w:rFonts w:ascii="Arial" w:hAnsi="Arial" w:cs="Arial"/>
          <w:b/>
          <w:bCs/>
          <w:sz w:val="20"/>
          <w:szCs w:val="20"/>
        </w:rPr>
        <w:t>Liberecký kraj,</w:t>
      </w:r>
      <w:r w:rsidRPr="003119A8">
        <w:rPr>
          <w:rFonts w:ascii="Arial" w:hAnsi="Arial" w:cs="Arial"/>
          <w:sz w:val="20"/>
          <w:szCs w:val="20"/>
        </w:rPr>
        <w:t xml:space="preserve"> zastoupený hejtmanem </w:t>
      </w:r>
      <w:r w:rsidRPr="003119A8">
        <w:rPr>
          <w:rStyle w:val="Siln"/>
          <w:rFonts w:ascii="Arial" w:hAnsi="Arial" w:cs="Arial"/>
          <w:b w:val="0"/>
          <w:bCs w:val="0"/>
          <w:sz w:val="20"/>
          <w:szCs w:val="20"/>
        </w:rPr>
        <w:t>Martinem Půtou (dále jen „kraj“)</w:t>
      </w:r>
      <w:r w:rsidRPr="003119A8">
        <w:rPr>
          <w:rFonts w:ascii="Arial" w:hAnsi="Arial" w:cs="Arial"/>
          <w:sz w:val="20"/>
          <w:szCs w:val="20"/>
        </w:rPr>
        <w:t>,</w:t>
      </w:r>
    </w:p>
    <w:p w:rsidR="003119A8" w:rsidRPr="003119A8" w:rsidRDefault="003119A8" w:rsidP="00FD1098">
      <w:pPr>
        <w:pStyle w:val="Nadpis3"/>
        <w:spacing w:line="276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3119A8" w:rsidRPr="003119A8" w:rsidRDefault="003119A8" w:rsidP="00FD1098">
      <w:pPr>
        <w:pStyle w:val="Nadpis3"/>
        <w:spacing w:line="276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3119A8">
        <w:rPr>
          <w:rFonts w:ascii="Arial" w:hAnsi="Arial" w:cs="Arial"/>
          <w:b w:val="0"/>
          <w:bCs w:val="0"/>
          <w:sz w:val="20"/>
          <w:szCs w:val="20"/>
        </w:rPr>
        <w:t>vycházejíce z hospodářských, sociálních a kulturních práv a práv národnostních a etnických menšin zakotvených v Listině základních práv a svobod,</w:t>
      </w:r>
    </w:p>
    <w:p w:rsidR="003119A8" w:rsidRPr="003119A8" w:rsidRDefault="003119A8" w:rsidP="00FD1098">
      <w:pPr>
        <w:pStyle w:val="Normln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19A8">
        <w:rPr>
          <w:rFonts w:ascii="Arial" w:hAnsi="Arial" w:cs="Arial"/>
          <w:sz w:val="20"/>
          <w:szCs w:val="20"/>
        </w:rPr>
        <w:t>vycházejíce ze společného přesvědčení o nutnosti spolupráce mezi ústředními státními orgány a krajem s cílem snižování a eliminace sociálního vyloučení,</w:t>
      </w:r>
    </w:p>
    <w:p w:rsidR="003119A8" w:rsidRPr="003119A8" w:rsidRDefault="003119A8" w:rsidP="00FD1098">
      <w:pPr>
        <w:pStyle w:val="Normln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19A8">
        <w:rPr>
          <w:rFonts w:ascii="Arial" w:hAnsi="Arial" w:cs="Arial"/>
          <w:sz w:val="20"/>
          <w:szCs w:val="20"/>
        </w:rPr>
        <w:t xml:space="preserve">zdůrazňujíce význam koordinace při provádění komplexních strategií na úrovni státu, krajů i měst a obcí, </w:t>
      </w:r>
    </w:p>
    <w:p w:rsidR="003119A8" w:rsidRPr="003119A8" w:rsidRDefault="003119A8" w:rsidP="00FD1098">
      <w:pPr>
        <w:pStyle w:val="Normln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19A8">
        <w:rPr>
          <w:rFonts w:ascii="Arial" w:hAnsi="Arial" w:cs="Arial"/>
          <w:sz w:val="20"/>
          <w:szCs w:val="20"/>
        </w:rPr>
        <w:t xml:space="preserve">odvolávajíce se na cíle a prostředky k jejich dosažení, které jsou uvedeny v Usnesení vlády České republiky č. 24 ze dne 8. ledna 2014 „Strategie sociálního začleňování 2014-2020“ </w:t>
      </w:r>
    </w:p>
    <w:p w:rsidR="003119A8" w:rsidRPr="003119A8" w:rsidRDefault="003119A8" w:rsidP="00FD1098">
      <w:pPr>
        <w:pStyle w:val="Normlnweb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119A8">
        <w:rPr>
          <w:rFonts w:ascii="Arial" w:hAnsi="Arial" w:cs="Arial"/>
          <w:sz w:val="20"/>
          <w:szCs w:val="20"/>
        </w:rPr>
        <w:t xml:space="preserve">                                          </w:t>
      </w:r>
      <w:r w:rsidRPr="003119A8">
        <w:rPr>
          <w:rFonts w:ascii="Arial" w:hAnsi="Arial" w:cs="Arial"/>
          <w:b/>
          <w:bCs/>
          <w:sz w:val="20"/>
          <w:szCs w:val="20"/>
        </w:rPr>
        <w:t>uzavírají toto Memorandum.</w:t>
      </w:r>
    </w:p>
    <w:p w:rsidR="003119A8" w:rsidRPr="003119A8" w:rsidRDefault="003119A8" w:rsidP="00FD1098">
      <w:pPr>
        <w:pStyle w:val="Normlnweb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19A8" w:rsidRPr="003119A8" w:rsidRDefault="003119A8" w:rsidP="00FD1098">
      <w:pPr>
        <w:pStyle w:val="Normlnweb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119A8">
        <w:rPr>
          <w:rFonts w:ascii="Arial" w:hAnsi="Arial" w:cs="Arial"/>
          <w:b/>
          <w:bCs/>
          <w:sz w:val="20"/>
          <w:szCs w:val="20"/>
        </w:rPr>
        <w:t>Článek I.</w:t>
      </w:r>
    </w:p>
    <w:p w:rsidR="003119A8" w:rsidRPr="003119A8" w:rsidRDefault="003119A8" w:rsidP="00FD1098">
      <w:pPr>
        <w:pStyle w:val="Normlnweb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119A8">
        <w:rPr>
          <w:rFonts w:ascii="Arial" w:hAnsi="Arial" w:cs="Arial"/>
          <w:b/>
          <w:bCs/>
          <w:sz w:val="20"/>
          <w:szCs w:val="20"/>
        </w:rPr>
        <w:t>Zásady</w:t>
      </w:r>
      <w:r w:rsidRPr="003119A8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3119A8">
        <w:rPr>
          <w:rFonts w:ascii="Arial" w:hAnsi="Arial" w:cs="Arial"/>
          <w:b/>
          <w:bCs/>
          <w:sz w:val="20"/>
          <w:szCs w:val="20"/>
        </w:rPr>
        <w:t>spolupráce</w:t>
      </w:r>
    </w:p>
    <w:p w:rsidR="003119A8" w:rsidRPr="003119A8" w:rsidRDefault="003119A8" w:rsidP="00FD1098">
      <w:pPr>
        <w:pStyle w:val="Normln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19A8">
        <w:rPr>
          <w:rFonts w:ascii="Arial" w:hAnsi="Arial" w:cs="Arial"/>
          <w:sz w:val="20"/>
          <w:szCs w:val="20"/>
        </w:rPr>
        <w:t>1. Uzavřením Memoranda se obě strany zavazují, že budou úzce spolupracovat a koordinovat svou činnost při vytváření a realizaci komplexních politik sociálního začleňování na území Libereckého kraje.</w:t>
      </w:r>
    </w:p>
    <w:p w:rsidR="003119A8" w:rsidRPr="003119A8" w:rsidRDefault="003119A8" w:rsidP="00FD1098">
      <w:pPr>
        <w:pStyle w:val="Normln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19A8">
        <w:rPr>
          <w:rFonts w:ascii="Arial" w:hAnsi="Arial" w:cs="Arial"/>
          <w:sz w:val="20"/>
          <w:szCs w:val="20"/>
        </w:rPr>
        <w:t>2. V rámci této spolupráce si budou vyměňovat informace, poskytovat vzájemné konzultace, přijímat společná stanoviska, společné postupy či společně postupovat jinou vhodnou formou v souladu s platnými právními předpisy.</w:t>
      </w:r>
    </w:p>
    <w:p w:rsidR="003119A8" w:rsidRPr="003119A8" w:rsidRDefault="003119A8" w:rsidP="00FD1098">
      <w:pPr>
        <w:pStyle w:val="Normlnweb"/>
        <w:spacing w:after="48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3119A8">
        <w:rPr>
          <w:rFonts w:ascii="Arial" w:hAnsi="Arial" w:cs="Arial"/>
          <w:sz w:val="20"/>
          <w:szCs w:val="20"/>
        </w:rPr>
        <w:t xml:space="preserve">3. Spolupráce je založena na zásadě dobrovolnosti. Autonomie obou stran a princip nezávislosti územní samosprávy nejsou tímto Memorandem dotčeny. </w:t>
      </w:r>
    </w:p>
    <w:p w:rsidR="003119A8" w:rsidRPr="003119A8" w:rsidRDefault="003119A8" w:rsidP="00FD1098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0"/>
          <w:szCs w:val="20"/>
        </w:rPr>
      </w:pPr>
      <w:r w:rsidRPr="003119A8">
        <w:rPr>
          <w:rFonts w:ascii="Arial" w:hAnsi="Arial" w:cs="Arial"/>
          <w:b/>
          <w:bCs/>
          <w:sz w:val="20"/>
          <w:szCs w:val="20"/>
        </w:rPr>
        <w:t>Článek II.</w:t>
      </w:r>
    </w:p>
    <w:p w:rsidR="003119A8" w:rsidRPr="003119A8" w:rsidRDefault="003119A8" w:rsidP="00FD1098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0"/>
          <w:szCs w:val="20"/>
        </w:rPr>
      </w:pPr>
      <w:r w:rsidRPr="003119A8">
        <w:rPr>
          <w:rFonts w:ascii="Arial" w:hAnsi="Arial" w:cs="Arial"/>
          <w:b/>
          <w:bCs/>
          <w:sz w:val="20"/>
          <w:szCs w:val="20"/>
        </w:rPr>
        <w:t>Oblasti spolupráce</w:t>
      </w:r>
    </w:p>
    <w:p w:rsidR="003119A8" w:rsidRPr="003119A8" w:rsidRDefault="003119A8" w:rsidP="00FD1098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3119A8">
        <w:rPr>
          <w:rFonts w:ascii="Arial" w:hAnsi="Arial" w:cs="Arial"/>
          <w:sz w:val="20"/>
          <w:szCs w:val="20"/>
        </w:rPr>
        <w:t>1. Spolupráce se bude vztahovat na všechny oblasti realizace strategií sociálního začleňo</w:t>
      </w:r>
      <w:r w:rsidR="002A5572">
        <w:rPr>
          <w:rFonts w:ascii="Arial" w:hAnsi="Arial" w:cs="Arial"/>
          <w:sz w:val="20"/>
          <w:szCs w:val="20"/>
        </w:rPr>
        <w:t>vání, zejména na oblast</w:t>
      </w:r>
      <w:r w:rsidRPr="003119A8">
        <w:rPr>
          <w:rFonts w:ascii="Arial" w:hAnsi="Arial" w:cs="Arial"/>
          <w:sz w:val="20"/>
          <w:szCs w:val="20"/>
        </w:rPr>
        <w:t xml:space="preserve"> zaměstnanosti, bydlení, sociálních služeb, vzdělávání, sociálních dávkových systémů, zdravotní péče, komunitních služeb, dluhové problematiky, prevence kriminality, zdraví a participativních postupů.</w:t>
      </w:r>
    </w:p>
    <w:p w:rsidR="003119A8" w:rsidRPr="003119A8" w:rsidRDefault="003119A8" w:rsidP="00FD1098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3119A8">
        <w:rPr>
          <w:rFonts w:ascii="Arial" w:hAnsi="Arial" w:cs="Arial"/>
          <w:sz w:val="20"/>
          <w:szCs w:val="20"/>
        </w:rPr>
        <w:t>2. Zvláštní pozornost bude věnována podpoře subjektů zabývajících se poskytováním služeb v oblasti sociálního začleňování. V této oblasti hodlají obě strany spolupracovat a sdílet informace o průběhu a výsledcích aktivit.</w:t>
      </w:r>
    </w:p>
    <w:p w:rsidR="003119A8" w:rsidRPr="003119A8" w:rsidRDefault="003119A8" w:rsidP="00FD1098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3119A8">
        <w:rPr>
          <w:rFonts w:ascii="Arial" w:hAnsi="Arial" w:cs="Arial"/>
          <w:sz w:val="20"/>
          <w:szCs w:val="20"/>
        </w:rPr>
        <w:t>3. Obě strany budou úzce spolupracovat při přípravě, provádění a aktualizaci koncepčních dokumentů v oblasti sociálního začleňování a projektů podporujících sociální integraci, plánování a transformaci sociálních služeb.</w:t>
      </w:r>
    </w:p>
    <w:p w:rsidR="003119A8" w:rsidRPr="003119A8" w:rsidRDefault="003119A8" w:rsidP="00FD1098">
      <w:pPr>
        <w:pStyle w:val="Normln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19A8">
        <w:rPr>
          <w:rFonts w:ascii="Arial" w:hAnsi="Arial" w:cs="Arial"/>
          <w:sz w:val="20"/>
          <w:szCs w:val="20"/>
        </w:rPr>
        <w:t>4. Obě strany se budou aktivně podílet na plnění dohodnutých opatření v oblasti sociální inkluze a společně budou hledat zdroje k jejich financování.</w:t>
      </w:r>
    </w:p>
    <w:p w:rsidR="003119A8" w:rsidRPr="003119A8" w:rsidRDefault="003119A8" w:rsidP="00FD1098">
      <w:pPr>
        <w:pStyle w:val="Normln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19A8">
        <w:rPr>
          <w:rFonts w:ascii="Arial" w:hAnsi="Arial" w:cs="Arial"/>
          <w:sz w:val="20"/>
          <w:szCs w:val="20"/>
        </w:rPr>
        <w:t>5. Obě strany budou rovněž spolupracovat na přípravě projektových žádostí pro projekty financované z evropských strukturálních fondů.</w:t>
      </w:r>
    </w:p>
    <w:p w:rsidR="003119A8" w:rsidRPr="003119A8" w:rsidRDefault="003119A8" w:rsidP="00FD1098">
      <w:pPr>
        <w:pStyle w:val="Normlnweb"/>
        <w:spacing w:after="48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3119A8">
        <w:rPr>
          <w:rFonts w:ascii="Arial" w:hAnsi="Arial" w:cs="Arial"/>
          <w:sz w:val="20"/>
          <w:szCs w:val="20"/>
        </w:rPr>
        <w:t>6. Obě strany budou pravidelně vyhodnocovat výsledky své spolupráce a budou navrhovat další činnosti, které by zlepšily realizaci opatření směřujících k sociálnímu začleňování.</w:t>
      </w:r>
    </w:p>
    <w:p w:rsidR="00FD1098" w:rsidRDefault="00FD1098" w:rsidP="00FD1098">
      <w:pPr>
        <w:pStyle w:val="Normlnweb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119A8" w:rsidRPr="003119A8" w:rsidRDefault="003119A8" w:rsidP="00FD1098">
      <w:pPr>
        <w:pStyle w:val="Normlnweb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119A8">
        <w:rPr>
          <w:rFonts w:ascii="Arial" w:hAnsi="Arial" w:cs="Arial"/>
          <w:b/>
          <w:bCs/>
          <w:sz w:val="20"/>
          <w:szCs w:val="20"/>
        </w:rPr>
        <w:lastRenderedPageBreak/>
        <w:t>Článek III.</w:t>
      </w:r>
    </w:p>
    <w:p w:rsidR="003119A8" w:rsidRPr="003119A8" w:rsidRDefault="003119A8" w:rsidP="00FD1098">
      <w:pPr>
        <w:pStyle w:val="Normlnweb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119A8">
        <w:rPr>
          <w:rFonts w:ascii="Arial" w:hAnsi="Arial" w:cs="Arial"/>
          <w:b/>
          <w:bCs/>
          <w:sz w:val="20"/>
          <w:szCs w:val="20"/>
        </w:rPr>
        <w:t>Formy spolupráce</w:t>
      </w:r>
    </w:p>
    <w:p w:rsidR="003119A8" w:rsidRPr="003119A8" w:rsidRDefault="003119A8" w:rsidP="00FD1098">
      <w:pPr>
        <w:pStyle w:val="Normln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19A8">
        <w:rPr>
          <w:rFonts w:ascii="Arial" w:hAnsi="Arial" w:cs="Arial"/>
          <w:sz w:val="20"/>
          <w:szCs w:val="20"/>
        </w:rPr>
        <w:t>1. Hlavní formou spolupráce je vzájemná účast na platformách zřizovaných krajem a Agenturou. Jedná se např. o lokální partnerství a jeho pracovní skupiny v lokalitách spolupracujících s Agenturou, kam budou jako členové zváni zástupci kraje</w:t>
      </w:r>
      <w:r w:rsidRPr="003119A8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3119A8">
        <w:rPr>
          <w:rFonts w:ascii="Arial" w:hAnsi="Arial" w:cs="Arial"/>
          <w:sz w:val="20"/>
          <w:szCs w:val="20"/>
        </w:rPr>
        <w:t>. Dalšími relevantními krajskými platformami jsou např.: Komise pro národnostní menšiny a sociální začleňování, Regionální stálá konference (RSK) – pracovní skupiny, Pakt zaměstnanosti či další pracovní skupiny Libereckého kraje, založené na plnění vládních strategií, kam budou jako členové zváni zástupci Agentury.</w:t>
      </w:r>
    </w:p>
    <w:p w:rsidR="003119A8" w:rsidRPr="003119A8" w:rsidRDefault="003119A8" w:rsidP="00FD1098">
      <w:pPr>
        <w:pStyle w:val="Normln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19A8">
        <w:rPr>
          <w:rFonts w:ascii="Arial" w:hAnsi="Arial" w:cs="Arial"/>
          <w:sz w:val="20"/>
          <w:szCs w:val="20"/>
        </w:rPr>
        <w:t xml:space="preserve">2. Agentura pověří odpovědné pracovníky, kteří ji budou v krajských platformách zastupovat. </w:t>
      </w:r>
    </w:p>
    <w:p w:rsidR="003119A8" w:rsidRPr="003119A8" w:rsidRDefault="003119A8" w:rsidP="00FD1098">
      <w:pPr>
        <w:pStyle w:val="Normln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19A8">
        <w:rPr>
          <w:rFonts w:ascii="Arial" w:hAnsi="Arial" w:cs="Arial"/>
          <w:sz w:val="20"/>
          <w:szCs w:val="20"/>
        </w:rPr>
        <w:t>3. Kraj pověří odpovědné pracovníky, kteří jej budou zastupovat na platformách iniciovaných Agenturou (např. lokálních partnerstvích).</w:t>
      </w:r>
    </w:p>
    <w:p w:rsidR="003119A8" w:rsidRPr="003119A8" w:rsidRDefault="003119A8" w:rsidP="00FD1098">
      <w:pPr>
        <w:pStyle w:val="Normln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19A8">
        <w:rPr>
          <w:rFonts w:ascii="Arial" w:hAnsi="Arial" w:cs="Arial"/>
          <w:sz w:val="20"/>
          <w:szCs w:val="20"/>
        </w:rPr>
        <w:t>4. Další formou spolupráce je součinnost Agentury s krajským koordinátorem pro záležitosti národnostních menšin a cizinců ve spolupráci s Radou vlády pro záležitosti romské menšiny a vzájemné sdílení informací relevantních pro naplňování strategie sociálního začleňování v Libereckém kraji.</w:t>
      </w:r>
    </w:p>
    <w:p w:rsidR="003119A8" w:rsidRPr="003119A8" w:rsidRDefault="003119A8" w:rsidP="00FD1098">
      <w:pPr>
        <w:pStyle w:val="Normln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19A8">
        <w:rPr>
          <w:rFonts w:ascii="Arial" w:hAnsi="Arial" w:cs="Arial"/>
          <w:sz w:val="20"/>
          <w:szCs w:val="20"/>
        </w:rPr>
        <w:t>5. Agentura iniciuje pravidelná setkání (optimálně čtyřikrát ročně) s odpovědnými pracovníky kraje za účelem sdílení informací z oblasti sociální inkluze.</w:t>
      </w:r>
    </w:p>
    <w:p w:rsidR="003119A8" w:rsidRPr="003119A8" w:rsidRDefault="003119A8" w:rsidP="00FD1098">
      <w:pPr>
        <w:pStyle w:val="Normln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19A8">
        <w:rPr>
          <w:rFonts w:ascii="Arial" w:hAnsi="Arial" w:cs="Arial"/>
          <w:sz w:val="20"/>
          <w:szCs w:val="20"/>
        </w:rPr>
        <w:t xml:space="preserve">5. Obě strany umožní dle možností využití svého technického zázemí pro vzájemné setkávání. Spolupráce může probíhat i v rámci dalších platforem, zejména ve vybraných komisích (např. sociální a zdravotní) a výborech (např. pro zdravotnictví a sociální věci; pro národnostní menšiny; </w:t>
      </w:r>
      <w:r w:rsidRPr="003119A8">
        <w:rPr>
          <w:rStyle w:val="Siln"/>
          <w:rFonts w:ascii="Arial" w:hAnsi="Arial" w:cs="Arial"/>
          <w:b w:val="0"/>
          <w:bCs w:val="0"/>
          <w:sz w:val="20"/>
          <w:szCs w:val="20"/>
        </w:rPr>
        <w:t>pro výchovu, vzdělávání a zaměstnanost</w:t>
      </w:r>
      <w:r w:rsidRPr="003119A8">
        <w:rPr>
          <w:rFonts w:ascii="Arial" w:hAnsi="Arial" w:cs="Arial"/>
          <w:sz w:val="20"/>
          <w:szCs w:val="20"/>
        </w:rPr>
        <w:t xml:space="preserve">), jejichž jednání se bude moci pracovník Agentury na požádání jako host zúčastnit. </w:t>
      </w:r>
    </w:p>
    <w:p w:rsidR="003119A8" w:rsidRPr="003119A8" w:rsidRDefault="003119A8" w:rsidP="00FD1098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0"/>
          <w:szCs w:val="20"/>
        </w:rPr>
      </w:pPr>
      <w:r w:rsidRPr="003119A8">
        <w:rPr>
          <w:rFonts w:ascii="Arial" w:hAnsi="Arial" w:cs="Arial"/>
          <w:b/>
          <w:bCs/>
          <w:sz w:val="20"/>
          <w:szCs w:val="20"/>
        </w:rPr>
        <w:br w:type="page"/>
      </w:r>
      <w:r w:rsidRPr="003119A8">
        <w:rPr>
          <w:rFonts w:ascii="Arial" w:hAnsi="Arial" w:cs="Arial"/>
          <w:b/>
          <w:bCs/>
          <w:sz w:val="20"/>
          <w:szCs w:val="20"/>
        </w:rPr>
        <w:lastRenderedPageBreak/>
        <w:t>Článek IV.</w:t>
      </w:r>
    </w:p>
    <w:p w:rsidR="003119A8" w:rsidRPr="003119A8" w:rsidRDefault="003119A8" w:rsidP="00FD1098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0"/>
          <w:szCs w:val="20"/>
        </w:rPr>
      </w:pPr>
      <w:r w:rsidRPr="003119A8">
        <w:rPr>
          <w:rFonts w:ascii="Arial" w:hAnsi="Arial" w:cs="Arial"/>
          <w:b/>
          <w:bCs/>
          <w:sz w:val="20"/>
          <w:szCs w:val="20"/>
        </w:rPr>
        <w:t>Ustanovení společná a závěrečná</w:t>
      </w:r>
    </w:p>
    <w:p w:rsidR="003119A8" w:rsidRPr="003119A8" w:rsidRDefault="003119A8" w:rsidP="00FD1098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3119A8">
        <w:rPr>
          <w:rFonts w:ascii="Arial" w:hAnsi="Arial" w:cs="Arial"/>
          <w:sz w:val="20"/>
          <w:szCs w:val="20"/>
        </w:rPr>
        <w:t>1. Se vzájemně poskytnutými informacemi budou obě strany nakládat v souladu s platnými právními předpisy a způsobem, který nebude na újmu druhé straně.</w:t>
      </w:r>
    </w:p>
    <w:p w:rsidR="003119A8" w:rsidRPr="003119A8" w:rsidRDefault="003119A8" w:rsidP="00FD1098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3119A8">
        <w:rPr>
          <w:rFonts w:ascii="Arial" w:hAnsi="Arial" w:cs="Arial"/>
          <w:sz w:val="20"/>
          <w:szCs w:val="20"/>
        </w:rPr>
        <w:t>2. Obě strany budou vhodným způsobem informovat své členy, spolupracovníky a orgány o přijetí Memoranda a o rozsahu spolupráce.</w:t>
      </w:r>
    </w:p>
    <w:p w:rsidR="003119A8" w:rsidRPr="003119A8" w:rsidRDefault="003119A8" w:rsidP="00FD1098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3119A8">
        <w:rPr>
          <w:rFonts w:ascii="Arial" w:hAnsi="Arial" w:cs="Arial"/>
          <w:sz w:val="20"/>
          <w:szCs w:val="20"/>
        </w:rPr>
        <w:t>3. Memorandum se uzavírá na dobu určitou do 31. prosince 2018. K uvedenému datu pozbývá Memorandum automaticky platnosti.</w:t>
      </w:r>
    </w:p>
    <w:p w:rsidR="003119A8" w:rsidRPr="003119A8" w:rsidRDefault="003119A8" w:rsidP="00FD1098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3119A8">
        <w:rPr>
          <w:rFonts w:ascii="Arial" w:hAnsi="Arial" w:cs="Arial"/>
          <w:sz w:val="20"/>
          <w:szCs w:val="20"/>
        </w:rPr>
        <w:t xml:space="preserve">4. Memorandum pozbývá platnosti rovněž písemnou dohodou obou stran nebo doručením písemného oznámení jednou stranou straně druhé s vyrozuměním, že se Memorandem nehodlá nadále řídit.  </w:t>
      </w:r>
    </w:p>
    <w:p w:rsidR="003119A8" w:rsidRPr="003119A8" w:rsidRDefault="003119A8" w:rsidP="00FD1098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3119A8" w:rsidRPr="003119A8" w:rsidRDefault="003119A8" w:rsidP="00FD1098">
      <w:pPr>
        <w:pStyle w:val="Normln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19A8">
        <w:rPr>
          <w:rFonts w:ascii="Arial" w:hAnsi="Arial" w:cs="Arial"/>
          <w:sz w:val="20"/>
          <w:szCs w:val="20"/>
        </w:rPr>
        <w:t>V Liberci dne _________ 2016</w:t>
      </w:r>
    </w:p>
    <w:p w:rsidR="003119A8" w:rsidRPr="003119A8" w:rsidRDefault="003119A8" w:rsidP="00FD1098">
      <w:pPr>
        <w:pStyle w:val="Normlnweb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19A8" w:rsidRPr="003119A8" w:rsidRDefault="003119A8" w:rsidP="00FD1098">
      <w:pPr>
        <w:pStyle w:val="Normlnweb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19A8" w:rsidRPr="003119A8" w:rsidRDefault="003119A8" w:rsidP="00FD1098">
      <w:pPr>
        <w:pStyle w:val="Normlnweb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10" w:type="dxa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3119A8" w:rsidRPr="003119A8" w:rsidTr="00BA1645">
        <w:trPr>
          <w:tblCellSpacing w:w="0" w:type="dxa"/>
          <w:jc w:val="center"/>
        </w:trPr>
        <w:tc>
          <w:tcPr>
            <w:tcW w:w="2500" w:type="pct"/>
          </w:tcPr>
          <w:p w:rsidR="003119A8" w:rsidRPr="003119A8" w:rsidRDefault="003119A8" w:rsidP="00FD1098">
            <w:pPr>
              <w:pStyle w:val="Normln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9A8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:rsidR="003119A8" w:rsidRPr="003119A8" w:rsidRDefault="003119A8" w:rsidP="00FD1098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9A8">
              <w:rPr>
                <w:rFonts w:ascii="Arial" w:hAnsi="Arial" w:cs="Arial"/>
                <w:sz w:val="20"/>
                <w:szCs w:val="20"/>
              </w:rPr>
              <w:t>Mgr. Radek Jiránek</w:t>
            </w:r>
          </w:p>
          <w:p w:rsidR="003119A8" w:rsidRPr="003119A8" w:rsidRDefault="003119A8" w:rsidP="00FD1098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9A8">
              <w:rPr>
                <w:rFonts w:ascii="Arial" w:hAnsi="Arial" w:cs="Arial"/>
                <w:sz w:val="20"/>
                <w:szCs w:val="20"/>
              </w:rPr>
              <w:t>Úřad vlády České republiky</w:t>
            </w:r>
          </w:p>
          <w:p w:rsidR="003119A8" w:rsidRPr="003119A8" w:rsidRDefault="003119A8" w:rsidP="00FD1098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9A8">
              <w:rPr>
                <w:rFonts w:ascii="Arial" w:hAnsi="Arial" w:cs="Arial"/>
                <w:sz w:val="20"/>
                <w:szCs w:val="20"/>
              </w:rPr>
              <w:t>Odbor pro sociální začleňování</w:t>
            </w:r>
          </w:p>
          <w:p w:rsidR="003119A8" w:rsidRPr="003119A8" w:rsidRDefault="003119A8" w:rsidP="00FD1098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9A8">
              <w:rPr>
                <w:rFonts w:ascii="Arial" w:hAnsi="Arial" w:cs="Arial"/>
                <w:sz w:val="20"/>
                <w:szCs w:val="20"/>
              </w:rPr>
              <w:t>ředitel</w:t>
            </w:r>
          </w:p>
        </w:tc>
        <w:tc>
          <w:tcPr>
            <w:tcW w:w="2500" w:type="pct"/>
          </w:tcPr>
          <w:p w:rsidR="003119A8" w:rsidRPr="003119A8" w:rsidRDefault="003119A8" w:rsidP="00FD1098">
            <w:pPr>
              <w:pStyle w:val="Normln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9A8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  <w:p w:rsidR="003119A8" w:rsidRPr="003119A8" w:rsidRDefault="003119A8" w:rsidP="00FD1098">
            <w:pPr>
              <w:pStyle w:val="Normln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9A8">
              <w:rPr>
                <w:rFonts w:ascii="Arial" w:hAnsi="Arial" w:cs="Arial"/>
                <w:sz w:val="20"/>
                <w:szCs w:val="20"/>
              </w:rPr>
              <w:t>Martin Půta</w:t>
            </w:r>
          </w:p>
          <w:p w:rsidR="003119A8" w:rsidRPr="003119A8" w:rsidRDefault="003119A8" w:rsidP="00FD1098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9A8">
              <w:rPr>
                <w:rFonts w:ascii="Arial" w:hAnsi="Arial" w:cs="Arial"/>
                <w:sz w:val="20"/>
                <w:szCs w:val="20"/>
              </w:rPr>
              <w:t>Liberecký kraj</w:t>
            </w:r>
          </w:p>
          <w:p w:rsidR="003119A8" w:rsidRPr="003119A8" w:rsidRDefault="003119A8" w:rsidP="00FD1098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9A8">
              <w:rPr>
                <w:rFonts w:ascii="Arial" w:hAnsi="Arial" w:cs="Arial"/>
                <w:sz w:val="20"/>
                <w:szCs w:val="20"/>
              </w:rPr>
              <w:t xml:space="preserve">hejtman </w:t>
            </w:r>
          </w:p>
        </w:tc>
      </w:tr>
    </w:tbl>
    <w:p w:rsidR="003119A8" w:rsidRPr="003119A8" w:rsidRDefault="003119A8" w:rsidP="00FD1098">
      <w:pPr>
        <w:jc w:val="both"/>
        <w:rPr>
          <w:rFonts w:ascii="Arial" w:hAnsi="Arial" w:cs="Arial"/>
          <w:sz w:val="20"/>
          <w:szCs w:val="20"/>
        </w:rPr>
      </w:pPr>
    </w:p>
    <w:p w:rsidR="00F308DA" w:rsidRPr="003119A8" w:rsidRDefault="00F308DA" w:rsidP="00FD1098">
      <w:pPr>
        <w:spacing w:after="120"/>
        <w:rPr>
          <w:rFonts w:ascii="Arial" w:hAnsi="Arial" w:cs="Arial"/>
          <w:sz w:val="20"/>
          <w:szCs w:val="20"/>
        </w:rPr>
      </w:pPr>
    </w:p>
    <w:sectPr w:rsidR="00F308DA" w:rsidRPr="003119A8" w:rsidSect="00111BC5">
      <w:headerReference w:type="default" r:id="rId7"/>
      <w:foot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B10" w:rsidRDefault="005D3B10" w:rsidP="00151B5D">
      <w:pPr>
        <w:spacing w:after="0" w:line="240" w:lineRule="auto"/>
      </w:pPr>
      <w:r>
        <w:separator/>
      </w:r>
    </w:p>
  </w:endnote>
  <w:endnote w:type="continuationSeparator" w:id="0">
    <w:p w:rsidR="005D3B10" w:rsidRDefault="005D3B10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BC5" w:rsidRPr="00111BC5" w:rsidRDefault="005D3B10" w:rsidP="00111BC5">
    <w:pPr>
      <w:pStyle w:val="Zpat"/>
      <w:jc w:val="center"/>
      <w:rPr>
        <w:rFonts w:ascii="Arial" w:hAnsi="Arial" w:cs="Arial"/>
        <w:b/>
        <w:sz w:val="20"/>
      </w:rPr>
    </w:pPr>
    <w:hyperlink r:id="rId1" w:history="1">
      <w:r w:rsidR="00111BC5" w:rsidRPr="00111BC5">
        <w:rPr>
          <w:rStyle w:val="Hypertextovodkaz"/>
          <w:rFonts w:ascii="Arial" w:hAnsi="Arial" w:cs="Arial"/>
          <w:b/>
          <w:color w:val="auto"/>
          <w:sz w:val="20"/>
        </w:rPr>
        <w:t>www.socialni-zaclenovani.cz</w:t>
      </w:r>
    </w:hyperlink>
  </w:p>
  <w:p w:rsidR="00111BC5" w:rsidRDefault="00111BC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B10" w:rsidRDefault="005D3B10" w:rsidP="00151B5D">
      <w:pPr>
        <w:spacing w:after="0" w:line="240" w:lineRule="auto"/>
      </w:pPr>
      <w:r>
        <w:separator/>
      </w:r>
    </w:p>
  </w:footnote>
  <w:footnote w:type="continuationSeparator" w:id="0">
    <w:p w:rsidR="005D3B10" w:rsidRDefault="005D3B10" w:rsidP="00151B5D">
      <w:pPr>
        <w:spacing w:after="0" w:line="240" w:lineRule="auto"/>
      </w:pPr>
      <w:r>
        <w:continuationSeparator/>
      </w:r>
    </w:p>
  </w:footnote>
  <w:footnote w:id="1">
    <w:p w:rsidR="003119A8" w:rsidRDefault="003119A8" w:rsidP="003119A8">
      <w:pPr>
        <w:pStyle w:val="Textpoznpodarou"/>
      </w:pPr>
      <w:r>
        <w:rPr>
          <w:rStyle w:val="Znakapoznpodarou"/>
        </w:rPr>
        <w:footnoteRef/>
      </w:r>
      <w:r>
        <w:t xml:space="preserve"> V celém textu memoranda se tímto rozumí jak zástupci “ kraje“ jako samosprávného subjektu, tak zástupci „Krajského úřadu“.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B8F" w:rsidRDefault="0088749C" w:rsidP="007B2EA7">
    <w:pPr>
      <w:pStyle w:val="Zhlav"/>
      <w:jc w:val="right"/>
    </w:pPr>
    <w:r>
      <w:t>115_g_P02</w:t>
    </w:r>
    <w:r w:rsidR="007B2EA7">
      <w:t>_Memorandum_LK</w:t>
    </w:r>
  </w:p>
  <w:p w:rsidR="00151B5D" w:rsidRDefault="00111BC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34CFA5B" wp14:editId="4B2D586A">
          <wp:simplePos x="0" y="0"/>
          <wp:positionH relativeFrom="margin">
            <wp:posOffset>3724275</wp:posOffset>
          </wp:positionH>
          <wp:positionV relativeFrom="paragraph">
            <wp:posOffset>12065</wp:posOffset>
          </wp:positionV>
          <wp:extent cx="2038500" cy="540000"/>
          <wp:effectExtent l="0" t="0" r="0" b="0"/>
          <wp:wrapTight wrapText="bothSides">
            <wp:wrapPolygon edited="0">
              <wp:start x="0" y="0"/>
              <wp:lineTo x="0" y="20584"/>
              <wp:lineTo x="21398" y="20584"/>
              <wp:lineTo x="21398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5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4B9C">
      <w:rPr>
        <w:noProof/>
        <w:lang w:eastAsia="cs-CZ"/>
      </w:rPr>
      <w:drawing>
        <wp:inline distT="0" distB="0" distL="0" distR="0" wp14:anchorId="25A5AECE" wp14:editId="602FD593">
          <wp:extent cx="2628900" cy="545075"/>
          <wp:effectExtent l="0" t="0" r="0" b="7620"/>
          <wp:docPr id="2" name="Obrázek 2" descr="W:\PUBLICITA\VIZUÁLNÍ_IDENTITA\loga\OPZ\logo_OPZ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19A8" w:rsidRDefault="003119A8">
    <w:pPr>
      <w:pStyle w:val="Zhlav"/>
    </w:pPr>
  </w:p>
  <w:p w:rsidR="003119A8" w:rsidRDefault="003119A8">
    <w:pPr>
      <w:pStyle w:val="Zhlav"/>
    </w:pPr>
    <w:r>
      <w:t xml:space="preserve">                                                                                                                            </w:t>
    </w:r>
    <w:r>
      <w:rPr>
        <w:rFonts w:ascii="Arial" w:hAnsi="Arial" w:cs="Arial"/>
        <w:noProof/>
        <w:color w:val="333333"/>
        <w:sz w:val="19"/>
        <w:szCs w:val="19"/>
        <w:lang w:eastAsia="cs-CZ"/>
      </w:rPr>
      <w:drawing>
        <wp:inline distT="0" distB="0" distL="0" distR="0" wp14:anchorId="26213FD8" wp14:editId="649B1A55">
          <wp:extent cx="1285875" cy="504825"/>
          <wp:effectExtent l="0" t="0" r="9525" b="9525"/>
          <wp:docPr id="6" name="Obrázek 6" descr="C:\Users\pechp\Desktop\Logo_LK_barevné_300x300_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pechp\Desktop\Logo_LK_barevné_300x300_DPI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E9"/>
    <w:rsid w:val="00111BC5"/>
    <w:rsid w:val="00151B5D"/>
    <w:rsid w:val="001E5E4D"/>
    <w:rsid w:val="002A5572"/>
    <w:rsid w:val="003119A8"/>
    <w:rsid w:val="004F6D51"/>
    <w:rsid w:val="005D3B10"/>
    <w:rsid w:val="00780B8F"/>
    <w:rsid w:val="007B2EA7"/>
    <w:rsid w:val="0088749C"/>
    <w:rsid w:val="008C0D7F"/>
    <w:rsid w:val="00A85897"/>
    <w:rsid w:val="00C06FE9"/>
    <w:rsid w:val="00CD6220"/>
    <w:rsid w:val="00D74B9C"/>
    <w:rsid w:val="00DF1062"/>
    <w:rsid w:val="00F308DA"/>
    <w:rsid w:val="00FD1098"/>
    <w:rsid w:val="00FD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qFormat/>
    <w:rsid w:val="003119A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11BC5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3119A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Normlnweb">
    <w:name w:val="Normal (Web)"/>
    <w:basedOn w:val="Normln"/>
    <w:uiPriority w:val="99"/>
    <w:rsid w:val="00311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3119A8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1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119A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3119A8"/>
    <w:rPr>
      <w:vertAlign w:val="superscript"/>
    </w:rPr>
  </w:style>
  <w:style w:type="character" w:customStyle="1" w:styleId="itemimage">
    <w:name w:val="itemimage"/>
    <w:rsid w:val="003119A8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qFormat/>
    <w:rsid w:val="003119A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11BC5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3119A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Normlnweb">
    <w:name w:val="Normal (Web)"/>
    <w:basedOn w:val="Normln"/>
    <w:uiPriority w:val="99"/>
    <w:rsid w:val="00311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3119A8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1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119A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3119A8"/>
    <w:rPr>
      <w:vertAlign w:val="superscript"/>
    </w:rPr>
  </w:style>
  <w:style w:type="character" w:customStyle="1" w:styleId="itemimage">
    <w:name w:val="itemimage"/>
    <w:rsid w:val="003119A8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cialni-zaclenovani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787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Strouhal Vaclav</cp:lastModifiedBy>
  <cp:revision>2</cp:revision>
  <cp:lastPrinted>2016-06-20T10:59:00Z</cp:lastPrinted>
  <dcterms:created xsi:type="dcterms:W3CDTF">2016-08-17T06:57:00Z</dcterms:created>
  <dcterms:modified xsi:type="dcterms:W3CDTF">2016-08-17T06:57:00Z</dcterms:modified>
</cp:coreProperties>
</file>