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420A32">
        <w:rPr>
          <w:sz w:val="28"/>
        </w:rPr>
        <w:t>7</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 xml:space="preserve">Zastupitelstva Libereckého kraje dne </w:t>
      </w:r>
      <w:r w:rsidR="00420A32">
        <w:rPr>
          <w:sz w:val="28"/>
        </w:rPr>
        <w:t>30</w:t>
      </w:r>
      <w:r w:rsidR="00DA7266">
        <w:rPr>
          <w:sz w:val="28"/>
        </w:rPr>
        <w:t>. 0</w:t>
      </w:r>
      <w:r w:rsidR="00420A32">
        <w:rPr>
          <w:sz w:val="28"/>
        </w:rPr>
        <w:t>8</w:t>
      </w:r>
      <w:r w:rsidR="00DA7266">
        <w:rPr>
          <w:sz w:val="28"/>
        </w:rPr>
        <w:t>. 201</w:t>
      </w:r>
      <w:r w:rsidR="0001160F">
        <w:rPr>
          <w:sz w:val="28"/>
        </w:rPr>
        <w:t>6</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6A2792" w:rsidRDefault="006A2792" w:rsidP="006A2792">
      <w:pPr>
        <w:jc w:val="center"/>
        <w:rPr>
          <w:b/>
        </w:rPr>
      </w:pPr>
    </w:p>
    <w:p w:rsidR="006A2792" w:rsidRPr="008B196C" w:rsidRDefault="00723900" w:rsidP="006A2792">
      <w:pPr>
        <w:jc w:val="center"/>
        <w:rPr>
          <w:b/>
          <w:sz w:val="28"/>
          <w:szCs w:val="28"/>
        </w:rPr>
      </w:pPr>
      <w:r>
        <w:rPr>
          <w:b/>
          <w:sz w:val="28"/>
          <w:szCs w:val="28"/>
        </w:rPr>
        <w:t>115</w:t>
      </w:r>
      <w:r w:rsidR="00F20609">
        <w:rPr>
          <w:b/>
          <w:sz w:val="28"/>
          <w:szCs w:val="28"/>
        </w:rPr>
        <w:t xml:space="preserve"> </w:t>
      </w:r>
      <w:r w:rsidR="00537CA6">
        <w:rPr>
          <w:b/>
          <w:sz w:val="28"/>
          <w:szCs w:val="28"/>
        </w:rPr>
        <w:t>y</w:t>
      </w:r>
      <w:r w:rsidR="00F20609">
        <w:rPr>
          <w:b/>
          <w:sz w:val="28"/>
          <w:szCs w:val="28"/>
        </w:rPr>
        <w:t>)</w:t>
      </w:r>
    </w:p>
    <w:p w:rsidR="006A2792" w:rsidRDefault="006A2792" w:rsidP="008B196C">
      <w:pP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6A2792" w:rsidRDefault="006A2792" w:rsidP="006A2792">
      <w:pPr>
        <w:jc w:val="center"/>
        <w:rPr>
          <w:b/>
          <w:sz w:val="28"/>
          <w:szCs w:val="28"/>
        </w:rPr>
      </w:pPr>
    </w:p>
    <w:p w:rsidR="006A2792" w:rsidRPr="00F20609" w:rsidRDefault="00420A32" w:rsidP="006A2792">
      <w:pPr>
        <w:jc w:val="center"/>
        <w:rPr>
          <w:b/>
          <w:sz w:val="28"/>
          <w:szCs w:val="28"/>
        </w:rPr>
      </w:pPr>
      <w:r w:rsidRPr="00F20609">
        <w:rPr>
          <w:b/>
          <w:sz w:val="28"/>
          <w:szCs w:val="28"/>
        </w:rPr>
        <w:t>Zajištění dopravní obslužnosti Libereckého kraje veřejnou linkovou dopravou – možnosti dalšího postupu</w:t>
      </w:r>
    </w:p>
    <w:p w:rsidR="006A2792" w:rsidRPr="00F20609" w:rsidRDefault="006A2792" w:rsidP="006A2792">
      <w:pPr>
        <w:jc w:val="center"/>
        <w:rPr>
          <w:b/>
          <w:sz w:val="28"/>
          <w:szCs w:val="28"/>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A84C9B" w:rsidRDefault="006A2792" w:rsidP="006A2792">
      <w:pPr>
        <w:jc w:val="center"/>
        <w:rPr>
          <w:b/>
          <w:sz w:val="28"/>
          <w:szCs w:val="28"/>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bookmarkStart w:id="0" w:name="_GoBack"/>
      <w:bookmarkEnd w:id="0"/>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420A32" w:rsidRPr="00905EAB" w:rsidRDefault="00420A32" w:rsidP="00420A32">
            <w:pPr>
              <w:jc w:val="both"/>
            </w:pPr>
            <w:r w:rsidRPr="00905EAB">
              <w:t xml:space="preserve">Ing. Jiří </w:t>
            </w:r>
            <w:proofErr w:type="spellStart"/>
            <w:r w:rsidRPr="00905EAB">
              <w:t>Hruboň</w:t>
            </w:r>
            <w:proofErr w:type="spellEnd"/>
            <w:r w:rsidRPr="00905EAB">
              <w:t xml:space="preserve">, KORID LK, spol. s r. o. </w:t>
            </w:r>
          </w:p>
          <w:p w:rsidR="006A2792" w:rsidRDefault="00420A32" w:rsidP="00420A32">
            <w:r w:rsidRPr="00905EAB">
              <w:t>Ing. Otto Pospíšil, KORID LK, spol. s r. o.</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Vladimír Mastník</w:t>
            </w:r>
          </w:p>
          <w:p w:rsidR="006A2792" w:rsidRDefault="00E920CE" w:rsidP="00420A32">
            <w:r>
              <w:t xml:space="preserve">člen rady kraje, </w:t>
            </w:r>
            <w:r w:rsidR="00420A32">
              <w:t xml:space="preserve">řízení </w:t>
            </w:r>
            <w:r w:rsidR="006A2792">
              <w:t>resortu dopravy</w:t>
            </w:r>
          </w:p>
        </w:tc>
      </w:tr>
    </w:tbl>
    <w:p w:rsidR="003D02EF" w:rsidRDefault="003D02EF" w:rsidP="003D02EF">
      <w:pPr>
        <w:spacing w:before="120"/>
        <w:jc w:val="center"/>
        <w:rPr>
          <w:b/>
          <w:sz w:val="32"/>
          <w:szCs w:val="32"/>
        </w:rPr>
      </w:pPr>
      <w:r>
        <w:rPr>
          <w:b/>
          <w:sz w:val="32"/>
          <w:szCs w:val="32"/>
        </w:rPr>
        <w:lastRenderedPageBreak/>
        <w:t>Důvodová zpráva</w:t>
      </w:r>
    </w:p>
    <w:p w:rsidR="00723900" w:rsidRDefault="00723900" w:rsidP="00723900">
      <w:pPr>
        <w:jc w:val="center"/>
        <w:rPr>
          <w:b/>
          <w:sz w:val="32"/>
          <w:szCs w:val="32"/>
        </w:rPr>
      </w:pPr>
    </w:p>
    <w:p w:rsidR="00723900" w:rsidRPr="006B5038" w:rsidRDefault="00723900" w:rsidP="00723900">
      <w:pPr>
        <w:pStyle w:val="Odstavecseseznamem"/>
        <w:numPr>
          <w:ilvl w:val="0"/>
          <w:numId w:val="6"/>
        </w:numPr>
        <w:jc w:val="both"/>
        <w:rPr>
          <w:rFonts w:ascii="Times New Roman" w:hAnsi="Times New Roman"/>
          <w:b/>
          <w:color w:val="000000"/>
        </w:rPr>
      </w:pPr>
      <w:r w:rsidRPr="006B5038">
        <w:rPr>
          <w:rFonts w:ascii="Times New Roman" w:hAnsi="Times New Roman"/>
          <w:b/>
          <w:color w:val="000000"/>
        </w:rPr>
        <w:t>Východiska</w:t>
      </w:r>
    </w:p>
    <w:p w:rsidR="00723900" w:rsidRPr="00BA6B0E" w:rsidRDefault="00723900" w:rsidP="00723900">
      <w:pPr>
        <w:autoSpaceDE w:val="0"/>
        <w:autoSpaceDN w:val="0"/>
        <w:jc w:val="both"/>
        <w:rPr>
          <w:color w:val="000000"/>
        </w:rPr>
      </w:pPr>
      <w:r w:rsidRPr="00BA6B0E">
        <w:rPr>
          <w:color w:val="000000"/>
        </w:rPr>
        <w:t xml:space="preserve">Dopravní obslužnost v Libereckém kraji je zajišťována především autobusovou dopravou. Vyplývá to z historie, geografického reliéfu, roztříštěného osídlení a zastaralé či chybějící železniční infrastruktury. Vzhledem k dominanci tohoto druhu veřejné dopravy pro zajištění dopravní obslužnosti LK a tím i vlivu na vnímání veřejnosti bylo nezbytné, aby tento druh veřejné dopravy zajišťovali kvalitní dopravci s kvalitním vozovým parkem a objednatel Liberecký kraj měl možnost dostatečně flexibilně vytvářet dopravní řešení v souladu s poptávkou veřejnosti i s možnostmi svého rozpočtu. Z těchto důvodů se Liberecký kraj v roce 2011 rozhodl pro zadávací řízení dle Zákona 137/2006 Sb., o veřejných zakázkách (dále jen ZVZ) pod názvem „Výběr dopravců pro uzavření smluv o veřejných službách v přepravě cestujících ve veřejné linkové osobní dopravě k zabezpečení stanoveného rozsahu dopravní obslužnosti Libereckého kraje pro období od roku 2014 do roku 2024“ (dále jen „VZ 10“). </w:t>
      </w:r>
    </w:p>
    <w:p w:rsidR="00723900" w:rsidRDefault="00723900" w:rsidP="00723900">
      <w:pPr>
        <w:autoSpaceDE w:val="0"/>
        <w:autoSpaceDN w:val="0"/>
        <w:jc w:val="both"/>
        <w:rPr>
          <w:color w:val="000000"/>
        </w:rPr>
      </w:pPr>
      <w:r w:rsidRPr="00BA6B0E">
        <w:rPr>
          <w:color w:val="000000"/>
        </w:rPr>
        <w:t xml:space="preserve">Historie veřejné zakázky až do začátku roku 2016 byla radou kraje vzata na vědomí na jednání </w:t>
      </w:r>
      <w:r>
        <w:rPr>
          <w:color w:val="000000"/>
        </w:rPr>
        <w:t>dne 12. 1. 2016 (bod číslo 111). Z dokumentu je zřejmé, že od počátku roku 2014 je zadávací řízení předmětné veřejné zakázky řešeno Úřadem pro ochranu hospodářské soutěže (dále jen „Úřad“).</w:t>
      </w:r>
      <w:r w:rsidRPr="00E3669E">
        <w:rPr>
          <w:color w:val="000000"/>
        </w:rPr>
        <w:t xml:space="preserve"> </w:t>
      </w:r>
      <w:r>
        <w:rPr>
          <w:color w:val="000000"/>
        </w:rPr>
        <w:t>Řízení se aktuálně nachází ve fázi rozhodování předsedy Úřadu o rozkladech účastníků řízení (navrhovatelů) proti prvostupňovému rozhodnutí Úřadu.</w:t>
      </w:r>
    </w:p>
    <w:p w:rsidR="00723900" w:rsidRDefault="00723900" w:rsidP="00723900">
      <w:pPr>
        <w:autoSpaceDE w:val="0"/>
        <w:autoSpaceDN w:val="0"/>
        <w:jc w:val="both"/>
        <w:rPr>
          <w:color w:val="000000"/>
        </w:rPr>
      </w:pPr>
      <w:r>
        <w:rPr>
          <w:color w:val="000000"/>
        </w:rPr>
        <w:t>Od data projednání výše uvedeného dokumentu v radě kraje předseda Úřadu v předmětné veřejné zakázce neučinil žádné rozhodnutí.</w:t>
      </w:r>
    </w:p>
    <w:p w:rsidR="00723900" w:rsidRDefault="00723900" w:rsidP="00723900">
      <w:pPr>
        <w:rPr>
          <w:color w:val="000000"/>
        </w:rPr>
      </w:pPr>
    </w:p>
    <w:p w:rsidR="00723900" w:rsidRPr="00723900" w:rsidRDefault="00723900" w:rsidP="00723900">
      <w:pPr>
        <w:pStyle w:val="Nadpis1"/>
        <w:keepLines w:val="0"/>
        <w:numPr>
          <w:ilvl w:val="0"/>
          <w:numId w:val="6"/>
        </w:numPr>
        <w:autoSpaceDE w:val="0"/>
        <w:autoSpaceDN w:val="0"/>
        <w:spacing w:before="120" w:after="120"/>
        <w:ind w:left="357" w:hanging="357"/>
        <w:rPr>
          <w:rFonts w:ascii="Times New Roman" w:eastAsia="Times New Roman" w:hAnsi="Times New Roman" w:cs="Times New Roman"/>
          <w:color w:val="auto"/>
          <w:sz w:val="24"/>
          <w:szCs w:val="24"/>
        </w:rPr>
      </w:pPr>
      <w:r w:rsidRPr="00723900">
        <w:rPr>
          <w:rFonts w:ascii="Times New Roman" w:eastAsia="Times New Roman" w:hAnsi="Times New Roman" w:cs="Times New Roman"/>
          <w:color w:val="auto"/>
          <w:sz w:val="24"/>
          <w:szCs w:val="24"/>
        </w:rPr>
        <w:t>Další kroky Libereckého kraje od 12. 1. 2016 do současnosti</w:t>
      </w:r>
    </w:p>
    <w:p w:rsidR="00723900" w:rsidRDefault="00723900" w:rsidP="00723900">
      <w:pPr>
        <w:jc w:val="both"/>
        <w:rPr>
          <w:color w:val="000000"/>
        </w:rPr>
      </w:pPr>
      <w:r w:rsidRPr="0024578D">
        <w:rPr>
          <w:b/>
          <w:color w:val="000000"/>
        </w:rPr>
        <w:t>Leden 2016:</w:t>
      </w:r>
      <w:r>
        <w:rPr>
          <w:color w:val="000000"/>
        </w:rPr>
        <w:t xml:space="preserve"> Na počátku roku 2016 po sérii rozhodnutí Úřadu (6. 10. 2015, 9. 12. 2015) se Liberecký kraj domníval, že finální rozhodnutí předsedy Úřadu, v němž potvrdí prvoinstanční rozhodnutí Úřadu, bude následovat v zákonné lhůtě do 60 dnů. </w:t>
      </w:r>
    </w:p>
    <w:p w:rsidR="00723900" w:rsidRDefault="00723900" w:rsidP="00723900">
      <w:pPr>
        <w:jc w:val="both"/>
        <w:rPr>
          <w:b/>
          <w:color w:val="000000"/>
        </w:rPr>
      </w:pPr>
    </w:p>
    <w:p w:rsidR="00723900" w:rsidRDefault="00723900" w:rsidP="00723900">
      <w:pPr>
        <w:jc w:val="both"/>
        <w:rPr>
          <w:color w:val="000000"/>
        </w:rPr>
      </w:pPr>
      <w:r w:rsidRPr="0024578D">
        <w:rPr>
          <w:b/>
          <w:color w:val="000000"/>
        </w:rPr>
        <w:t>Březen 2016:</w:t>
      </w:r>
      <w:r>
        <w:rPr>
          <w:color w:val="000000"/>
        </w:rPr>
        <w:t xml:space="preserve"> Po uplynutí zákonné lhůty, v níž Úřad žádné rozhodnutí nevydal, projednala rada kraje na svém jednání dne 15. 3. 2016 návrh dalšího postupu ve věci předmětné zakázky (bod číslo 45). </w:t>
      </w:r>
    </w:p>
    <w:p w:rsidR="00723900" w:rsidRDefault="00723900" w:rsidP="00723900">
      <w:pPr>
        <w:pStyle w:val="Odstavecseseznamem"/>
        <w:numPr>
          <w:ilvl w:val="0"/>
          <w:numId w:val="7"/>
        </w:numPr>
        <w:jc w:val="both"/>
        <w:rPr>
          <w:rFonts w:ascii="Times New Roman" w:hAnsi="Times New Roman"/>
          <w:color w:val="000000"/>
        </w:rPr>
      </w:pPr>
      <w:r w:rsidRPr="00371F9A">
        <w:rPr>
          <w:rFonts w:ascii="Times New Roman" w:hAnsi="Times New Roman"/>
          <w:color w:val="000000"/>
        </w:rPr>
        <w:t xml:space="preserve">Rada </w:t>
      </w:r>
      <w:r>
        <w:rPr>
          <w:rFonts w:ascii="Times New Roman" w:hAnsi="Times New Roman"/>
          <w:color w:val="000000"/>
        </w:rPr>
        <w:t xml:space="preserve">kraje se </w:t>
      </w:r>
      <w:r w:rsidRPr="00371F9A">
        <w:rPr>
          <w:rFonts w:ascii="Times New Roman" w:hAnsi="Times New Roman"/>
          <w:color w:val="000000"/>
        </w:rPr>
        <w:t>rozhodla pro využití 1 roku opce na prodloužení smluv se stávajícími dopravci (JŘBU) o 1 rok do 31. 12. 2017. Tímto Liberecký kraj z</w:t>
      </w:r>
      <w:r>
        <w:rPr>
          <w:rFonts w:ascii="Times New Roman" w:hAnsi="Times New Roman"/>
          <w:color w:val="000000"/>
        </w:rPr>
        <w:t xml:space="preserve">ískal časový prostor pro další úkony ve věci zadání dopravní zakázky. </w:t>
      </w:r>
      <w:r w:rsidRPr="00371F9A">
        <w:rPr>
          <w:rFonts w:ascii="Times New Roman" w:hAnsi="Times New Roman"/>
          <w:color w:val="000000"/>
        </w:rPr>
        <w:t xml:space="preserve"> </w:t>
      </w:r>
    </w:p>
    <w:p w:rsidR="00723900" w:rsidRDefault="00723900" w:rsidP="00723900">
      <w:pPr>
        <w:pStyle w:val="Odstavecseseznamem"/>
        <w:numPr>
          <w:ilvl w:val="0"/>
          <w:numId w:val="7"/>
        </w:numPr>
        <w:jc w:val="both"/>
        <w:rPr>
          <w:rFonts w:ascii="Times New Roman" w:hAnsi="Times New Roman"/>
          <w:color w:val="000000"/>
        </w:rPr>
      </w:pPr>
      <w:r>
        <w:rPr>
          <w:rFonts w:ascii="Times New Roman" w:hAnsi="Times New Roman"/>
          <w:color w:val="000000"/>
        </w:rPr>
        <w:t>Rada rozhodla o zajištění dopravní obslužnosti pro další roky formou 3 otevřených zadávacích řízení (Západ, Sever, Východ) na přechodné období (dále jen „VZ PO“), schválila odůvodnění těchto veřejných zakázek a uložila společnosti KORID LK, spol. s r.o. (dále jen „KORID“) zpracování zadávací dokumentace a administraci zadávacího řízení. Odůvodnění veřejných zakázek bylo projednáno ve výboru dopravy zastupitelstva LK a následně schváleno zastupitelstvem.</w:t>
      </w:r>
    </w:p>
    <w:p w:rsidR="00723900" w:rsidRDefault="00723900" w:rsidP="00723900">
      <w:pPr>
        <w:jc w:val="both"/>
        <w:rPr>
          <w:color w:val="000000"/>
        </w:rPr>
      </w:pPr>
    </w:p>
    <w:p w:rsidR="00723900" w:rsidRDefault="00723900" w:rsidP="00723900">
      <w:pPr>
        <w:jc w:val="both"/>
        <w:rPr>
          <w:color w:val="000000"/>
        </w:rPr>
      </w:pPr>
      <w:r w:rsidRPr="0024578D">
        <w:rPr>
          <w:b/>
          <w:color w:val="000000"/>
        </w:rPr>
        <w:t xml:space="preserve">Květen 2016: </w:t>
      </w:r>
      <w:r>
        <w:rPr>
          <w:color w:val="000000"/>
        </w:rPr>
        <w:t>Zástupci Libereckého kraje a krajského úřadu navštívili Úřad, kdy bylo nahlédnuto do spisů všech 4 veřejných zakázek. Na základě toho by se dalo dovodit, že rozhodnutí Úřadu v předmětné zakázce bude doručeno Libereckému kraji v průběhu prázdninových měsíců.</w:t>
      </w:r>
    </w:p>
    <w:p w:rsidR="00723900" w:rsidRDefault="00723900" w:rsidP="00723900">
      <w:pPr>
        <w:jc w:val="both"/>
        <w:rPr>
          <w:color w:val="000000"/>
        </w:rPr>
      </w:pPr>
    </w:p>
    <w:p w:rsidR="00723900" w:rsidRDefault="00723900" w:rsidP="00723900">
      <w:pPr>
        <w:jc w:val="both"/>
        <w:rPr>
          <w:color w:val="000000"/>
        </w:rPr>
      </w:pPr>
      <w:r w:rsidRPr="00E8743B">
        <w:rPr>
          <w:b/>
          <w:color w:val="000000"/>
        </w:rPr>
        <w:lastRenderedPageBreak/>
        <w:t>Červen 2016:</w:t>
      </w:r>
      <w:r>
        <w:rPr>
          <w:color w:val="000000"/>
        </w:rPr>
        <w:t xml:space="preserve"> Zadávací dokumentace pro VZ PO byla ke dni 30. 6. 2016 zpracována a předložena do rady kraje.</w:t>
      </w:r>
    </w:p>
    <w:p w:rsidR="00723900" w:rsidRDefault="00723900" w:rsidP="00723900">
      <w:pPr>
        <w:adjustRightInd w:val="0"/>
        <w:jc w:val="both"/>
        <w:rPr>
          <w:noProof/>
        </w:rPr>
      </w:pPr>
      <w:r>
        <w:rPr>
          <w:noProof/>
        </w:rPr>
        <w:t xml:space="preserve">Na základě požadavku Libereckého kraje uplatnil KORID LK, spol. s r.o. objednávku u Fakulty dopravní ČVÚT v Praze na komentovanou SWOT analýzu, která posoudí rizika a příležitosti spojené se zřízením vnitřního provozovatele autobusové dopravy v Libereckém kraji. Materiál by měl sloužit pro podporu rozhodování, zda je vhodné uvažovat o zřízení vnitřního dopravce v podmínkách Libereckého kraje včetně upozornění na pozitiva a rizika takového strategického rozhodnutí. </w:t>
      </w:r>
    </w:p>
    <w:p w:rsidR="00723900" w:rsidRDefault="00723900" w:rsidP="00723900">
      <w:pPr>
        <w:jc w:val="both"/>
        <w:rPr>
          <w:color w:val="000000"/>
        </w:rPr>
      </w:pPr>
    </w:p>
    <w:p w:rsidR="00723900" w:rsidRDefault="00723900" w:rsidP="00723900">
      <w:pPr>
        <w:jc w:val="both"/>
        <w:rPr>
          <w:color w:val="000000"/>
        </w:rPr>
      </w:pPr>
      <w:r w:rsidRPr="00E8743B">
        <w:rPr>
          <w:b/>
          <w:color w:val="000000"/>
        </w:rPr>
        <w:t>Červenec 2016:</w:t>
      </w:r>
    </w:p>
    <w:p w:rsidR="00723900" w:rsidRDefault="00723900" w:rsidP="00723900">
      <w:pPr>
        <w:jc w:val="both"/>
        <w:rPr>
          <w:color w:val="000000"/>
        </w:rPr>
      </w:pPr>
      <w:r>
        <w:rPr>
          <w:noProof/>
        </w:rPr>
        <w:t xml:space="preserve">Dne 12. července 2016 proběhlo projednání připravovaných zadávacích řízení veřejných zakázek na Zajištění dopravní obslužnosti Libereckého kraje veřejnou linkovou osobní dopravou pro přechodné období se zastupiteli a členy Výboru dopravy. </w:t>
      </w:r>
      <w:r w:rsidRPr="00BC6BBC">
        <w:rPr>
          <w:b/>
          <w:noProof/>
        </w:rPr>
        <w:t>Na tomto projednání zazněla zásadní připomínka, aby Liberecký kraj prověřil možnost zrušení VZ 10 a vypsal nové zadávací řízení na desetiletou zakázku</w:t>
      </w:r>
      <w:r>
        <w:rPr>
          <w:noProof/>
        </w:rPr>
        <w:t>, přičemž zastupitelé považují zadání veřejných zakázek pro přechodné období v tuto chvíli za nelogické. Resort dopravy se zavázal, že možnosti zrušení VZ 10 prověří.</w:t>
      </w:r>
    </w:p>
    <w:p w:rsidR="00723900" w:rsidRDefault="00723900" w:rsidP="00723900">
      <w:pPr>
        <w:jc w:val="both"/>
        <w:rPr>
          <w:color w:val="000000"/>
        </w:rPr>
      </w:pPr>
    </w:p>
    <w:p w:rsidR="00723900" w:rsidRDefault="00723900" w:rsidP="00723900">
      <w:pPr>
        <w:jc w:val="both"/>
        <w:rPr>
          <w:color w:val="000000"/>
        </w:rPr>
      </w:pPr>
      <w:r>
        <w:rPr>
          <w:color w:val="000000"/>
        </w:rPr>
        <w:t>Rada kraje na svém jednání 19. 7. (bod číslo 40) po projednání vzala na vědomí zadávací dokumentaci všech 3 veřejných zakázek (Západ, Sever, Východ) VZ PO. S ohledem na možné činnosti Úřadu a očekávání rozhodnutí ve věci VZ 10 se rozhodla prozatím nezahájit zadávací řízení na uvedené tři veřejné zakázky a vyčkat na rozhodnutí Úřadu. Zároveň zadala KORID prověřit možnosti zrušení VZ 10.</w:t>
      </w:r>
    </w:p>
    <w:p w:rsidR="00723900" w:rsidRDefault="00723900" w:rsidP="00723900">
      <w:pPr>
        <w:rPr>
          <w:color w:val="000000"/>
        </w:rPr>
      </w:pPr>
    </w:p>
    <w:p w:rsidR="00723900" w:rsidRPr="005B3E9A" w:rsidRDefault="00723900" w:rsidP="00723900">
      <w:pPr>
        <w:pStyle w:val="Odstavecseseznamem"/>
        <w:numPr>
          <w:ilvl w:val="0"/>
          <w:numId w:val="6"/>
        </w:numPr>
        <w:rPr>
          <w:rFonts w:ascii="Times New Roman" w:hAnsi="Times New Roman"/>
          <w:b/>
          <w:color w:val="000000"/>
        </w:rPr>
      </w:pPr>
      <w:r w:rsidRPr="005B3E9A">
        <w:rPr>
          <w:rFonts w:ascii="Times New Roman" w:hAnsi="Times New Roman"/>
          <w:b/>
          <w:color w:val="000000"/>
        </w:rPr>
        <w:t>Možnosti zrušení VZ 10</w:t>
      </w:r>
    </w:p>
    <w:p w:rsidR="00723900" w:rsidRPr="00F6629E" w:rsidRDefault="00723900" w:rsidP="00723900">
      <w:pPr>
        <w:jc w:val="both"/>
        <w:rPr>
          <w:color w:val="000000"/>
        </w:rPr>
      </w:pPr>
      <w:r w:rsidRPr="00E3669E">
        <w:rPr>
          <w:color w:val="000000"/>
        </w:rPr>
        <w:t xml:space="preserve">V souladu s ustanovením § 84 </w:t>
      </w:r>
      <w:r>
        <w:rPr>
          <w:color w:val="000000"/>
        </w:rPr>
        <w:t>odst. 2 ZVZ z</w:t>
      </w:r>
      <w:r w:rsidRPr="00F6629E">
        <w:rPr>
          <w:color w:val="000000"/>
        </w:rPr>
        <w:t xml:space="preserve">adavatel může </w:t>
      </w:r>
      <w:r w:rsidRPr="00660649">
        <w:rPr>
          <w:color w:val="000000"/>
          <w:u w:val="single"/>
        </w:rPr>
        <w:t>bez zbytečného odkladu</w:t>
      </w:r>
      <w:r w:rsidRPr="00F6629E">
        <w:rPr>
          <w:color w:val="000000"/>
        </w:rPr>
        <w:t xml:space="preserve"> zrušit zadávací řízení, pouze pokud</w:t>
      </w:r>
      <w:r>
        <w:rPr>
          <w:color w:val="000000"/>
        </w:rPr>
        <w:t>:</w:t>
      </w:r>
      <w:r w:rsidRPr="00F6629E">
        <w:rPr>
          <w:color w:val="000000"/>
        </w:rPr>
        <w:t xml:space="preserve"> </w:t>
      </w:r>
    </w:p>
    <w:p w:rsidR="00723900" w:rsidRPr="00660649" w:rsidRDefault="00723900" w:rsidP="00723900">
      <w:pPr>
        <w:pStyle w:val="Odstavecseseznamem"/>
        <w:numPr>
          <w:ilvl w:val="0"/>
          <w:numId w:val="10"/>
        </w:numPr>
        <w:jc w:val="both"/>
        <w:rPr>
          <w:color w:val="000000"/>
        </w:rPr>
      </w:pPr>
      <w:r w:rsidRPr="00660649">
        <w:rPr>
          <w:rFonts w:ascii="Times New Roman" w:hAnsi="Times New Roman"/>
          <w:color w:val="000000"/>
        </w:rPr>
        <w:t>stanovil minimální počet zájemců, kteří mají podat žádost o účast, nebo potvrzení zájmu o účast v užším řízení, jednacím řízení s uveřejněním či soutěžním dialogu, a tento stanovený počet nebyl naplněn, popřípadě nebyl naplněn po posouzení kvalifikace,</w:t>
      </w:r>
    </w:p>
    <w:p w:rsidR="00723900" w:rsidRPr="00660649" w:rsidRDefault="00723900" w:rsidP="00723900">
      <w:pPr>
        <w:pStyle w:val="Odstavecseseznamem"/>
        <w:numPr>
          <w:ilvl w:val="0"/>
          <w:numId w:val="10"/>
        </w:numPr>
        <w:jc w:val="both"/>
        <w:rPr>
          <w:color w:val="000000"/>
        </w:rPr>
      </w:pPr>
      <w:r w:rsidRPr="00660649">
        <w:rPr>
          <w:rFonts w:ascii="Times New Roman" w:hAnsi="Times New Roman"/>
          <w:color w:val="000000"/>
        </w:rPr>
        <w:t>počet zájemců vyzvaných zadavatelem k podání nabídky v užším řízení, jednacím řízení s uveřejněním či soutěžním dialogu byl nižší či roven minimálnímu zákonnému počtu a nabídku podá menší počet uchazečů než zadavatelem vyzvaný,</w:t>
      </w:r>
    </w:p>
    <w:p w:rsidR="00723900" w:rsidRPr="00660649" w:rsidRDefault="00723900" w:rsidP="00723900">
      <w:pPr>
        <w:pStyle w:val="Odstavecseseznamem"/>
        <w:numPr>
          <w:ilvl w:val="0"/>
          <w:numId w:val="10"/>
        </w:numPr>
        <w:jc w:val="both"/>
        <w:rPr>
          <w:color w:val="000000"/>
        </w:rPr>
      </w:pPr>
      <w:r w:rsidRPr="00660649">
        <w:rPr>
          <w:rFonts w:ascii="Times New Roman" w:hAnsi="Times New Roman"/>
          <w:color w:val="000000"/>
        </w:rPr>
        <w:t>vybraný uchazeč, popřípadě uchazeč druhý v pořadí, odmítl uzavřít smlouvu nebo neposkytl zadavateli k jejímu uzavření řádnou součinnost podle § 82 odst. 4,</w:t>
      </w:r>
    </w:p>
    <w:p w:rsidR="00723900" w:rsidRPr="00660649" w:rsidRDefault="00723900" w:rsidP="00723900">
      <w:pPr>
        <w:pStyle w:val="Odstavecseseznamem"/>
        <w:numPr>
          <w:ilvl w:val="0"/>
          <w:numId w:val="10"/>
        </w:numPr>
        <w:jc w:val="both"/>
        <w:rPr>
          <w:color w:val="000000"/>
        </w:rPr>
      </w:pPr>
      <w:r w:rsidRPr="00660649">
        <w:rPr>
          <w:rFonts w:ascii="Times New Roman" w:hAnsi="Times New Roman"/>
          <w:color w:val="000000"/>
        </w:rPr>
        <w:t>odpadly důvody pro pokračování v zadávacím řízení v důsledku podstatné změny okolností, které nastaly v době od zahájení zadávacího řízení a které zadavatel s přihlédnutím ke všem okolnostem nemohl předvídat a ani je nezpůsobil,</w:t>
      </w:r>
    </w:p>
    <w:p w:rsidR="00723900" w:rsidRDefault="00723900" w:rsidP="00723900">
      <w:pPr>
        <w:pStyle w:val="Odstavecseseznamem"/>
        <w:numPr>
          <w:ilvl w:val="0"/>
          <w:numId w:val="10"/>
        </w:numPr>
        <w:jc w:val="both"/>
        <w:rPr>
          <w:rFonts w:ascii="Times New Roman" w:hAnsi="Times New Roman"/>
          <w:color w:val="000000"/>
        </w:rPr>
      </w:pPr>
      <w:r w:rsidRPr="00660649">
        <w:rPr>
          <w:rFonts w:ascii="Times New Roman" w:hAnsi="Times New Roman"/>
          <w:color w:val="000000"/>
        </w:rPr>
        <w:t>v průběhu zadávacího řízení se vyskytly důvody hodné zvláštního zřetele, pro které nelze na zadavateli požadovat, aby v zadávacím řízení pokračoval.</w:t>
      </w:r>
    </w:p>
    <w:p w:rsidR="00723900" w:rsidRPr="00660649" w:rsidRDefault="00723900" w:rsidP="00723900">
      <w:pPr>
        <w:jc w:val="both"/>
        <w:rPr>
          <w:color w:val="000000"/>
        </w:rPr>
      </w:pPr>
      <w:r>
        <w:rPr>
          <w:color w:val="000000"/>
        </w:rPr>
        <w:t>V konkrétním případě přichází v úvahu důvody uvedené pod písmeny e) a případně též d). Níže jsou pak rozvedeny i další podpůrné důvody, pro něž lze uvažovat o zrušení zadávacího řízení na VZ10:</w:t>
      </w:r>
    </w:p>
    <w:p w:rsidR="00723900" w:rsidRDefault="00723900" w:rsidP="00723900">
      <w:pPr>
        <w:pStyle w:val="Odstavecseseznamem"/>
        <w:numPr>
          <w:ilvl w:val="0"/>
          <w:numId w:val="8"/>
        </w:numPr>
        <w:spacing w:line="240" w:lineRule="auto"/>
        <w:jc w:val="both"/>
        <w:rPr>
          <w:rFonts w:ascii="Times New Roman" w:hAnsi="Times New Roman"/>
        </w:rPr>
      </w:pPr>
      <w:r w:rsidRPr="00952712">
        <w:rPr>
          <w:rFonts w:ascii="Times New Roman" w:hAnsi="Times New Roman"/>
          <w:b/>
        </w:rPr>
        <w:t>Délka kontraktu</w:t>
      </w:r>
      <w:r>
        <w:rPr>
          <w:rFonts w:ascii="Times New Roman" w:hAnsi="Times New Roman"/>
        </w:rPr>
        <w:t xml:space="preserve">: V zadávací dokumentaci z roku 2012 je nastavena doba plnění veřejné zakázky na dobu 10 let, a to konkrétním vymezením doby od 14. 12. 2014 do </w:t>
      </w:r>
      <w:r>
        <w:rPr>
          <w:rFonts w:ascii="Times New Roman" w:hAnsi="Times New Roman"/>
        </w:rPr>
        <w:lastRenderedPageBreak/>
        <w:t xml:space="preserve">9. 12. 2024. Z toho je zřejmé (nelze uzavřít smlouvu do minulosti), že bude muset být dodržena buď lhůta 10 let a klouzavý čas zahájení a konce smlouvy, nebo zkrácena jeho délka, což bude pravděpodobně odmítnuto vítěznými uchazeči (rozvrátí se jejich ekonomika kontraktu). </w:t>
      </w:r>
      <w:r w:rsidRPr="00AA1F57">
        <w:rPr>
          <w:rFonts w:ascii="Times New Roman" w:hAnsi="Times New Roman"/>
        </w:rPr>
        <w:t>Navíc by šlo zřejmě taktéž o podstatnou změnu smlouvy</w:t>
      </w:r>
      <w:r>
        <w:rPr>
          <w:rFonts w:ascii="Times New Roman" w:hAnsi="Times New Roman"/>
        </w:rPr>
        <w:t xml:space="preserve">. Na dotaz Libereckého kraje k tomu, zda je vůbec možné v souladu se ZVZ při pozdějším termínu zahájení provozu dle smlouvy odpovídajícím způsobem posunout také konec platnosti smlouvy a další konkrétní termíny vyplývající ze smlouvy, se v roce 2014 Úřad ani Ministerstvo místního rozvoje jako gestor ZVZ vyjádřily jen velmi neurčitě. V dubnu 2016 odpověděl Úřad na opakovaný dotaz Libereckého kraje týkající se pokračování VZ 10 daleko podrobněji, v odpovědi explicitně uvedl podmínky ZVZ ke změnám zadávacích podmínek a smlouvy s vítězným uchazečem a podmínky pro zrušení zadávacího řízení. Odpověď Úřadu je Přílohou č. 1 tohoto dokumentu. </w:t>
      </w:r>
    </w:p>
    <w:p w:rsidR="00723900" w:rsidRDefault="00723900" w:rsidP="00723900">
      <w:pPr>
        <w:pStyle w:val="Odstavecseseznamem"/>
        <w:numPr>
          <w:ilvl w:val="0"/>
          <w:numId w:val="8"/>
        </w:numPr>
        <w:spacing w:line="240" w:lineRule="auto"/>
        <w:jc w:val="both"/>
        <w:rPr>
          <w:rFonts w:ascii="Times New Roman" w:hAnsi="Times New Roman"/>
        </w:rPr>
      </w:pPr>
      <w:r>
        <w:rPr>
          <w:rFonts w:ascii="Times New Roman" w:hAnsi="Times New Roman"/>
          <w:b/>
        </w:rPr>
        <w:t>Platnost b</w:t>
      </w:r>
      <w:r w:rsidRPr="00952712">
        <w:rPr>
          <w:rFonts w:ascii="Times New Roman" w:hAnsi="Times New Roman"/>
          <w:b/>
        </w:rPr>
        <w:t>ankovní záruky</w:t>
      </w:r>
      <w:r>
        <w:rPr>
          <w:rFonts w:ascii="Times New Roman" w:hAnsi="Times New Roman"/>
          <w:b/>
        </w:rPr>
        <w:t xml:space="preserve">: </w:t>
      </w:r>
      <w:r w:rsidRPr="00660649">
        <w:rPr>
          <w:rFonts w:ascii="Times New Roman" w:hAnsi="Times New Roman"/>
        </w:rPr>
        <w:t xml:space="preserve">Ve smlouvě je nastavena povinnost dopravců zajistit bankovní záruku ke krytí svých </w:t>
      </w:r>
      <w:r w:rsidRPr="000275AA">
        <w:rPr>
          <w:rFonts w:ascii="Times New Roman" w:hAnsi="Times New Roman"/>
        </w:rPr>
        <w:t>závazků</w:t>
      </w:r>
      <w:r w:rsidRPr="00660649">
        <w:rPr>
          <w:rFonts w:ascii="Times New Roman" w:hAnsi="Times New Roman"/>
        </w:rPr>
        <w:t xml:space="preserve"> ze smlouvy s dobou platnosti </w:t>
      </w:r>
      <w:r>
        <w:rPr>
          <w:rFonts w:ascii="Times New Roman" w:hAnsi="Times New Roman"/>
        </w:rPr>
        <w:t>do 31. 12. 2016 a v případě zahájení kontraktu po tomto termínu dopravce může smlouvu ukončit (např. insolvence), aniž by Liberecký kraj mohl zhojit zvýšené náklady na změnu dopravce z této záruky. I zde je otázkou, zda by bylo možné (podobně jako u data zahájení plnění smlouvy a konce platnosti smlouvy) s ohledem na běžící řízení u Úřadu, posunout odpovídajícím způsobem termín platnosti bankovní záruky. I zde je (s ohledem na odpověď Úřadu z roku 2016) velmi pravděpodobné, že by se v případě posunu uvedeného data jednalo o podstatnou změnu smlouvy, jež by z</w:t>
      </w:r>
      <w:r w:rsidRPr="002702F9">
        <w:rPr>
          <w:rFonts w:ascii="Times New Roman" w:hAnsi="Times New Roman"/>
        </w:rPr>
        <w:t>a použití v původním zadávacím řízení umožnila účast jiných dodavatelů,</w:t>
      </w:r>
      <w:r>
        <w:rPr>
          <w:rFonts w:ascii="Times New Roman" w:hAnsi="Times New Roman"/>
        </w:rPr>
        <w:t xml:space="preserve"> či by mohla ovlivnit výběr nejvhodnější nabídky, přičemž taková změna by byla nepřípustná. Beze změny smlouvy by však taková smluvní podmínka zcela ztrácela pro zadavatele význam.</w:t>
      </w:r>
    </w:p>
    <w:p w:rsidR="00723900" w:rsidRDefault="00723900" w:rsidP="00723900">
      <w:pPr>
        <w:pStyle w:val="Odstavecseseznamem"/>
        <w:numPr>
          <w:ilvl w:val="0"/>
          <w:numId w:val="8"/>
        </w:numPr>
        <w:spacing w:line="240" w:lineRule="auto"/>
        <w:jc w:val="both"/>
        <w:rPr>
          <w:rFonts w:ascii="Times New Roman" w:hAnsi="Times New Roman"/>
        </w:rPr>
      </w:pPr>
      <w:r w:rsidRPr="00952712">
        <w:rPr>
          <w:rFonts w:ascii="Times New Roman" w:hAnsi="Times New Roman"/>
          <w:b/>
        </w:rPr>
        <w:t>Technologický rozvoj</w:t>
      </w:r>
      <w:r>
        <w:rPr>
          <w:rFonts w:ascii="Times New Roman" w:hAnsi="Times New Roman"/>
        </w:rPr>
        <w:t xml:space="preserve">: V době tvorby zadávací dokumentace v roce 2012 nikdo z autorů nepočítal s tím, že aplikace zadávací dokumentace proběhne (hodnocení nabídek a uzavření smluv s vítěznými uchazeči) až v roce 2017. Zadávací dokumentace v sobě zahrnovala mechanismy pro upgrade technologií vozidel a především informačních systémů </w:t>
      </w:r>
      <w:r w:rsidRPr="00952712">
        <w:rPr>
          <w:rFonts w:ascii="Times New Roman" w:hAnsi="Times New Roman"/>
        </w:rPr>
        <w:t>v </w:t>
      </w:r>
      <w:r w:rsidRPr="00952712">
        <w:rPr>
          <w:rFonts w:ascii="Times New Roman" w:hAnsi="Times New Roman"/>
          <w:b/>
        </w:rPr>
        <w:t>průběhu trvání kontraktu</w:t>
      </w:r>
      <w:r>
        <w:rPr>
          <w:rFonts w:ascii="Times New Roman" w:hAnsi="Times New Roman"/>
        </w:rPr>
        <w:t xml:space="preserve">, až na výjimky nemá v sobě algoritmy pro upgrade technologií </w:t>
      </w:r>
      <w:r w:rsidRPr="00952712">
        <w:rPr>
          <w:rFonts w:ascii="Times New Roman" w:hAnsi="Times New Roman"/>
          <w:b/>
        </w:rPr>
        <w:t>před zahájením kontraktu</w:t>
      </w:r>
      <w:r>
        <w:rPr>
          <w:rFonts w:ascii="Times New Roman" w:hAnsi="Times New Roman"/>
        </w:rPr>
        <w:t>. Narovnání stavu by muselo dojít změnou smlouvy a tato změna by se mohla dostat v některých případech do rozporu se ZVZ. Týká se to i definic ve Standardech kvality, které jsou přílohou smlouvy, v nichž jsou nárůsty kvalitativních parametrů fixovány na jednotlivé (již uplynulé) kalendářní roky.</w:t>
      </w:r>
    </w:p>
    <w:p w:rsidR="00723900" w:rsidRDefault="00723900" w:rsidP="00723900">
      <w:pPr>
        <w:pStyle w:val="Odstavecseseznamem"/>
        <w:numPr>
          <w:ilvl w:val="0"/>
          <w:numId w:val="8"/>
        </w:numPr>
        <w:spacing w:line="240" w:lineRule="auto"/>
        <w:jc w:val="both"/>
        <w:rPr>
          <w:rFonts w:ascii="Times New Roman" w:hAnsi="Times New Roman"/>
        </w:rPr>
      </w:pPr>
      <w:r w:rsidRPr="0071357D">
        <w:rPr>
          <w:rFonts w:ascii="Times New Roman" w:hAnsi="Times New Roman"/>
          <w:b/>
        </w:rPr>
        <w:t>Modelový příklad struktury vozového parku i dopravních řešení</w:t>
      </w:r>
      <w:r>
        <w:rPr>
          <w:rFonts w:ascii="Times New Roman" w:hAnsi="Times New Roman"/>
        </w:rPr>
        <w:t xml:space="preserve"> v jednotlivých oblastech použitý do zadávací dokumentace pro hodnocení cenové nabídky již </w:t>
      </w:r>
      <w:r w:rsidRPr="0071357D">
        <w:rPr>
          <w:rFonts w:ascii="Times New Roman" w:hAnsi="Times New Roman"/>
          <w:b/>
        </w:rPr>
        <w:t>neodpovídá současným potřebám Libereckého kraje</w:t>
      </w:r>
      <w:r>
        <w:rPr>
          <w:rFonts w:ascii="Times New Roman" w:hAnsi="Times New Roman"/>
        </w:rPr>
        <w:t xml:space="preserve">, protože v období 2013 – 2016 docházelo dále k průběžné optimalizaci dopravních výkonů v souvislosti s externími i interními vliv.  Tato informace byla uvedena v zadávacích podmínkách VZ 10 a smlouva jako součást zadávací dokumentace obsahovala postupy a algoritmy pro změny v důsledku optimalizace </w:t>
      </w:r>
      <w:r w:rsidRPr="0071357D">
        <w:rPr>
          <w:rFonts w:ascii="Times New Roman" w:hAnsi="Times New Roman"/>
          <w:b/>
        </w:rPr>
        <w:t>v průběhu kontraktu</w:t>
      </w:r>
      <w:r>
        <w:rPr>
          <w:rFonts w:ascii="Times New Roman" w:hAnsi="Times New Roman"/>
        </w:rPr>
        <w:t xml:space="preserve">, nikoli však v procesu hodnocení nabídek </w:t>
      </w:r>
      <w:r w:rsidRPr="0071357D">
        <w:rPr>
          <w:rFonts w:ascii="Times New Roman" w:hAnsi="Times New Roman"/>
          <w:b/>
        </w:rPr>
        <w:t>před uzavřením kontraktu</w:t>
      </w:r>
      <w:r>
        <w:rPr>
          <w:rFonts w:ascii="Times New Roman" w:hAnsi="Times New Roman"/>
        </w:rPr>
        <w:t xml:space="preserve"> (to by bylo v rozporu se ZVZ). </w:t>
      </w:r>
    </w:p>
    <w:p w:rsidR="00723900" w:rsidRPr="00877310" w:rsidRDefault="00723900" w:rsidP="00723900">
      <w:pPr>
        <w:pStyle w:val="Odstavecseseznamem"/>
        <w:numPr>
          <w:ilvl w:val="0"/>
          <w:numId w:val="8"/>
        </w:numPr>
        <w:spacing w:line="240" w:lineRule="auto"/>
        <w:jc w:val="both"/>
        <w:rPr>
          <w:rFonts w:ascii="Times New Roman" w:hAnsi="Times New Roman"/>
        </w:rPr>
      </w:pPr>
      <w:r>
        <w:rPr>
          <w:rFonts w:ascii="Times New Roman" w:hAnsi="Times New Roman"/>
        </w:rPr>
        <w:t xml:space="preserve">Je pravděpodobné, že </w:t>
      </w:r>
      <w:r w:rsidRPr="00877310">
        <w:rPr>
          <w:rFonts w:ascii="Times New Roman" w:hAnsi="Times New Roman"/>
          <w:b/>
        </w:rPr>
        <w:t>aplikace modelového příkladu struktury vozového parku</w:t>
      </w:r>
      <w:r>
        <w:rPr>
          <w:rFonts w:ascii="Times New Roman" w:hAnsi="Times New Roman"/>
        </w:rPr>
        <w:t xml:space="preserve"> ze zadávací dokumentace roku 2012 pro hodnocení nabídek </w:t>
      </w:r>
      <w:r w:rsidRPr="00877310">
        <w:rPr>
          <w:rFonts w:ascii="Times New Roman" w:hAnsi="Times New Roman"/>
          <w:b/>
        </w:rPr>
        <w:t xml:space="preserve">by mohla zkreslit celý proces hodnocení nabídek </w:t>
      </w:r>
      <w:r>
        <w:rPr>
          <w:rFonts w:ascii="Times New Roman" w:hAnsi="Times New Roman"/>
        </w:rPr>
        <w:t>nebo dokonce (hypoteticky) změnit pořadí uchazečů v porovnání se současnou zadavatelem požadovanou reálnou strukturou vozového parku a dopravních řešení.</w:t>
      </w:r>
    </w:p>
    <w:p w:rsidR="00723900" w:rsidRDefault="00723900" w:rsidP="00723900">
      <w:pPr>
        <w:pStyle w:val="Odstavecseseznamem"/>
        <w:numPr>
          <w:ilvl w:val="0"/>
          <w:numId w:val="8"/>
        </w:numPr>
        <w:spacing w:line="240" w:lineRule="auto"/>
        <w:jc w:val="both"/>
        <w:rPr>
          <w:rFonts w:ascii="Times New Roman" w:hAnsi="Times New Roman"/>
        </w:rPr>
      </w:pPr>
      <w:r w:rsidRPr="00877310">
        <w:rPr>
          <w:rFonts w:ascii="Times New Roman" w:hAnsi="Times New Roman"/>
          <w:b/>
        </w:rPr>
        <w:t>Pevná data jsou stanovena i pro hodnocení nabídek (pro hodnoticí kritéria).</w:t>
      </w:r>
      <w:r w:rsidRPr="00877310">
        <w:rPr>
          <w:rFonts w:ascii="Times New Roman" w:hAnsi="Times New Roman"/>
        </w:rPr>
        <w:t xml:space="preserve"> V rámci hodnocení </w:t>
      </w:r>
      <w:proofErr w:type="spellStart"/>
      <w:r w:rsidRPr="00877310">
        <w:rPr>
          <w:rFonts w:ascii="Times New Roman" w:hAnsi="Times New Roman"/>
        </w:rPr>
        <w:t>subkritérií</w:t>
      </w:r>
      <w:proofErr w:type="spellEnd"/>
      <w:r w:rsidRPr="00877310">
        <w:rPr>
          <w:rFonts w:ascii="Times New Roman" w:hAnsi="Times New Roman"/>
        </w:rPr>
        <w:t xml:space="preserve"> má být hodnocena mj. nabídka dopravců na vybavení autobusů pro rok 2015, přičemž od roku 2016 jsou již nastaveny parametry pro </w:t>
      </w:r>
      <w:r w:rsidRPr="00877310">
        <w:rPr>
          <w:rFonts w:ascii="Times New Roman" w:hAnsi="Times New Roman"/>
        </w:rPr>
        <w:lastRenderedPageBreak/>
        <w:t>všechny uchazeče pevně. Protože změny zadávací dokumentace jsou nepřípustné, musí být parametry vybavení předmětem hodnocení i přesto, že v roce 2015 reálně žádný z uchazečů nemůže smlouvu na Veřejnou zakázku plnit a uchazeči tak v nabídce nabídnutý parametr nebudou muset dodržet (všichni dopravci by aktuálně byli povinno plnit již zadavatelem stanovený rozsah výbavy pro rok 2016). Namísto toho budou muset uchazeči dodržet pouze parametr pevně stanovený zadavatelem. Za takové situace toto hodnotící kritérium zcela postrádá smysl. Naopak může být hodnocení zcela zkresleno a může tak dojít i k faktickému ovlivnění pořadí nabídek.</w:t>
      </w:r>
    </w:p>
    <w:p w:rsidR="00723900" w:rsidRPr="006E28F2" w:rsidRDefault="00723900" w:rsidP="00723900">
      <w:pPr>
        <w:pStyle w:val="Odstavecseseznamem"/>
        <w:numPr>
          <w:ilvl w:val="0"/>
          <w:numId w:val="8"/>
        </w:numPr>
        <w:spacing w:line="240" w:lineRule="auto"/>
        <w:jc w:val="both"/>
        <w:rPr>
          <w:rFonts w:ascii="Times New Roman" w:hAnsi="Times New Roman"/>
        </w:rPr>
      </w:pPr>
      <w:r>
        <w:rPr>
          <w:rFonts w:ascii="Times New Roman" w:hAnsi="Times New Roman"/>
        </w:rPr>
        <w:t xml:space="preserve">V současné době hojně diskutovaná </w:t>
      </w:r>
      <w:r w:rsidRPr="006E28F2">
        <w:rPr>
          <w:rFonts w:ascii="Times New Roman" w:hAnsi="Times New Roman"/>
          <w:b/>
        </w:rPr>
        <w:t>otázka mezd řidičů</w:t>
      </w:r>
      <w:r w:rsidRPr="006E28F2">
        <w:rPr>
          <w:rFonts w:ascii="Times New Roman" w:hAnsi="Times New Roman"/>
        </w:rPr>
        <w:t xml:space="preserve"> a probíhající jednání s vládou (uva</w:t>
      </w:r>
      <w:r>
        <w:rPr>
          <w:rFonts w:ascii="Times New Roman" w:hAnsi="Times New Roman"/>
        </w:rPr>
        <w:t>žované změny v odměňování této kategorie zaměstnanců</w:t>
      </w:r>
      <w:r w:rsidRPr="006E28F2">
        <w:rPr>
          <w:rFonts w:ascii="Times New Roman" w:hAnsi="Times New Roman"/>
        </w:rPr>
        <w:t>)</w:t>
      </w:r>
      <w:r>
        <w:rPr>
          <w:rFonts w:ascii="Times New Roman" w:hAnsi="Times New Roman"/>
        </w:rPr>
        <w:t xml:space="preserve"> pravděpodobně vyústí ve změnách v legislativě (kolektivní smlouva vyššího stupně, nárůst minimální a zaručené mzdy). Podmínky VZ10 s těmito</w:t>
      </w:r>
      <w:r w:rsidRPr="006E28F2">
        <w:rPr>
          <w:rFonts w:ascii="Times New Roman" w:hAnsi="Times New Roman"/>
        </w:rPr>
        <w:t xml:space="preserve"> změnami vůbec nepočítají a při „</w:t>
      </w:r>
      <w:proofErr w:type="spellStart"/>
      <w:r w:rsidRPr="006E28F2">
        <w:rPr>
          <w:rFonts w:ascii="Times New Roman" w:hAnsi="Times New Roman"/>
        </w:rPr>
        <w:t>dosoutěžení</w:t>
      </w:r>
      <w:proofErr w:type="spellEnd"/>
      <w:r w:rsidRPr="006E28F2">
        <w:rPr>
          <w:rFonts w:ascii="Times New Roman" w:hAnsi="Times New Roman"/>
        </w:rPr>
        <w:t xml:space="preserve">“ VZ10 by tak mohlo docházet k poměrně negativním situacím (dopravci by museli řidičům hradit vyšší mzdy, přitom jejich nabídkové ceny by s žádným dramatickým navýšením nepočítali, apod.) </w:t>
      </w:r>
      <w:r>
        <w:rPr>
          <w:rFonts w:ascii="Times New Roman" w:hAnsi="Times New Roman"/>
        </w:rPr>
        <w:t>a v konečném důsledku k odchodu kvalitních řidičů z veřejné dopravy, ke</w:t>
      </w:r>
      <w:r w:rsidRPr="006E28F2">
        <w:rPr>
          <w:rFonts w:ascii="Times New Roman" w:hAnsi="Times New Roman"/>
        </w:rPr>
        <w:t xml:space="preserve"> stávkám, výpadkům dopravy.</w:t>
      </w:r>
    </w:p>
    <w:p w:rsidR="00723900" w:rsidRDefault="00723900" w:rsidP="00723900">
      <w:pPr>
        <w:rPr>
          <w:color w:val="000000"/>
        </w:rPr>
      </w:pPr>
    </w:p>
    <w:p w:rsidR="00723900" w:rsidRDefault="00723900" w:rsidP="00723900">
      <w:pPr>
        <w:rPr>
          <w:color w:val="000000"/>
        </w:rPr>
      </w:pPr>
      <w:r>
        <w:rPr>
          <w:color w:val="000000"/>
        </w:rPr>
        <w:t>Z výše uvedených důvodů je zřejmé, že:</w:t>
      </w:r>
    </w:p>
    <w:p w:rsidR="00723900" w:rsidRDefault="00723900" w:rsidP="00723900">
      <w:pPr>
        <w:pStyle w:val="Odstavecseseznamem"/>
        <w:numPr>
          <w:ilvl w:val="0"/>
          <w:numId w:val="5"/>
        </w:numPr>
        <w:jc w:val="both"/>
        <w:rPr>
          <w:rFonts w:ascii="Times New Roman" w:hAnsi="Times New Roman"/>
          <w:color w:val="000000"/>
        </w:rPr>
      </w:pPr>
      <w:r>
        <w:rPr>
          <w:rFonts w:ascii="Times New Roman" w:hAnsi="Times New Roman"/>
          <w:color w:val="000000"/>
        </w:rPr>
        <w:t>Uzavření smlouvy dle zadávací dokumentace k VZ 10 prakticky vyloučené, neboť by se prakticky vždy (jak při zkrácení doby platnosti, tak i při zachování délky platnosti a „klouzavém posunu“ dat zahájení i ukončení provozu) jednalo o podstatnou (a současně nepřípustnou) změnu smlouvy a zadávacích podmínek a tedy o porušení ZVZ (bod a).</w:t>
      </w:r>
    </w:p>
    <w:p w:rsidR="00723900" w:rsidRDefault="00723900" w:rsidP="00723900">
      <w:pPr>
        <w:pStyle w:val="Odstavecseseznamem"/>
        <w:numPr>
          <w:ilvl w:val="0"/>
          <w:numId w:val="5"/>
        </w:numPr>
        <w:jc w:val="both"/>
        <w:rPr>
          <w:rFonts w:ascii="Times New Roman" w:hAnsi="Times New Roman"/>
          <w:color w:val="000000"/>
        </w:rPr>
      </w:pPr>
      <w:r>
        <w:rPr>
          <w:rFonts w:ascii="Times New Roman" w:hAnsi="Times New Roman"/>
          <w:color w:val="000000"/>
        </w:rPr>
        <w:t xml:space="preserve">V důsledku dlouhotrvajících (a na vůli zadavatele nezávisejících) řízení před Úřadem došlo k takovým změnám a vzniku takové situace, kdy by nastavení požadavků zadavatele a hodnoticích kritérií mohlo dojít ke zkreslení hodnocení a k </w:t>
      </w:r>
      <w:r w:rsidRPr="00877310">
        <w:rPr>
          <w:rFonts w:ascii="Times New Roman" w:hAnsi="Times New Roman"/>
        </w:rPr>
        <w:t>faktickému ovlivnění pořadí nabídek</w:t>
      </w:r>
      <w:r>
        <w:rPr>
          <w:rFonts w:ascii="Times New Roman" w:hAnsi="Times New Roman"/>
        </w:rPr>
        <w:t xml:space="preserve"> (body e, f)</w:t>
      </w:r>
    </w:p>
    <w:p w:rsidR="00723900" w:rsidRDefault="00723900" w:rsidP="00723900">
      <w:pPr>
        <w:pStyle w:val="Odstavecseseznamem"/>
        <w:numPr>
          <w:ilvl w:val="0"/>
          <w:numId w:val="5"/>
        </w:numPr>
        <w:jc w:val="both"/>
        <w:rPr>
          <w:rFonts w:ascii="Times New Roman" w:hAnsi="Times New Roman"/>
          <w:color w:val="000000"/>
        </w:rPr>
      </w:pPr>
      <w:r w:rsidRPr="00877310">
        <w:rPr>
          <w:rFonts w:ascii="Times New Roman" w:hAnsi="Times New Roman"/>
          <w:color w:val="000000"/>
        </w:rPr>
        <w:t>Pokračování v zadávacím řízení na zadání předmětné veřejné zakázky (VZ 10) již není v souladu s aktuálními potřebami Libereckého kraje (bod b, c, d</w:t>
      </w:r>
      <w:r>
        <w:rPr>
          <w:rFonts w:ascii="Times New Roman" w:hAnsi="Times New Roman"/>
          <w:color w:val="000000"/>
        </w:rPr>
        <w:t>), ačkoliv to samo o sobě nemůže být důvodem pro zrušení veřejné zakázky.</w:t>
      </w:r>
    </w:p>
    <w:p w:rsidR="00723900" w:rsidRDefault="00723900" w:rsidP="00723900">
      <w:pPr>
        <w:pStyle w:val="Odstavecseseznamem"/>
        <w:numPr>
          <w:ilvl w:val="0"/>
          <w:numId w:val="5"/>
        </w:numPr>
        <w:jc w:val="both"/>
        <w:rPr>
          <w:rFonts w:ascii="Times New Roman" w:hAnsi="Times New Roman"/>
          <w:color w:val="000000"/>
        </w:rPr>
      </w:pPr>
      <w:r>
        <w:rPr>
          <w:rFonts w:ascii="Times New Roman" w:hAnsi="Times New Roman"/>
          <w:color w:val="000000"/>
        </w:rPr>
        <w:t>A</w:t>
      </w:r>
      <w:r w:rsidRPr="00C478F8">
        <w:rPr>
          <w:rFonts w:ascii="Times New Roman" w:hAnsi="Times New Roman"/>
          <w:color w:val="000000"/>
        </w:rPr>
        <w:t>ni v případě pro zadavatele kladného rozhodnutí</w:t>
      </w:r>
      <w:r>
        <w:rPr>
          <w:rFonts w:ascii="Times New Roman" w:hAnsi="Times New Roman"/>
          <w:color w:val="000000"/>
        </w:rPr>
        <w:t xml:space="preserve"> Úřadu</w:t>
      </w:r>
      <w:r w:rsidRPr="00C478F8">
        <w:rPr>
          <w:rFonts w:ascii="Times New Roman" w:hAnsi="Times New Roman"/>
          <w:color w:val="000000"/>
        </w:rPr>
        <w:t xml:space="preserve"> </w:t>
      </w:r>
      <w:r>
        <w:rPr>
          <w:rFonts w:ascii="Times New Roman" w:hAnsi="Times New Roman"/>
          <w:color w:val="000000"/>
        </w:rPr>
        <w:t xml:space="preserve">a pokračování v zadávacím řízení </w:t>
      </w:r>
      <w:r w:rsidRPr="00C478F8">
        <w:rPr>
          <w:rFonts w:ascii="Times New Roman" w:hAnsi="Times New Roman"/>
          <w:color w:val="000000"/>
        </w:rPr>
        <w:t>není jisté, že nebude napaden jakýkoliv další úkon</w:t>
      </w:r>
      <w:r>
        <w:rPr>
          <w:rFonts w:ascii="Times New Roman" w:hAnsi="Times New Roman"/>
          <w:color w:val="000000"/>
        </w:rPr>
        <w:t xml:space="preserve"> zadavatele (výběr nejvhodnější nabídky, případné vyloučení některého uchazeče) </w:t>
      </w:r>
      <w:r w:rsidRPr="00C478F8">
        <w:rPr>
          <w:rFonts w:ascii="Times New Roman" w:hAnsi="Times New Roman"/>
          <w:color w:val="000000"/>
        </w:rPr>
        <w:t xml:space="preserve">a že se tak dále </w:t>
      </w:r>
      <w:r>
        <w:rPr>
          <w:rFonts w:ascii="Times New Roman" w:hAnsi="Times New Roman"/>
          <w:color w:val="000000"/>
        </w:rPr>
        <w:t>ne</w:t>
      </w:r>
      <w:r w:rsidRPr="00C478F8">
        <w:rPr>
          <w:rFonts w:ascii="Times New Roman" w:hAnsi="Times New Roman"/>
          <w:color w:val="000000"/>
        </w:rPr>
        <w:t>bude oddalovat okamžik uzavření smlouvy.</w:t>
      </w:r>
    </w:p>
    <w:p w:rsidR="00723900" w:rsidRDefault="00723900" w:rsidP="00723900">
      <w:pPr>
        <w:pStyle w:val="Odstavecseseznamem"/>
        <w:jc w:val="both"/>
        <w:rPr>
          <w:rFonts w:ascii="Times New Roman" w:hAnsi="Times New Roman"/>
          <w:color w:val="000000"/>
        </w:rPr>
      </w:pPr>
    </w:p>
    <w:p w:rsidR="00723900" w:rsidRPr="001E3F7F" w:rsidRDefault="00723900" w:rsidP="00723900">
      <w:pPr>
        <w:pStyle w:val="Odstavecseseznamem"/>
        <w:numPr>
          <w:ilvl w:val="0"/>
          <w:numId w:val="6"/>
        </w:numPr>
        <w:jc w:val="both"/>
        <w:rPr>
          <w:rFonts w:ascii="Times New Roman" w:hAnsi="Times New Roman"/>
          <w:b/>
          <w:color w:val="000000"/>
        </w:rPr>
      </w:pPr>
      <w:r w:rsidRPr="00FD44E7">
        <w:rPr>
          <w:rFonts w:ascii="Times New Roman" w:hAnsi="Times New Roman"/>
          <w:b/>
          <w:color w:val="000000"/>
        </w:rPr>
        <w:t>Shrnutí:</w:t>
      </w:r>
    </w:p>
    <w:p w:rsidR="00723900" w:rsidRDefault="00723900" w:rsidP="00723900">
      <w:pPr>
        <w:pStyle w:val="Odstavecseseznamem"/>
        <w:numPr>
          <w:ilvl w:val="0"/>
          <w:numId w:val="9"/>
        </w:numPr>
        <w:jc w:val="both"/>
        <w:rPr>
          <w:rFonts w:ascii="Times New Roman" w:hAnsi="Times New Roman"/>
          <w:color w:val="000000"/>
        </w:rPr>
      </w:pPr>
      <w:r w:rsidRPr="00911E39">
        <w:rPr>
          <w:rFonts w:ascii="Times New Roman" w:hAnsi="Times New Roman"/>
          <w:color w:val="000000"/>
        </w:rPr>
        <w:t xml:space="preserve">ZVZ stanoví v § 84 odst. 2 možnost, že zadavatel může zrušit zadávací řízení </w:t>
      </w:r>
      <w:r w:rsidRPr="00911E39">
        <w:rPr>
          <w:rFonts w:ascii="Times New Roman" w:hAnsi="Times New Roman"/>
          <w:b/>
          <w:color w:val="000000"/>
        </w:rPr>
        <w:t>bez zbytečného odkladu poté, co nastanou dále vymezené důvody</w:t>
      </w:r>
      <w:r w:rsidRPr="00911E39">
        <w:rPr>
          <w:rFonts w:ascii="Times New Roman" w:hAnsi="Times New Roman"/>
          <w:color w:val="000000"/>
        </w:rPr>
        <w:t>.</w:t>
      </w:r>
    </w:p>
    <w:p w:rsidR="00723900" w:rsidRPr="00911E39" w:rsidRDefault="00723900" w:rsidP="00723900">
      <w:pPr>
        <w:pStyle w:val="Odstavecseseznamem"/>
        <w:numPr>
          <w:ilvl w:val="0"/>
          <w:numId w:val="9"/>
        </w:numPr>
        <w:jc w:val="both"/>
        <w:rPr>
          <w:rFonts w:ascii="Times New Roman" w:hAnsi="Times New Roman"/>
          <w:color w:val="000000"/>
        </w:rPr>
      </w:pPr>
      <w:r>
        <w:rPr>
          <w:rFonts w:ascii="Times New Roman" w:hAnsi="Times New Roman"/>
          <w:color w:val="000000"/>
        </w:rPr>
        <w:t>Závazný návrh</w:t>
      </w:r>
      <w:r w:rsidRPr="00911E39">
        <w:rPr>
          <w:rFonts w:ascii="Times New Roman" w:hAnsi="Times New Roman"/>
          <w:color w:val="000000"/>
        </w:rPr>
        <w:t xml:space="preserve"> smlouv</w:t>
      </w:r>
      <w:r>
        <w:rPr>
          <w:rFonts w:ascii="Times New Roman" w:hAnsi="Times New Roman"/>
          <w:color w:val="000000"/>
        </w:rPr>
        <w:t>y</w:t>
      </w:r>
      <w:r w:rsidRPr="00911E39">
        <w:rPr>
          <w:rFonts w:ascii="Times New Roman" w:hAnsi="Times New Roman"/>
          <w:color w:val="000000"/>
        </w:rPr>
        <w:t xml:space="preserve"> a její přílohy obsahuje </w:t>
      </w:r>
      <w:r>
        <w:rPr>
          <w:rFonts w:ascii="Times New Roman" w:hAnsi="Times New Roman"/>
          <w:color w:val="000000"/>
        </w:rPr>
        <w:t xml:space="preserve">určité </w:t>
      </w:r>
      <w:r w:rsidRPr="00911E39">
        <w:rPr>
          <w:rFonts w:ascii="Times New Roman" w:hAnsi="Times New Roman"/>
          <w:b/>
          <w:color w:val="000000"/>
        </w:rPr>
        <w:t>postupy a algoritmy pro změny</w:t>
      </w:r>
      <w:r w:rsidRPr="00911E39">
        <w:rPr>
          <w:rFonts w:ascii="Times New Roman" w:hAnsi="Times New Roman"/>
          <w:color w:val="000000"/>
        </w:rPr>
        <w:t xml:space="preserve"> vyplývající z interních i externích vlivů i zohledňující zájmy zadavatele a potřeby cestujících </w:t>
      </w:r>
      <w:r w:rsidRPr="00911E39">
        <w:rPr>
          <w:rFonts w:ascii="Times New Roman" w:hAnsi="Times New Roman"/>
          <w:b/>
          <w:color w:val="000000"/>
        </w:rPr>
        <w:t>po uzavření smlouvy</w:t>
      </w:r>
      <w:r>
        <w:rPr>
          <w:rFonts w:ascii="Times New Roman" w:hAnsi="Times New Roman"/>
          <w:color w:val="000000"/>
        </w:rPr>
        <w:t xml:space="preserve">. V důsledku objektivními důvody způsobeným zdržením zadávacího řízení (celková délka řízení vedených ve věci VZ10 před Úřadem v součtu činí více než 3 roky) však došlo k takovému časovému posunu a takovému nakumulování změn v technologiích, technice, potřebách zadavatele, že by v ideálním případě měly být všechny řešeny ještě před uzavřením smlouvy (to je </w:t>
      </w:r>
      <w:r w:rsidRPr="00911E39">
        <w:rPr>
          <w:rFonts w:ascii="Times New Roman" w:hAnsi="Times New Roman"/>
          <w:b/>
          <w:color w:val="000000"/>
        </w:rPr>
        <w:lastRenderedPageBreak/>
        <w:t>v průběhu hodnocení nabídek před uzavřením smlouvy</w:t>
      </w:r>
      <w:r w:rsidRPr="00911E39">
        <w:rPr>
          <w:rFonts w:ascii="Times New Roman" w:hAnsi="Times New Roman"/>
          <w:color w:val="000000"/>
        </w:rPr>
        <w:t xml:space="preserve"> </w:t>
      </w:r>
      <w:r>
        <w:rPr>
          <w:rFonts w:ascii="Times New Roman" w:hAnsi="Times New Roman"/>
          <w:color w:val="000000"/>
        </w:rPr>
        <w:t xml:space="preserve">nepřípustné, </w:t>
      </w:r>
      <w:r w:rsidRPr="00911E39">
        <w:rPr>
          <w:rFonts w:ascii="Times New Roman" w:hAnsi="Times New Roman"/>
          <w:color w:val="000000"/>
        </w:rPr>
        <w:t>po otevření obálek</w:t>
      </w:r>
      <w:r w:rsidRPr="00057CD5">
        <w:rPr>
          <w:rFonts w:ascii="Times New Roman" w:hAnsi="Times New Roman"/>
          <w:color w:val="000000"/>
        </w:rPr>
        <w:t xml:space="preserve"> </w:t>
      </w:r>
      <w:r w:rsidRPr="00911E39">
        <w:rPr>
          <w:rFonts w:ascii="Times New Roman" w:hAnsi="Times New Roman"/>
          <w:color w:val="000000"/>
        </w:rPr>
        <w:t>nelze zadávací podmínky měnit).</w:t>
      </w:r>
      <w:r>
        <w:rPr>
          <w:rFonts w:ascii="Times New Roman" w:hAnsi="Times New Roman"/>
          <w:color w:val="000000"/>
        </w:rPr>
        <w:t xml:space="preserve"> V případě řešení změn po uzavření smlouvy nelze vyloučit, že by šlo o podstatné změny smlouvy.</w:t>
      </w:r>
    </w:p>
    <w:p w:rsidR="00723900" w:rsidRDefault="00723900" w:rsidP="00723900">
      <w:pPr>
        <w:pStyle w:val="Odstavecseseznamem"/>
        <w:numPr>
          <w:ilvl w:val="0"/>
          <w:numId w:val="9"/>
        </w:numPr>
        <w:jc w:val="both"/>
        <w:rPr>
          <w:rFonts w:ascii="Times New Roman" w:hAnsi="Times New Roman"/>
          <w:color w:val="000000"/>
        </w:rPr>
      </w:pPr>
      <w:r w:rsidRPr="00AB113C">
        <w:rPr>
          <w:rFonts w:ascii="Times New Roman" w:hAnsi="Times New Roman"/>
          <w:color w:val="000000"/>
        </w:rPr>
        <w:t xml:space="preserve">Zadávací dokumentace </w:t>
      </w:r>
      <w:r>
        <w:rPr>
          <w:rFonts w:ascii="Times New Roman" w:hAnsi="Times New Roman"/>
          <w:color w:val="000000"/>
        </w:rPr>
        <w:t>–</w:t>
      </w:r>
      <w:r w:rsidRPr="00AB113C">
        <w:rPr>
          <w:rFonts w:ascii="Times New Roman" w:hAnsi="Times New Roman"/>
          <w:color w:val="000000"/>
        </w:rPr>
        <w:t xml:space="preserve"> </w:t>
      </w:r>
      <w:r>
        <w:rPr>
          <w:rFonts w:ascii="Times New Roman" w:hAnsi="Times New Roman"/>
          <w:color w:val="000000"/>
        </w:rPr>
        <w:t xml:space="preserve">závazný návrh </w:t>
      </w:r>
      <w:r w:rsidRPr="001D71AB">
        <w:rPr>
          <w:rFonts w:ascii="Times New Roman" w:hAnsi="Times New Roman"/>
          <w:b/>
          <w:color w:val="000000"/>
        </w:rPr>
        <w:t>smlouv</w:t>
      </w:r>
      <w:r>
        <w:rPr>
          <w:rFonts w:ascii="Times New Roman" w:hAnsi="Times New Roman"/>
          <w:b/>
          <w:color w:val="000000"/>
        </w:rPr>
        <w:t>y</w:t>
      </w:r>
      <w:r w:rsidRPr="001D71AB">
        <w:rPr>
          <w:rFonts w:ascii="Times New Roman" w:hAnsi="Times New Roman"/>
          <w:b/>
          <w:color w:val="000000"/>
        </w:rPr>
        <w:t xml:space="preserve"> obsahuje pevná data</w:t>
      </w:r>
      <w:r>
        <w:rPr>
          <w:rFonts w:ascii="Times New Roman" w:hAnsi="Times New Roman"/>
          <w:color w:val="000000"/>
        </w:rPr>
        <w:t xml:space="preserve"> vycházející z harmonogramu realizace veřejné zakázky. </w:t>
      </w:r>
      <w:r w:rsidRPr="001D71AB">
        <w:rPr>
          <w:rFonts w:ascii="Times New Roman" w:hAnsi="Times New Roman"/>
          <w:b/>
          <w:color w:val="000000"/>
        </w:rPr>
        <w:t>Jejich změnu</w:t>
      </w:r>
      <w:r>
        <w:rPr>
          <w:rFonts w:ascii="Times New Roman" w:hAnsi="Times New Roman"/>
          <w:color w:val="000000"/>
        </w:rPr>
        <w:t xml:space="preserve"> po více než tříletém řízení u Úřadu </w:t>
      </w:r>
      <w:r w:rsidRPr="001D71AB">
        <w:rPr>
          <w:rFonts w:ascii="Times New Roman" w:hAnsi="Times New Roman"/>
          <w:b/>
          <w:color w:val="000000"/>
        </w:rPr>
        <w:t>na aktuální data</w:t>
      </w:r>
      <w:r>
        <w:rPr>
          <w:rFonts w:ascii="Times New Roman" w:hAnsi="Times New Roman"/>
          <w:color w:val="000000"/>
        </w:rPr>
        <w:t xml:space="preserve"> lze považovat </w:t>
      </w:r>
      <w:r w:rsidRPr="001D71AB">
        <w:rPr>
          <w:rFonts w:ascii="Times New Roman" w:hAnsi="Times New Roman"/>
          <w:b/>
          <w:color w:val="000000"/>
        </w:rPr>
        <w:t>za podstatnou a nepřípustnou změnu smlouvy</w:t>
      </w:r>
      <w:r>
        <w:rPr>
          <w:rFonts w:ascii="Times New Roman" w:hAnsi="Times New Roman"/>
          <w:color w:val="000000"/>
        </w:rPr>
        <w:t xml:space="preserve"> odporující ZVZ.</w:t>
      </w:r>
    </w:p>
    <w:p w:rsidR="00723900" w:rsidRDefault="00723900" w:rsidP="00723900">
      <w:pPr>
        <w:pStyle w:val="Odstavecseseznamem"/>
        <w:numPr>
          <w:ilvl w:val="0"/>
          <w:numId w:val="9"/>
        </w:numPr>
        <w:jc w:val="both"/>
        <w:rPr>
          <w:rFonts w:ascii="Times New Roman" w:hAnsi="Times New Roman"/>
          <w:color w:val="000000"/>
        </w:rPr>
      </w:pPr>
      <w:r>
        <w:rPr>
          <w:rFonts w:ascii="Times New Roman" w:hAnsi="Times New Roman"/>
          <w:color w:val="000000"/>
        </w:rPr>
        <w:t>Zadávací podmínky obsahují hodnoticí kritéria navázaná na pevná data, jsou již nyní neaktuální (jsou již minulostí) a konkrétní</w:t>
      </w:r>
      <w:r w:rsidRPr="006E28F2">
        <w:rPr>
          <w:rFonts w:ascii="Times New Roman" w:hAnsi="Times New Roman"/>
          <w:color w:val="000000"/>
        </w:rPr>
        <w:t xml:space="preserve"> hodnot</w:t>
      </w:r>
      <w:r>
        <w:rPr>
          <w:rFonts w:ascii="Times New Roman" w:hAnsi="Times New Roman"/>
          <w:color w:val="000000"/>
        </w:rPr>
        <w:t>i</w:t>
      </w:r>
      <w:r w:rsidRPr="006E28F2">
        <w:rPr>
          <w:rFonts w:ascii="Times New Roman" w:hAnsi="Times New Roman"/>
          <w:color w:val="000000"/>
        </w:rPr>
        <w:t xml:space="preserve">cí </w:t>
      </w:r>
      <w:proofErr w:type="spellStart"/>
      <w:r>
        <w:rPr>
          <w:rFonts w:ascii="Times New Roman" w:hAnsi="Times New Roman"/>
          <w:color w:val="000000"/>
        </w:rPr>
        <w:t>sub</w:t>
      </w:r>
      <w:r w:rsidRPr="006E28F2">
        <w:rPr>
          <w:rFonts w:ascii="Times New Roman" w:hAnsi="Times New Roman"/>
          <w:color w:val="000000"/>
        </w:rPr>
        <w:t>kritérium</w:t>
      </w:r>
      <w:proofErr w:type="spellEnd"/>
      <w:r w:rsidRPr="006E28F2">
        <w:rPr>
          <w:rFonts w:ascii="Times New Roman" w:hAnsi="Times New Roman"/>
          <w:color w:val="000000"/>
        </w:rPr>
        <w:t xml:space="preserve"> zcela postrádá smysl.</w:t>
      </w:r>
      <w:r>
        <w:rPr>
          <w:rFonts w:ascii="Times New Roman" w:hAnsi="Times New Roman"/>
          <w:color w:val="000000"/>
        </w:rPr>
        <w:t xml:space="preserve"> Existuje zde riziko a nelze vyloučit ani možnost (spíše ji lze považovat za pravděpodobnou), že právě z tohoto důvodu bude hodnocení v budoucnu ze strany uchazečů napadáno.</w:t>
      </w:r>
    </w:p>
    <w:p w:rsidR="00723900" w:rsidRPr="00AB113C" w:rsidRDefault="00723900" w:rsidP="00723900">
      <w:pPr>
        <w:pStyle w:val="Odstavecseseznamem"/>
        <w:numPr>
          <w:ilvl w:val="0"/>
          <w:numId w:val="9"/>
        </w:numPr>
        <w:jc w:val="both"/>
        <w:rPr>
          <w:rFonts w:ascii="Times New Roman" w:hAnsi="Times New Roman"/>
          <w:color w:val="000000"/>
        </w:rPr>
      </w:pPr>
      <w:r w:rsidRPr="00AB113C">
        <w:rPr>
          <w:rFonts w:ascii="Times New Roman" w:hAnsi="Times New Roman"/>
          <w:color w:val="000000"/>
        </w:rPr>
        <w:t xml:space="preserve">Důvody, jejich význam, váha a dopad do celého zadávacího řízení a následné realizace nenastaly okamžitě, ale </w:t>
      </w:r>
      <w:r w:rsidRPr="00AB113C">
        <w:rPr>
          <w:rFonts w:ascii="Times New Roman" w:hAnsi="Times New Roman"/>
          <w:b/>
          <w:color w:val="000000"/>
        </w:rPr>
        <w:t>postupně s délkou řízení před Úřadem</w:t>
      </w:r>
      <w:r w:rsidRPr="00AB113C">
        <w:rPr>
          <w:rFonts w:ascii="Times New Roman" w:hAnsi="Times New Roman"/>
          <w:color w:val="000000"/>
        </w:rPr>
        <w:t xml:space="preserve"> (kterou objektivně zadavatel Liberecký kraj nemohl předpokládat) a v současné době 30 měsíců po vydání předběžného opatření Úřadem ve své kumulaci (s multiplikačním důsledkem) činí veřejnou zakázku </w:t>
      </w:r>
      <w:proofErr w:type="spellStart"/>
      <w:r w:rsidRPr="00AB113C">
        <w:rPr>
          <w:rFonts w:ascii="Times New Roman" w:hAnsi="Times New Roman"/>
          <w:color w:val="000000"/>
        </w:rPr>
        <w:t>nedosoutěžitelnou</w:t>
      </w:r>
      <w:proofErr w:type="spellEnd"/>
      <w:r w:rsidRPr="00AB113C">
        <w:rPr>
          <w:rFonts w:ascii="Times New Roman" w:hAnsi="Times New Roman"/>
          <w:color w:val="000000"/>
        </w:rPr>
        <w:t xml:space="preserve"> tak, aby byla v souladu se ZVZ i oprávněnými zájmy zadavatele.</w:t>
      </w:r>
    </w:p>
    <w:p w:rsidR="00723900" w:rsidRPr="00AB113C" w:rsidRDefault="00723900" w:rsidP="00723900">
      <w:pPr>
        <w:ind w:left="360"/>
        <w:jc w:val="both"/>
        <w:rPr>
          <w:color w:val="000000"/>
        </w:rPr>
      </w:pPr>
    </w:p>
    <w:p w:rsidR="00723900" w:rsidRDefault="00723900" w:rsidP="00723900">
      <w:pPr>
        <w:pStyle w:val="Odstavecseseznamem"/>
        <w:jc w:val="both"/>
        <w:rPr>
          <w:rFonts w:ascii="Times New Roman" w:hAnsi="Times New Roman"/>
          <w:color w:val="000000"/>
        </w:rPr>
      </w:pPr>
    </w:p>
    <w:p w:rsidR="00723900" w:rsidRPr="008F59D8" w:rsidRDefault="00723900" w:rsidP="00723900">
      <w:pPr>
        <w:jc w:val="both"/>
      </w:pPr>
      <w:r w:rsidRPr="00F77642">
        <w:rPr>
          <w:b/>
        </w:rPr>
        <w:t>Poznámka:</w:t>
      </w:r>
      <w:r>
        <w:t xml:space="preserve"> K datu finalizace tohoto dokumentu Liberecký kraj neobdržel v květnu 2016 avizované rozhodnutí předsedy Úřadu. Na základě „očekávaného“ rozhodnutí ÚOHS bude možno stanovit další postup v této věci.</w:t>
      </w:r>
    </w:p>
    <w:p w:rsidR="00723900" w:rsidRPr="008F59D8" w:rsidRDefault="00723900" w:rsidP="00723900"/>
    <w:p w:rsidR="00723900" w:rsidRDefault="00723900" w:rsidP="00723900">
      <w:pPr>
        <w:pStyle w:val="Zhlav"/>
        <w:tabs>
          <w:tab w:val="left" w:pos="708"/>
        </w:tabs>
      </w:pPr>
    </w:p>
    <w:p w:rsidR="00723900" w:rsidRDefault="00723900" w:rsidP="00723900">
      <w:pPr>
        <w:adjustRightInd w:val="0"/>
        <w:jc w:val="both"/>
        <w:rPr>
          <w:noProof/>
        </w:rPr>
      </w:pPr>
    </w:p>
    <w:p w:rsidR="00723900" w:rsidRPr="00BC6BBC" w:rsidRDefault="00723900" w:rsidP="00723900">
      <w:pPr>
        <w:adjustRightInd w:val="0"/>
        <w:jc w:val="both"/>
        <w:rPr>
          <w:noProof/>
          <w:sz w:val="8"/>
          <w:szCs w:val="8"/>
        </w:rPr>
      </w:pPr>
    </w:p>
    <w:p w:rsidR="00723900" w:rsidRDefault="00723900" w:rsidP="00723900">
      <w:pPr>
        <w:adjustRightInd w:val="0"/>
        <w:jc w:val="both"/>
        <w:rPr>
          <w:noProof/>
          <w:sz w:val="8"/>
          <w:szCs w:val="8"/>
        </w:rPr>
      </w:pPr>
    </w:p>
    <w:p w:rsidR="00723900" w:rsidRDefault="00723900" w:rsidP="00723900">
      <w:pPr>
        <w:adjustRightInd w:val="0"/>
        <w:jc w:val="both"/>
        <w:rPr>
          <w:noProof/>
          <w:sz w:val="8"/>
          <w:szCs w:val="8"/>
        </w:rPr>
      </w:pPr>
    </w:p>
    <w:p w:rsidR="00723900" w:rsidRPr="00BC6BBC" w:rsidRDefault="00723900" w:rsidP="00723900">
      <w:pPr>
        <w:adjustRightInd w:val="0"/>
        <w:jc w:val="both"/>
        <w:rPr>
          <w:noProof/>
          <w:sz w:val="8"/>
          <w:szCs w:val="8"/>
        </w:rPr>
      </w:pPr>
    </w:p>
    <w:p w:rsidR="00723900" w:rsidRDefault="00723900" w:rsidP="00723900">
      <w:pPr>
        <w:adjustRightInd w:val="0"/>
        <w:jc w:val="both"/>
        <w:rPr>
          <w:noProof/>
        </w:rPr>
      </w:pPr>
    </w:p>
    <w:p w:rsidR="00723900" w:rsidRDefault="00723900" w:rsidP="00723900">
      <w:pPr>
        <w:adjustRightInd w:val="0"/>
        <w:jc w:val="both"/>
        <w:rPr>
          <w:noProof/>
        </w:rPr>
      </w:pPr>
    </w:p>
    <w:p w:rsidR="00723900" w:rsidRDefault="00723900" w:rsidP="00723900">
      <w:pPr>
        <w:pStyle w:val="Zhlav"/>
        <w:tabs>
          <w:tab w:val="left" w:pos="708"/>
        </w:tabs>
      </w:pPr>
    </w:p>
    <w:p w:rsidR="00723900" w:rsidRDefault="00723900" w:rsidP="00723900">
      <w:pPr>
        <w:pStyle w:val="Zhlav"/>
        <w:tabs>
          <w:tab w:val="left" w:pos="708"/>
        </w:tabs>
      </w:pPr>
    </w:p>
    <w:p w:rsidR="00723900" w:rsidRDefault="00723900" w:rsidP="00723900">
      <w:pPr>
        <w:pStyle w:val="Zhlav"/>
        <w:tabs>
          <w:tab w:val="left" w:pos="708"/>
        </w:tabs>
      </w:pPr>
    </w:p>
    <w:p w:rsidR="003D02EF" w:rsidRDefault="003D02EF" w:rsidP="003D02EF">
      <w:pPr>
        <w:spacing w:before="120" w:after="120"/>
        <w:jc w:val="both"/>
      </w:pPr>
      <w:r>
        <w:t>Přílohy:</w:t>
      </w:r>
    </w:p>
    <w:p w:rsidR="003D02EF" w:rsidRDefault="00723900" w:rsidP="003D02EF">
      <w:pPr>
        <w:spacing w:before="120" w:after="120"/>
        <w:jc w:val="both"/>
      </w:pPr>
      <w:r>
        <w:t>115y</w:t>
      </w:r>
      <w:r w:rsidR="00420A32" w:rsidRPr="007A5960">
        <w:t>_P0</w:t>
      </w:r>
      <w:r w:rsidR="00420A32">
        <w:t>1_</w:t>
      </w:r>
      <w:r w:rsidR="00420A32" w:rsidRPr="00DB67B9">
        <w:t>Odpoved_UOHS_20160418</w:t>
      </w:r>
    </w:p>
    <w:p w:rsidR="000056BE" w:rsidRDefault="000056BE"/>
    <w:sectPr w:rsidR="0000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5A5"/>
    <w:multiLevelType w:val="hybridMultilevel"/>
    <w:tmpl w:val="48FE9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DD65E6E"/>
    <w:multiLevelType w:val="hybridMultilevel"/>
    <w:tmpl w:val="FEC8F8D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2AB3439B"/>
    <w:multiLevelType w:val="hybridMultilevel"/>
    <w:tmpl w:val="87EE1EB6"/>
    <w:lvl w:ilvl="0" w:tplc="D9F669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5CE05199"/>
    <w:multiLevelType w:val="hybridMultilevel"/>
    <w:tmpl w:val="171253A0"/>
    <w:lvl w:ilvl="0" w:tplc="E5B6333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6F817045"/>
    <w:multiLevelType w:val="hybridMultilevel"/>
    <w:tmpl w:val="C46E5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C5175AA"/>
    <w:multiLevelType w:val="hybridMultilevel"/>
    <w:tmpl w:val="C2C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5"/>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0313ED"/>
    <w:rsid w:val="00053E3A"/>
    <w:rsid w:val="0026548C"/>
    <w:rsid w:val="003D02EF"/>
    <w:rsid w:val="00420A32"/>
    <w:rsid w:val="00537CA6"/>
    <w:rsid w:val="006A2792"/>
    <w:rsid w:val="00723900"/>
    <w:rsid w:val="008B196C"/>
    <w:rsid w:val="00923E67"/>
    <w:rsid w:val="00934306"/>
    <w:rsid w:val="00977273"/>
    <w:rsid w:val="00DA7266"/>
    <w:rsid w:val="00E920CE"/>
    <w:rsid w:val="00F20609"/>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2163</Words>
  <Characters>12767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4</cp:revision>
  <cp:lastPrinted>2016-01-13T08:28:00Z</cp:lastPrinted>
  <dcterms:created xsi:type="dcterms:W3CDTF">2016-08-17T06:51:00Z</dcterms:created>
  <dcterms:modified xsi:type="dcterms:W3CDTF">2016-08-17T07:13:00Z</dcterms:modified>
</cp:coreProperties>
</file>