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B6" w:rsidRDefault="00AB6CB6" w:rsidP="00AB6CB6">
      <w:pPr>
        <w:rPr>
          <w:b/>
          <w:bCs/>
        </w:rPr>
      </w:pPr>
    </w:p>
    <w:p w:rsidR="00AB6CB6" w:rsidRPr="00735D57" w:rsidRDefault="00AB6CB6" w:rsidP="00AB6CB6">
      <w:pPr>
        <w:pStyle w:val="Nzev"/>
        <w:pBdr>
          <w:bottom w:val="single" w:sz="4" w:space="1" w:color="auto"/>
        </w:pBdr>
        <w:jc w:val="center"/>
        <w:rPr>
          <w:sz w:val="28"/>
          <w:szCs w:val="28"/>
          <w:lang w:val="cs-CZ"/>
        </w:rPr>
      </w:pPr>
      <w:r w:rsidRPr="00735D57">
        <w:rPr>
          <w:sz w:val="28"/>
          <w:szCs w:val="28"/>
          <w:lang w:val="cs-CZ"/>
        </w:rPr>
        <w:t>PÍSEMNÁ INFORMACE</w:t>
      </w:r>
    </w:p>
    <w:p w:rsidR="00AB6CB6" w:rsidRPr="009C1F23" w:rsidRDefault="00AB6CB6" w:rsidP="00AB6CB6">
      <w:pPr>
        <w:pStyle w:val="Nzev"/>
        <w:pBdr>
          <w:bottom w:val="single" w:sz="4" w:space="1" w:color="auto"/>
        </w:pBdr>
        <w:jc w:val="center"/>
        <w:rPr>
          <w:sz w:val="28"/>
          <w:szCs w:val="28"/>
          <w:lang w:val="cs-CZ"/>
        </w:rPr>
      </w:pPr>
      <w:r w:rsidRPr="00735D57">
        <w:rPr>
          <w:sz w:val="28"/>
          <w:szCs w:val="28"/>
          <w:lang w:val="cs-CZ"/>
        </w:rPr>
        <w:t xml:space="preserve">pro </w:t>
      </w:r>
      <w:r>
        <w:rPr>
          <w:sz w:val="28"/>
          <w:szCs w:val="28"/>
          <w:lang w:val="cs-CZ"/>
        </w:rPr>
        <w:t>11.</w:t>
      </w:r>
      <w:r w:rsidRPr="00735D57">
        <w:rPr>
          <w:sz w:val="28"/>
          <w:szCs w:val="28"/>
          <w:lang w:val="cs-CZ"/>
        </w:rPr>
        <w:t xml:space="preserve"> zasedání Zastu</w:t>
      </w:r>
      <w:r>
        <w:rPr>
          <w:sz w:val="28"/>
          <w:szCs w:val="28"/>
          <w:lang w:val="cs-CZ"/>
        </w:rPr>
        <w:t>pitelstva Libereckého kraje v roce 2017</w:t>
      </w:r>
    </w:p>
    <w:p w:rsidR="00AB6CB6" w:rsidRDefault="00AB6CB6" w:rsidP="00AB6CB6">
      <w:pPr>
        <w:jc w:val="center"/>
        <w:rPr>
          <w:b/>
        </w:rPr>
      </w:pPr>
    </w:p>
    <w:p w:rsidR="00AB6CB6" w:rsidRDefault="00AB6CB6" w:rsidP="00AB6CB6">
      <w:pPr>
        <w:jc w:val="center"/>
        <w:rPr>
          <w:b/>
        </w:rPr>
      </w:pPr>
    </w:p>
    <w:p w:rsidR="00AB6CB6" w:rsidRDefault="00AB6CB6" w:rsidP="00AB6CB6">
      <w:pPr>
        <w:jc w:val="center"/>
        <w:rPr>
          <w:b/>
        </w:rPr>
      </w:pPr>
    </w:p>
    <w:p w:rsidR="00AB6CB6" w:rsidRDefault="00AB6CB6" w:rsidP="00AB6CB6">
      <w:pPr>
        <w:jc w:val="center"/>
        <w:rPr>
          <w:b/>
        </w:rPr>
      </w:pPr>
    </w:p>
    <w:p w:rsidR="00AB6CB6" w:rsidRDefault="00AB6CB6" w:rsidP="00AB6CB6">
      <w:pPr>
        <w:jc w:val="center"/>
        <w:rPr>
          <w:b/>
        </w:rPr>
      </w:pPr>
    </w:p>
    <w:p w:rsidR="00AB6CB6" w:rsidRDefault="00AB6CB6" w:rsidP="00AB6CB6">
      <w:pPr>
        <w:jc w:val="center"/>
        <w:rPr>
          <w:b/>
        </w:rPr>
      </w:pPr>
    </w:p>
    <w:p w:rsidR="00AB6CB6" w:rsidRDefault="00AB6CB6" w:rsidP="00AB6CB6">
      <w:pPr>
        <w:jc w:val="center"/>
        <w:rPr>
          <w:b/>
        </w:rPr>
      </w:pPr>
    </w:p>
    <w:p w:rsidR="00AB6CB6" w:rsidRDefault="00AB6CB6" w:rsidP="00AB6CB6">
      <w:pPr>
        <w:jc w:val="center"/>
        <w:rPr>
          <w:b/>
        </w:rPr>
      </w:pPr>
    </w:p>
    <w:p w:rsidR="00AB6CB6" w:rsidRDefault="00AB6CB6" w:rsidP="00AB6CB6">
      <w:pPr>
        <w:jc w:val="center"/>
        <w:rPr>
          <w:b/>
        </w:rPr>
      </w:pPr>
    </w:p>
    <w:p w:rsidR="00AB6CB6" w:rsidRDefault="00AB6CB6" w:rsidP="00AB6CB6">
      <w:pPr>
        <w:jc w:val="center"/>
        <w:rPr>
          <w:b/>
        </w:rPr>
      </w:pPr>
    </w:p>
    <w:p w:rsidR="00AB6CB6" w:rsidRDefault="00AB6CB6" w:rsidP="00AB6CB6">
      <w:pPr>
        <w:jc w:val="center"/>
        <w:rPr>
          <w:b/>
        </w:rPr>
      </w:pPr>
    </w:p>
    <w:p w:rsidR="00AB6CB6" w:rsidRDefault="00AB6CB6" w:rsidP="00AB6CB6">
      <w:pPr>
        <w:jc w:val="center"/>
        <w:rPr>
          <w:b/>
        </w:rPr>
      </w:pPr>
    </w:p>
    <w:p w:rsidR="00AB6CB6" w:rsidRDefault="00AB6CB6" w:rsidP="00AB6CB6">
      <w:pPr>
        <w:jc w:val="center"/>
        <w:rPr>
          <w:b/>
        </w:rPr>
      </w:pPr>
    </w:p>
    <w:p w:rsidR="00AB6CB6" w:rsidRDefault="00842069" w:rsidP="00AB6CB6">
      <w:pPr>
        <w:jc w:val="center"/>
        <w:rPr>
          <w:b/>
        </w:rPr>
      </w:pPr>
      <w:r>
        <w:rPr>
          <w:b/>
        </w:rPr>
        <w:t>49 d</w:t>
      </w:r>
      <w:bookmarkStart w:id="0" w:name="_GoBack"/>
      <w:bookmarkEnd w:id="0"/>
      <w:r w:rsidR="001E3329">
        <w:rPr>
          <w:b/>
        </w:rPr>
        <w:t>)</w:t>
      </w:r>
    </w:p>
    <w:p w:rsidR="001E3329" w:rsidRDefault="001E3329" w:rsidP="00AB6CB6">
      <w:pPr>
        <w:jc w:val="center"/>
        <w:rPr>
          <w:b/>
        </w:rPr>
      </w:pPr>
    </w:p>
    <w:p w:rsidR="00AB6CB6" w:rsidRDefault="00AB6CB6" w:rsidP="00AB6CB6">
      <w:pPr>
        <w:jc w:val="center"/>
        <w:rPr>
          <w:b/>
          <w:sz w:val="28"/>
        </w:rPr>
      </w:pPr>
      <w:r>
        <w:rPr>
          <w:b/>
          <w:sz w:val="28"/>
        </w:rPr>
        <w:t>Monitoring Programu rozvoje Libereckého kraje</w:t>
      </w:r>
    </w:p>
    <w:p w:rsidR="00AB6CB6" w:rsidRDefault="00AB6CB6" w:rsidP="00AB6CB6">
      <w:pPr>
        <w:jc w:val="center"/>
        <w:rPr>
          <w:b/>
          <w:sz w:val="28"/>
        </w:rPr>
      </w:pPr>
      <w:r>
        <w:rPr>
          <w:b/>
          <w:sz w:val="28"/>
        </w:rPr>
        <w:t>– průběžný monitoring 2016</w:t>
      </w:r>
    </w:p>
    <w:p w:rsidR="00AB6CB6" w:rsidRDefault="00AB6CB6" w:rsidP="00AB6CB6">
      <w:pPr>
        <w:jc w:val="center"/>
        <w:rPr>
          <w:sz w:val="28"/>
        </w:rPr>
      </w:pPr>
    </w:p>
    <w:p w:rsidR="00AB6CB6" w:rsidRDefault="00AB6CB6" w:rsidP="00AB6CB6">
      <w:pPr>
        <w:jc w:val="center"/>
        <w:rPr>
          <w:b/>
          <w:sz w:val="28"/>
          <w:u w:val="single"/>
        </w:rPr>
      </w:pPr>
    </w:p>
    <w:p w:rsidR="00AB6CB6" w:rsidRDefault="00AB6CB6" w:rsidP="00AB6CB6">
      <w:pPr>
        <w:jc w:val="center"/>
        <w:rPr>
          <w:b/>
          <w:sz w:val="28"/>
          <w:u w:val="single"/>
        </w:rPr>
      </w:pPr>
    </w:p>
    <w:p w:rsidR="00AB6CB6" w:rsidRDefault="00AB6CB6" w:rsidP="00AB6CB6">
      <w:pPr>
        <w:jc w:val="center"/>
        <w:rPr>
          <w:b/>
          <w:sz w:val="28"/>
          <w:u w:val="single"/>
        </w:rPr>
      </w:pPr>
    </w:p>
    <w:p w:rsidR="00AB6CB6" w:rsidRDefault="00AB6CB6" w:rsidP="00AB6CB6">
      <w:pPr>
        <w:jc w:val="center"/>
        <w:rPr>
          <w:b/>
          <w:sz w:val="28"/>
          <w:u w:val="single"/>
        </w:rPr>
      </w:pPr>
    </w:p>
    <w:p w:rsidR="00AB6CB6" w:rsidRDefault="00AB6CB6" w:rsidP="00AB6CB6">
      <w:pPr>
        <w:jc w:val="center"/>
        <w:rPr>
          <w:b/>
          <w:sz w:val="28"/>
          <w:u w:val="single"/>
        </w:rPr>
      </w:pPr>
    </w:p>
    <w:p w:rsidR="00AB6CB6" w:rsidRDefault="00AB6CB6" w:rsidP="00AB6CB6">
      <w:pPr>
        <w:jc w:val="center"/>
        <w:rPr>
          <w:b/>
          <w:sz w:val="28"/>
          <w:u w:val="single"/>
        </w:rPr>
      </w:pPr>
    </w:p>
    <w:p w:rsidR="00AB6CB6" w:rsidRDefault="00AB6CB6" w:rsidP="00AB6CB6">
      <w:pPr>
        <w:jc w:val="center"/>
        <w:rPr>
          <w:b/>
          <w:sz w:val="28"/>
          <w:u w:val="single"/>
        </w:rPr>
      </w:pPr>
    </w:p>
    <w:p w:rsidR="00AB6CB6" w:rsidRDefault="00AB6CB6" w:rsidP="00AB6CB6">
      <w:pPr>
        <w:jc w:val="center"/>
        <w:rPr>
          <w:b/>
          <w:sz w:val="28"/>
          <w:u w:val="single"/>
        </w:rPr>
      </w:pPr>
    </w:p>
    <w:p w:rsidR="00AB6CB6" w:rsidRDefault="00AB6CB6" w:rsidP="00AB6CB6">
      <w:pPr>
        <w:jc w:val="center"/>
        <w:rPr>
          <w:b/>
          <w:sz w:val="28"/>
          <w:u w:val="single"/>
        </w:rPr>
      </w:pPr>
    </w:p>
    <w:p w:rsidR="00AB6CB6" w:rsidRDefault="00AB6CB6" w:rsidP="00AB6CB6">
      <w:pPr>
        <w:jc w:val="center"/>
        <w:rPr>
          <w:b/>
          <w:sz w:val="28"/>
          <w:u w:val="single"/>
        </w:rPr>
      </w:pPr>
    </w:p>
    <w:p w:rsidR="00AB6CB6" w:rsidRDefault="00AB6CB6" w:rsidP="00AB6CB6">
      <w:pPr>
        <w:jc w:val="center"/>
        <w:rPr>
          <w:b/>
          <w:sz w:val="28"/>
          <w:u w:val="single"/>
        </w:rPr>
      </w:pPr>
    </w:p>
    <w:p w:rsidR="00AB6CB6" w:rsidRDefault="00AB6CB6" w:rsidP="00AB6CB6">
      <w:pPr>
        <w:rPr>
          <w:b/>
          <w:sz w:val="28"/>
          <w:u w:val="single"/>
        </w:rPr>
      </w:pPr>
    </w:p>
    <w:p w:rsidR="00AB6CB6" w:rsidRDefault="00AB6CB6" w:rsidP="00AB6CB6">
      <w:pPr>
        <w:rPr>
          <w:b/>
          <w:sz w:val="28"/>
          <w:u w:val="single"/>
        </w:rPr>
      </w:pPr>
    </w:p>
    <w:p w:rsidR="00AB6CB6" w:rsidRDefault="00AB6CB6" w:rsidP="00AB6CB6">
      <w:pPr>
        <w:jc w:val="center"/>
        <w:rPr>
          <w:b/>
          <w:sz w:val="28"/>
          <w:u w:val="single"/>
        </w:rPr>
      </w:pPr>
    </w:p>
    <w:p w:rsidR="00AB6CB6" w:rsidRDefault="00AB6CB6" w:rsidP="00AB6CB6">
      <w:pPr>
        <w:jc w:val="center"/>
        <w:rPr>
          <w:b/>
          <w:sz w:val="28"/>
          <w:u w:val="single"/>
        </w:rPr>
      </w:pPr>
    </w:p>
    <w:p w:rsidR="00AB6CB6" w:rsidRDefault="00AB6CB6" w:rsidP="00AB6CB6">
      <w:pPr>
        <w:jc w:val="center"/>
        <w:rPr>
          <w:b/>
          <w:sz w:val="28"/>
          <w:u w:val="single"/>
        </w:rPr>
      </w:pPr>
    </w:p>
    <w:p w:rsidR="00AB6CB6" w:rsidRDefault="00AB6CB6" w:rsidP="00AB6CB6">
      <w:pPr>
        <w:jc w:val="center"/>
        <w:rPr>
          <w:b/>
          <w:sz w:val="28"/>
          <w:u w:val="single"/>
        </w:rPr>
      </w:pPr>
    </w:p>
    <w:p w:rsidR="00AB6CB6" w:rsidRDefault="00AB6CB6" w:rsidP="00AB6CB6">
      <w:pPr>
        <w:jc w:val="cente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AB6CB6" w:rsidTr="00115BB0">
        <w:tc>
          <w:tcPr>
            <w:tcW w:w="2050" w:type="dxa"/>
          </w:tcPr>
          <w:p w:rsidR="00AB6CB6" w:rsidRDefault="00AB6CB6" w:rsidP="00115BB0">
            <w:r>
              <w:t>Důvod předložení:</w:t>
            </w:r>
          </w:p>
        </w:tc>
        <w:tc>
          <w:tcPr>
            <w:tcW w:w="7160" w:type="dxa"/>
          </w:tcPr>
          <w:p w:rsidR="00AB6CB6" w:rsidRDefault="00AB6CB6" w:rsidP="00115BB0">
            <w:pPr>
              <w:pStyle w:val="Zhlav"/>
              <w:tabs>
                <w:tab w:val="clear" w:pos="4536"/>
                <w:tab w:val="clear" w:pos="9072"/>
              </w:tabs>
            </w:pPr>
            <w:r>
              <w:t>usnesení rady kraje</w:t>
            </w:r>
          </w:p>
        </w:tc>
      </w:tr>
      <w:tr w:rsidR="00AB6CB6" w:rsidTr="00115BB0">
        <w:tc>
          <w:tcPr>
            <w:tcW w:w="2050" w:type="dxa"/>
          </w:tcPr>
          <w:p w:rsidR="00AB6CB6" w:rsidRDefault="00AB6CB6" w:rsidP="00115BB0"/>
        </w:tc>
        <w:tc>
          <w:tcPr>
            <w:tcW w:w="7160" w:type="dxa"/>
          </w:tcPr>
          <w:p w:rsidR="00AB6CB6" w:rsidRDefault="00AB6CB6" w:rsidP="00115BB0"/>
        </w:tc>
      </w:tr>
      <w:tr w:rsidR="00AB6CB6" w:rsidTr="00115BB0">
        <w:tc>
          <w:tcPr>
            <w:tcW w:w="2050" w:type="dxa"/>
          </w:tcPr>
          <w:p w:rsidR="00AB6CB6" w:rsidRDefault="00AB6CB6" w:rsidP="00115BB0">
            <w:r>
              <w:t>Zpracoval:</w:t>
            </w:r>
          </w:p>
        </w:tc>
        <w:tc>
          <w:tcPr>
            <w:tcW w:w="7160" w:type="dxa"/>
          </w:tcPr>
          <w:p w:rsidR="00AB6CB6" w:rsidRDefault="00AB6CB6" w:rsidP="00115BB0">
            <w:r>
              <w:t>Mgr. Michael Otta</w:t>
            </w:r>
          </w:p>
        </w:tc>
      </w:tr>
      <w:tr w:rsidR="00AB6CB6" w:rsidTr="00115BB0">
        <w:tc>
          <w:tcPr>
            <w:tcW w:w="2050" w:type="dxa"/>
          </w:tcPr>
          <w:p w:rsidR="00AB6CB6" w:rsidRDefault="00AB6CB6" w:rsidP="00115BB0"/>
        </w:tc>
        <w:tc>
          <w:tcPr>
            <w:tcW w:w="7160" w:type="dxa"/>
          </w:tcPr>
          <w:p w:rsidR="00AB6CB6" w:rsidRDefault="00AB6CB6" w:rsidP="00115BB0">
            <w:r>
              <w:t>vedoucí odboru regionálního rozvoje a evropských projektů</w:t>
            </w:r>
          </w:p>
        </w:tc>
      </w:tr>
      <w:tr w:rsidR="00AB6CB6" w:rsidTr="00115BB0">
        <w:tc>
          <w:tcPr>
            <w:tcW w:w="2050" w:type="dxa"/>
          </w:tcPr>
          <w:p w:rsidR="00AB6CB6" w:rsidRDefault="00AB6CB6" w:rsidP="00115BB0"/>
        </w:tc>
        <w:tc>
          <w:tcPr>
            <w:tcW w:w="7160" w:type="dxa"/>
          </w:tcPr>
          <w:p w:rsidR="00AB6CB6" w:rsidRDefault="00AB6CB6" w:rsidP="00115BB0"/>
        </w:tc>
      </w:tr>
      <w:tr w:rsidR="00AB6CB6" w:rsidTr="00115BB0">
        <w:tc>
          <w:tcPr>
            <w:tcW w:w="2050" w:type="dxa"/>
          </w:tcPr>
          <w:p w:rsidR="00AB6CB6" w:rsidRDefault="00AB6CB6" w:rsidP="00115BB0">
            <w:r>
              <w:t>Předkládá:</w:t>
            </w:r>
          </w:p>
        </w:tc>
        <w:tc>
          <w:tcPr>
            <w:tcW w:w="7160" w:type="dxa"/>
          </w:tcPr>
          <w:p w:rsidR="00AB6CB6" w:rsidRDefault="00AB6CB6" w:rsidP="00115BB0">
            <w:r>
              <w:t>Ing. Radka Loučková Kotasová</w:t>
            </w:r>
          </w:p>
        </w:tc>
      </w:tr>
      <w:tr w:rsidR="00AB6CB6" w:rsidTr="00115BB0">
        <w:tc>
          <w:tcPr>
            <w:tcW w:w="2050" w:type="dxa"/>
          </w:tcPr>
          <w:p w:rsidR="00AB6CB6" w:rsidRDefault="00AB6CB6" w:rsidP="00115BB0"/>
        </w:tc>
        <w:tc>
          <w:tcPr>
            <w:tcW w:w="7160" w:type="dxa"/>
          </w:tcPr>
          <w:p w:rsidR="00B752C8" w:rsidRPr="008D2BF3" w:rsidRDefault="00B752C8" w:rsidP="00B752C8">
            <w:r w:rsidRPr="008D2BF3">
              <w:t>člen</w:t>
            </w:r>
            <w:r>
              <w:t>ka</w:t>
            </w:r>
            <w:r w:rsidRPr="008D2BF3">
              <w:t xml:space="preserve"> rady kraje, řízení resortu hospodářského a </w:t>
            </w:r>
          </w:p>
          <w:p w:rsidR="00AB6CB6" w:rsidRDefault="00B752C8" w:rsidP="00B752C8">
            <w:r w:rsidRPr="008D2BF3">
              <w:t xml:space="preserve">regionálního rozvoje, evropských projektů a </w:t>
            </w:r>
            <w:r>
              <w:t>územního plánování</w:t>
            </w:r>
          </w:p>
        </w:tc>
      </w:tr>
    </w:tbl>
    <w:p w:rsidR="00AB6CB6" w:rsidRDefault="00AB6CB6" w:rsidP="00AB6CB6"/>
    <w:p w:rsidR="00AB6CB6" w:rsidRPr="00D450F2" w:rsidRDefault="00AB6CB6" w:rsidP="00AB6CB6">
      <w:pPr>
        <w:jc w:val="both"/>
        <w:rPr>
          <w:rFonts w:ascii="Arial" w:hAnsi="Arial" w:cs="Arial"/>
          <w:b/>
          <w:bCs/>
          <w:sz w:val="28"/>
          <w:szCs w:val="28"/>
          <w:lang w:val="x-none"/>
        </w:rPr>
      </w:pPr>
      <w:r w:rsidRPr="00D450F2">
        <w:rPr>
          <w:rFonts w:ascii="Arial" w:hAnsi="Arial" w:cs="Arial"/>
          <w:b/>
          <w:bCs/>
          <w:sz w:val="28"/>
          <w:szCs w:val="28"/>
          <w:lang w:val="x-none"/>
        </w:rPr>
        <w:lastRenderedPageBreak/>
        <w:t>Důvodová zpráva</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Na základě usnesení 359/14/ZK je odbor regionálního rozvoje a evropských projektů povinen každoročně předkládat průběžný monitoring Programu rozvoje kraje 2014 – 2020 (dále „PRLK“).</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 xml:space="preserve">Základním smyslem monitorování a vyhodnocování PRLK je zajištění podkladů jednak pro hodnocení vynaložených finančních prostředků v rámci jednotlivých opatření PRLK, ale zároveň hodnocení naplňování cílů jednotlivých opatření PRLK a jejich vliv na změny v území. </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 xml:space="preserve">Monitoring PRLK je prováděn průběžně v 1 letých intervalech a každoročně je předkládán Radě Libereckého kraje, výboru hospodářského a regionálního rozvoje Zastupitelstva Libereckého kraje a dále pak Zastupitelstvu Libereckého kraje. Po projednání těmito orgány je zveřejněn na internetových stránkách kraje odboru regionálního rozvoje a evropských projektů KÚ LK. </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Monitoring PRLK za rok 2016 je druhým monitoringem dokumentu v novém programovacím období 2014 – 2020.</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Hlavním nástrojem průběžného monitoringu zůstává, stejně jako v předchozích letech, databázový program MS Office Access, vyvinutý pro tyto účely na odboru regionálního rozvoje a evropských projektů. Tento program je umístěn na společném disku i/: krajského úřadu, což umožňuje přístup všech gestorů (odborů KÚ LK) zodpovídajících za plnění věcně příslušných opatření PRLK Díky tomuto systému je monitoring PRLK  společným dílem odborů KÚ LK, za jehož koordinaci zodpovídá odbor regionálního rozvoje a evropských projektů.</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Výsledná zpráva průběžného monitoringu PRLK se skládá ze dvou hlavních kapitol:</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numPr>
          <w:ilvl w:val="0"/>
          <w:numId w:val="5"/>
        </w:num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Hodnocení finančních prostředků připadajících na opatření Programu rozvoje Libereckého kraje</w:t>
      </w:r>
    </w:p>
    <w:p w:rsidR="00AB6CB6" w:rsidRPr="00D450F2" w:rsidRDefault="00AB6CB6" w:rsidP="00AB6CB6">
      <w:pPr>
        <w:numPr>
          <w:ilvl w:val="0"/>
          <w:numId w:val="5"/>
        </w:num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Slovní hodnocení opatření Programu rozvoje Libereckého kraje</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autoSpaceDE w:val="0"/>
        <w:autoSpaceDN w:val="0"/>
        <w:adjustRightInd w:val="0"/>
        <w:jc w:val="both"/>
        <w:rPr>
          <w:rFonts w:ascii="Arial" w:hAnsi="Arial" w:cs="Arial"/>
          <w:b/>
          <w:bCs/>
          <w:sz w:val="20"/>
          <w:szCs w:val="20"/>
          <w:lang w:val="x-none"/>
        </w:rPr>
      </w:pPr>
      <w:r w:rsidRPr="00D450F2">
        <w:rPr>
          <w:rFonts w:ascii="Arial" w:hAnsi="Arial" w:cs="Arial"/>
          <w:b/>
          <w:bCs/>
          <w:sz w:val="20"/>
          <w:szCs w:val="20"/>
          <w:lang w:val="x-none"/>
        </w:rPr>
        <w:t>1) Hodnocení finančních prostředků připadajících na opatření Programu rozvoje Libereckého kraje</w:t>
      </w:r>
    </w:p>
    <w:p w:rsidR="00AB6CB6" w:rsidRPr="00D450F2" w:rsidRDefault="00AB6CB6" w:rsidP="00AB6CB6">
      <w:pPr>
        <w:autoSpaceDE w:val="0"/>
        <w:autoSpaceDN w:val="0"/>
        <w:adjustRightInd w:val="0"/>
        <w:jc w:val="both"/>
        <w:rPr>
          <w:rFonts w:ascii="Arial" w:hAnsi="Arial" w:cs="Arial"/>
          <w:sz w:val="20"/>
          <w:szCs w:val="20"/>
          <w:shd w:val="clear" w:color="auto" w:fill="FFFF00"/>
          <w:lang w:val="x-none"/>
        </w:rPr>
      </w:pP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Hodnocení finančních prostředků probíhalo ve dvou úrovních. Nejprve byly hodnoceny finanční prostředky z rozpočtu Libereckého kraje a dále byly hodnoceny celkové veřejné finanční prostředky na projekty s dopadem do LK s příspěvkem EU. Finanční prostředky připadající na opatření jsou pak uvedeny u slovního hodnocení naplňování jednotlivých opatření. Letos nebyly z důvodu nedostatku zdrojových dat posuzovány finanční transfery ze státního rozpočtu ČR, které byly určeny subjektům LK. V případě získání potřebných relevantních dat z databáze CEDR bude toto hodnocení doplněno v následujících letech.</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autoSpaceDE w:val="0"/>
        <w:autoSpaceDN w:val="0"/>
        <w:adjustRightInd w:val="0"/>
        <w:jc w:val="both"/>
        <w:rPr>
          <w:rFonts w:ascii="Arial" w:hAnsi="Arial" w:cs="Arial"/>
          <w:sz w:val="20"/>
          <w:szCs w:val="20"/>
          <w:u w:val="single"/>
          <w:lang w:val="x-none"/>
        </w:rPr>
      </w:pPr>
      <w:r w:rsidRPr="00D450F2">
        <w:rPr>
          <w:rFonts w:ascii="Arial" w:hAnsi="Arial" w:cs="Arial"/>
          <w:sz w:val="20"/>
          <w:szCs w:val="20"/>
          <w:u w:val="single"/>
          <w:lang w:val="x-none"/>
        </w:rPr>
        <w:t>1.1 Finanční prostředky z rozpočtu kraje</w:t>
      </w: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Pro hodnocení krajských finančních prostředků bylo použito jako zdroj dat materiálů z jednotlivých zasedání Rady a Zastupitelstva LK v roce 2016 a 2017, ze závěrečného účtu kraje 2016 a z rozklikávacího rozpočtu na www stránkách kraje. Jednotlivé výdaje byly rozděleny pomocí paragrafů rozpočtové skladby k jednotlivým opatřením programu.</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Celková výše finančních prostředků vydaných z krajského rozpočtu (výdajů) v roce 2016 činila cca 7,3 mld. Kč. V této částce jsou zahrnuty i účelové dotace do školství ve výši cca 3,9 mld. Kč). V rámci této kapitoly byl podrobněji rozdělen i Dotační fond LK, jako jeden z hlavních finančních nástrojů naplňování Programu rozvoje Libereckého kraje.</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autoSpaceDE w:val="0"/>
        <w:autoSpaceDN w:val="0"/>
        <w:adjustRightInd w:val="0"/>
        <w:jc w:val="both"/>
        <w:rPr>
          <w:rFonts w:ascii="Arial" w:hAnsi="Arial" w:cs="Arial"/>
          <w:sz w:val="20"/>
          <w:szCs w:val="20"/>
          <w:u w:val="single"/>
          <w:lang w:val="x-none"/>
        </w:rPr>
      </w:pPr>
      <w:r w:rsidRPr="00D450F2">
        <w:rPr>
          <w:rFonts w:ascii="Arial" w:hAnsi="Arial" w:cs="Arial"/>
          <w:sz w:val="20"/>
          <w:szCs w:val="20"/>
          <w:u w:val="single"/>
          <w:lang w:val="x-none"/>
        </w:rPr>
        <w:t>1.2 Finanční prostředky z  ESIF</w:t>
      </w: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 xml:space="preserve">Informace o příspěvku EU na projekty s dopadem do Libereckého kraje byly získány ze systému MS2014, který spravuje Ministerstvo pro místní rozvoj ČR. IS MS2014 obsahuje data pouze za „nové“ programovací období 2014 – 2020. </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Finanční prostředky zahrnuté do hodnocení se týkají pouze schválených projektů, u kterých byla podána žádost v roce 2016. Do sledování nejsou zahrnuty projekty, které byly podány v roce 2016, ale u nichž nejsou známy výsledky hodnocení Řídícími organy operačních programů.</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V Libereckém kraji byly schváleny projekty, podané v roce 2016, celkem za cca 6,4 mld. Kč.</w:t>
      </w:r>
    </w:p>
    <w:p w:rsidR="00AB6CB6" w:rsidRPr="00D450F2" w:rsidRDefault="00AB6CB6" w:rsidP="00AB6CB6">
      <w:pPr>
        <w:autoSpaceDE w:val="0"/>
        <w:autoSpaceDN w:val="0"/>
        <w:adjustRightInd w:val="0"/>
        <w:jc w:val="both"/>
        <w:rPr>
          <w:rFonts w:ascii="Arial" w:hAnsi="Arial" w:cs="Arial"/>
          <w:b/>
          <w:bCs/>
          <w:sz w:val="20"/>
          <w:szCs w:val="20"/>
          <w:lang w:val="x-none"/>
        </w:rPr>
      </w:pPr>
    </w:p>
    <w:p w:rsidR="00AB6CB6" w:rsidRPr="00D450F2" w:rsidRDefault="00AB6CB6" w:rsidP="00AB6CB6">
      <w:pPr>
        <w:autoSpaceDE w:val="0"/>
        <w:autoSpaceDN w:val="0"/>
        <w:adjustRightInd w:val="0"/>
        <w:jc w:val="both"/>
        <w:rPr>
          <w:rFonts w:ascii="Arial" w:hAnsi="Arial" w:cs="Arial"/>
          <w:b/>
          <w:bCs/>
          <w:sz w:val="20"/>
          <w:szCs w:val="20"/>
          <w:lang w:val="x-none"/>
        </w:rPr>
      </w:pPr>
      <w:r w:rsidRPr="00D450F2">
        <w:rPr>
          <w:rFonts w:ascii="Arial" w:hAnsi="Arial" w:cs="Arial"/>
          <w:b/>
          <w:bCs/>
          <w:sz w:val="20"/>
          <w:szCs w:val="20"/>
          <w:lang w:val="x-none"/>
        </w:rPr>
        <w:t>2) Slovní hodnocení opatření Programu rozvoje Libereckého kraje</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Vzhledem k obecnému charakteru a definování jak jednotlivých aktivit, tak cílů opatření PRLK nelze přesně určit, do jaké míry byla aktivita či cíl opatření splněn. Slovní hodnocení aktivit proto obsahuje konkrétní akce a pokrok v jejich naplňování. Na jejich základě byly jednotlivé aktivity hodnoceny následovně:</w:t>
      </w:r>
    </w:p>
    <w:p w:rsidR="00AB6CB6" w:rsidRPr="00D450F2" w:rsidRDefault="00AB6CB6" w:rsidP="00AB6CB6">
      <w:pPr>
        <w:autoSpaceDE w:val="0"/>
        <w:autoSpaceDN w:val="0"/>
        <w:adjustRightInd w:val="0"/>
        <w:jc w:val="both"/>
        <w:rPr>
          <w:rFonts w:ascii="Arial" w:hAnsi="Arial" w:cs="Arial"/>
          <w:sz w:val="20"/>
          <w:szCs w:val="20"/>
          <w:lang w:val="x-none"/>
        </w:rPr>
      </w:pPr>
    </w:p>
    <w:tbl>
      <w:tblPr>
        <w:tblW w:w="8055" w:type="dxa"/>
        <w:jc w:val="center"/>
        <w:tblLayout w:type="fixed"/>
        <w:tblLook w:val="0000" w:firstRow="0" w:lastRow="0" w:firstColumn="0" w:lastColumn="0" w:noHBand="0" w:noVBand="0"/>
      </w:tblPr>
      <w:tblGrid>
        <w:gridCol w:w="1351"/>
        <w:gridCol w:w="6704"/>
      </w:tblGrid>
      <w:tr w:rsidR="00AB6CB6" w:rsidRPr="00D450F2" w:rsidTr="00115BB0">
        <w:trPr>
          <w:trHeight w:val="595"/>
          <w:jc w:val="center"/>
        </w:trPr>
        <w:tc>
          <w:tcPr>
            <w:tcW w:w="1351" w:type="dxa"/>
            <w:tcBorders>
              <w:top w:val="single" w:sz="4" w:space="0" w:color="000000"/>
              <w:left w:val="single" w:sz="4" w:space="0" w:color="000000"/>
              <w:bottom w:val="single" w:sz="4" w:space="0" w:color="000000"/>
              <w:right w:val="single" w:sz="4" w:space="0" w:color="000000"/>
            </w:tcBorders>
            <w:vAlign w:val="center"/>
          </w:tcPr>
          <w:p w:rsidR="00AB6CB6" w:rsidRPr="00D450F2" w:rsidRDefault="00AB6CB6" w:rsidP="00115BB0">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Naplňována</w:t>
            </w:r>
          </w:p>
        </w:tc>
        <w:tc>
          <w:tcPr>
            <w:tcW w:w="6705" w:type="dxa"/>
            <w:tcBorders>
              <w:top w:val="single" w:sz="4" w:space="0" w:color="000000"/>
              <w:left w:val="single" w:sz="4" w:space="0" w:color="000000"/>
              <w:bottom w:val="single" w:sz="4" w:space="0" w:color="000000"/>
              <w:right w:val="single" w:sz="4" w:space="0" w:color="000000"/>
            </w:tcBorders>
            <w:vAlign w:val="center"/>
          </w:tcPr>
          <w:p w:rsidR="00AB6CB6" w:rsidRPr="00D450F2" w:rsidRDefault="00AB6CB6" w:rsidP="00115BB0">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v aktivitě došlo v roce 2016 k nějaké akci či pokroku, vedoucí k jejímu naplnění nebo si je vyplňující vědom, že k naplňování cíle v roce 2016 došlo</w:t>
            </w:r>
          </w:p>
        </w:tc>
      </w:tr>
      <w:tr w:rsidR="00AB6CB6" w:rsidRPr="00D450F2" w:rsidTr="00115BB0">
        <w:trPr>
          <w:trHeight w:val="595"/>
          <w:jc w:val="center"/>
        </w:trPr>
        <w:tc>
          <w:tcPr>
            <w:tcW w:w="1351" w:type="dxa"/>
            <w:tcBorders>
              <w:top w:val="single" w:sz="4" w:space="0" w:color="000000"/>
              <w:left w:val="single" w:sz="4" w:space="0" w:color="000000"/>
              <w:bottom w:val="single" w:sz="4" w:space="0" w:color="000000"/>
              <w:right w:val="single" w:sz="4" w:space="0" w:color="000000"/>
            </w:tcBorders>
            <w:vAlign w:val="center"/>
          </w:tcPr>
          <w:p w:rsidR="00AB6CB6" w:rsidRPr="00D450F2" w:rsidRDefault="00AB6CB6" w:rsidP="00115BB0">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Částečně naplňována</w:t>
            </w:r>
          </w:p>
        </w:tc>
        <w:tc>
          <w:tcPr>
            <w:tcW w:w="6705" w:type="dxa"/>
            <w:tcBorders>
              <w:top w:val="single" w:sz="4" w:space="0" w:color="000000"/>
              <w:left w:val="single" w:sz="4" w:space="0" w:color="000000"/>
              <w:bottom w:val="single" w:sz="4" w:space="0" w:color="000000"/>
              <w:right w:val="single" w:sz="4" w:space="0" w:color="000000"/>
            </w:tcBorders>
            <w:vAlign w:val="center"/>
          </w:tcPr>
          <w:p w:rsidR="00AB6CB6" w:rsidRPr="00D450F2" w:rsidRDefault="00AB6CB6" w:rsidP="00115BB0">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aktivita byla naplňována jen z části, či byla nepřímo ovlivněna</w:t>
            </w:r>
          </w:p>
        </w:tc>
      </w:tr>
      <w:tr w:rsidR="00AB6CB6" w:rsidRPr="00D450F2" w:rsidTr="00115BB0">
        <w:trPr>
          <w:trHeight w:val="595"/>
          <w:jc w:val="center"/>
        </w:trPr>
        <w:tc>
          <w:tcPr>
            <w:tcW w:w="1351" w:type="dxa"/>
            <w:tcBorders>
              <w:top w:val="single" w:sz="4" w:space="0" w:color="000000"/>
              <w:left w:val="single" w:sz="4" w:space="0" w:color="000000"/>
              <w:bottom w:val="single" w:sz="4" w:space="0" w:color="000000"/>
              <w:right w:val="single" w:sz="4" w:space="0" w:color="000000"/>
            </w:tcBorders>
            <w:vAlign w:val="center"/>
          </w:tcPr>
          <w:p w:rsidR="00AB6CB6" w:rsidRPr="00D450F2" w:rsidRDefault="00AB6CB6" w:rsidP="00115BB0">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Nenaplňována</w:t>
            </w:r>
          </w:p>
        </w:tc>
        <w:tc>
          <w:tcPr>
            <w:tcW w:w="6705" w:type="dxa"/>
            <w:tcBorders>
              <w:top w:val="single" w:sz="4" w:space="0" w:color="000000"/>
              <w:left w:val="single" w:sz="4" w:space="0" w:color="000000"/>
              <w:bottom w:val="single" w:sz="4" w:space="0" w:color="000000"/>
              <w:right w:val="single" w:sz="4" w:space="0" w:color="000000"/>
            </w:tcBorders>
            <w:vAlign w:val="center"/>
          </w:tcPr>
          <w:p w:rsidR="00AB6CB6" w:rsidRPr="00D450F2" w:rsidRDefault="00AB6CB6" w:rsidP="00115BB0">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v aktivitě nedošlo v roce 2016 k nějaké akci či pokroku, vedoucích k jejímu naplnění</w:t>
            </w:r>
          </w:p>
        </w:tc>
      </w:tr>
      <w:tr w:rsidR="00AB6CB6" w:rsidRPr="00D450F2" w:rsidTr="00115BB0">
        <w:trPr>
          <w:trHeight w:val="595"/>
          <w:jc w:val="center"/>
        </w:trPr>
        <w:tc>
          <w:tcPr>
            <w:tcW w:w="1351" w:type="dxa"/>
            <w:tcBorders>
              <w:top w:val="single" w:sz="4" w:space="0" w:color="000000"/>
              <w:left w:val="single" w:sz="4" w:space="0" w:color="000000"/>
              <w:bottom w:val="single" w:sz="4" w:space="0" w:color="000000"/>
              <w:right w:val="single" w:sz="4" w:space="0" w:color="000000"/>
            </w:tcBorders>
            <w:vAlign w:val="center"/>
          </w:tcPr>
          <w:p w:rsidR="00AB6CB6" w:rsidRPr="00D450F2" w:rsidRDefault="00AB6CB6" w:rsidP="00115BB0">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Nehodnocena</w:t>
            </w:r>
          </w:p>
        </w:tc>
        <w:tc>
          <w:tcPr>
            <w:tcW w:w="6705" w:type="dxa"/>
            <w:tcBorders>
              <w:top w:val="single" w:sz="4" w:space="0" w:color="000000"/>
              <w:left w:val="single" w:sz="4" w:space="0" w:color="000000"/>
              <w:bottom w:val="single" w:sz="4" w:space="0" w:color="000000"/>
              <w:right w:val="single" w:sz="4" w:space="0" w:color="000000"/>
            </w:tcBorders>
            <w:vAlign w:val="center"/>
          </w:tcPr>
          <w:p w:rsidR="00AB6CB6" w:rsidRPr="00D450F2" w:rsidRDefault="00AB6CB6" w:rsidP="00115BB0">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k hodnocení aktivity nemá hodnotitel dostatek informací</w:t>
            </w:r>
          </w:p>
        </w:tc>
      </w:tr>
    </w:tbl>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Slovní hodnocení je rozděleno dle jednotlivých strategických cílů Programu rozvoje Libereckého kraje. Hodnocení každého strategického cíle je dále rozděleno dle jednotlivých opatření a podopatření PRLK, které je ještě dále rozděleno do několika částí:</w:t>
      </w:r>
    </w:p>
    <w:p w:rsidR="00AB6CB6" w:rsidRPr="00D450F2" w:rsidRDefault="00AB6CB6" w:rsidP="00AB6CB6">
      <w:pPr>
        <w:autoSpaceDE w:val="0"/>
        <w:autoSpaceDN w:val="0"/>
        <w:adjustRightInd w:val="0"/>
        <w:jc w:val="both"/>
        <w:rPr>
          <w:rFonts w:ascii="Arial" w:hAnsi="Arial" w:cs="Arial"/>
          <w:sz w:val="20"/>
          <w:szCs w:val="20"/>
          <w:shd w:val="clear" w:color="auto" w:fill="FFFF00"/>
          <w:lang w:val="x-none"/>
        </w:rPr>
      </w:pPr>
    </w:p>
    <w:p w:rsidR="00AB6CB6" w:rsidRPr="00D450F2" w:rsidRDefault="00AB6CB6" w:rsidP="00AB6CB6">
      <w:pPr>
        <w:autoSpaceDE w:val="0"/>
        <w:autoSpaceDN w:val="0"/>
        <w:adjustRightInd w:val="0"/>
        <w:jc w:val="both"/>
        <w:rPr>
          <w:rFonts w:ascii="Arial" w:hAnsi="Arial" w:cs="Arial"/>
          <w:sz w:val="20"/>
          <w:szCs w:val="20"/>
          <w:u w:val="single"/>
          <w:lang w:val="x-none"/>
        </w:rPr>
      </w:pPr>
      <w:r w:rsidRPr="00D450F2">
        <w:rPr>
          <w:rFonts w:ascii="Arial" w:hAnsi="Arial" w:cs="Arial"/>
          <w:sz w:val="20"/>
          <w:szCs w:val="20"/>
          <w:u w:val="single"/>
          <w:lang w:val="x-none"/>
        </w:rPr>
        <w:t>2.1 Souhrnné hodnocení aktivit k naplňování cílů opatření</w:t>
      </w: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 xml:space="preserve">V první části byly slovně ohodnoceny aktivity a cíle vedoucí k naplňování opatření Programu rozvoje Libereckého kraje. Toto hodnocení probíhalo ve spolupráci s jednotlivými odbory Krajského úřadu LK pomocí databázového programu MS Office Access. </w:t>
      </w:r>
    </w:p>
    <w:p w:rsidR="00AB6CB6" w:rsidRPr="00D450F2" w:rsidRDefault="00AB6CB6" w:rsidP="00AB6CB6">
      <w:pPr>
        <w:autoSpaceDE w:val="0"/>
        <w:autoSpaceDN w:val="0"/>
        <w:adjustRightInd w:val="0"/>
        <w:jc w:val="both"/>
        <w:rPr>
          <w:rFonts w:ascii="Arial" w:hAnsi="Arial" w:cs="Arial"/>
          <w:sz w:val="20"/>
          <w:szCs w:val="20"/>
          <w:shd w:val="clear" w:color="auto" w:fill="FFFF00"/>
          <w:lang w:val="x-none"/>
        </w:rPr>
      </w:pP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Každé opatření má u svého názvu uvedeno míru naplňování jednotlivých aktivit. Toto číslo udává, kolik aktivit bylo „naplňováno“ nebo „částečně naplňováno z celkového počtu hodnocených aktivit. Současně je u každého opatření uvedeno i podrobnější rozdělení.</w:t>
      </w:r>
    </w:p>
    <w:p w:rsidR="00AB6CB6" w:rsidRPr="00D450F2" w:rsidRDefault="00AB6CB6" w:rsidP="00AB6CB6">
      <w:pPr>
        <w:autoSpaceDE w:val="0"/>
        <w:autoSpaceDN w:val="0"/>
        <w:adjustRightInd w:val="0"/>
        <w:jc w:val="both"/>
        <w:rPr>
          <w:rFonts w:ascii="Arial" w:hAnsi="Arial" w:cs="Arial"/>
          <w:sz w:val="20"/>
          <w:szCs w:val="20"/>
          <w:shd w:val="clear" w:color="auto" w:fill="FFFF00"/>
          <w:lang w:val="x-none"/>
        </w:rPr>
      </w:pPr>
    </w:p>
    <w:p w:rsidR="00AB6CB6" w:rsidRPr="00D450F2" w:rsidRDefault="00AB6CB6" w:rsidP="00AB6CB6">
      <w:pPr>
        <w:autoSpaceDE w:val="0"/>
        <w:autoSpaceDN w:val="0"/>
        <w:adjustRightInd w:val="0"/>
        <w:jc w:val="both"/>
        <w:rPr>
          <w:rFonts w:ascii="Arial" w:hAnsi="Arial" w:cs="Arial"/>
          <w:sz w:val="20"/>
          <w:szCs w:val="20"/>
          <w:u w:val="single"/>
          <w:lang w:val="x-none"/>
        </w:rPr>
      </w:pPr>
      <w:r w:rsidRPr="00D450F2">
        <w:rPr>
          <w:rFonts w:ascii="Arial" w:hAnsi="Arial" w:cs="Arial"/>
          <w:sz w:val="20"/>
          <w:szCs w:val="20"/>
          <w:u w:val="single"/>
          <w:lang w:val="x-none"/>
        </w:rPr>
        <w:t>2.2 Čerpání finančních prostředků podle jednotlivých opatření</w:t>
      </w: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U jednotlivých opatření je zároveň uváděna informace o přiřazených finančních prostředcích umístěných do území Libereckého kraje v roce 2016, a to z pohledu EU a vlastních zdrojů Libereckého kraje (pole za Státní rozpočet ČR není z důvodu nedostatku dat za rok 2016 vyplněno) . U každého opatření lze nalézt tyto údaje:</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numPr>
          <w:ilvl w:val="0"/>
          <w:numId w:val="4"/>
        </w:num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EU – finanční prostředky na projekty podané v roce 2016 a schválené z výzev na financování z operačních programů na období 2014 – 2020</w:t>
      </w:r>
    </w:p>
    <w:p w:rsidR="00AB6CB6" w:rsidRPr="00D450F2" w:rsidRDefault="00AB6CB6" w:rsidP="00AB6CB6">
      <w:pPr>
        <w:numPr>
          <w:ilvl w:val="0"/>
          <w:numId w:val="4"/>
        </w:num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SR – finanční prostředky ze státního rozpočtu umístěné do Libereckého kraje v roce 2016 – z důvodu nedostatku dat není za rok 2016 hodnoceno</w:t>
      </w:r>
    </w:p>
    <w:p w:rsidR="00AB6CB6" w:rsidRPr="00D450F2" w:rsidRDefault="00AB6CB6" w:rsidP="00AB6CB6">
      <w:pPr>
        <w:numPr>
          <w:ilvl w:val="0"/>
          <w:numId w:val="4"/>
        </w:num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LK – finanční prostředky z rozpočtu Libereckého kraje včetně transferů ze státního rozpočtu (přímé náklady na vzdělávání,...)</w:t>
      </w:r>
    </w:p>
    <w:p w:rsidR="00AB6CB6" w:rsidRPr="00D450F2" w:rsidRDefault="00AB6CB6" w:rsidP="00AB6CB6">
      <w:pPr>
        <w:numPr>
          <w:ilvl w:val="0"/>
          <w:numId w:val="4"/>
        </w:num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DF – finanční prostředky z rozpočtu Libereckého kraje v rámci Dotačního fondu LK</w:t>
      </w:r>
    </w:p>
    <w:p w:rsidR="00AB6CB6" w:rsidRPr="00D450F2" w:rsidRDefault="00AB6CB6" w:rsidP="00AB6CB6">
      <w:pPr>
        <w:autoSpaceDE w:val="0"/>
        <w:autoSpaceDN w:val="0"/>
        <w:adjustRightInd w:val="0"/>
        <w:jc w:val="both"/>
        <w:rPr>
          <w:rFonts w:ascii="Arial" w:hAnsi="Arial" w:cs="Arial"/>
          <w:b/>
          <w:bCs/>
          <w:i/>
          <w:iCs/>
          <w:sz w:val="20"/>
          <w:szCs w:val="20"/>
          <w:shd w:val="clear" w:color="auto" w:fill="FFFF00"/>
          <w:lang w:val="x-none"/>
        </w:rPr>
      </w:pPr>
    </w:p>
    <w:p w:rsidR="00AB6CB6" w:rsidRPr="00D450F2" w:rsidRDefault="00AB6CB6" w:rsidP="00AB6CB6">
      <w:pPr>
        <w:autoSpaceDE w:val="0"/>
        <w:autoSpaceDN w:val="0"/>
        <w:adjustRightInd w:val="0"/>
        <w:jc w:val="both"/>
        <w:rPr>
          <w:rFonts w:ascii="Arial" w:hAnsi="Arial" w:cs="Arial"/>
          <w:sz w:val="20"/>
          <w:szCs w:val="20"/>
          <w:u w:val="single"/>
          <w:lang w:val="x-none"/>
        </w:rPr>
      </w:pPr>
      <w:r w:rsidRPr="00D450F2">
        <w:rPr>
          <w:rFonts w:ascii="Arial" w:hAnsi="Arial" w:cs="Arial"/>
          <w:sz w:val="20"/>
          <w:szCs w:val="20"/>
          <w:u w:val="single"/>
          <w:lang w:val="x-none"/>
        </w:rPr>
        <w:t>2.3 Slovní hodnocení naplňování jednotlivých cílů opatření</w:t>
      </w:r>
    </w:p>
    <w:p w:rsidR="00AB6CB6" w:rsidRPr="00D450F2" w:rsidRDefault="00AB6CB6" w:rsidP="00AB6CB6">
      <w:pPr>
        <w:autoSpaceDE w:val="0"/>
        <w:autoSpaceDN w:val="0"/>
        <w:adjustRightInd w:val="0"/>
        <w:rPr>
          <w:rFonts w:ascii="Arial" w:hAnsi="Arial" w:cs="Arial"/>
          <w:sz w:val="20"/>
          <w:szCs w:val="20"/>
          <w:lang w:val="x-none"/>
        </w:rPr>
      </w:pPr>
      <w:r w:rsidRPr="00D450F2">
        <w:rPr>
          <w:rFonts w:ascii="Arial" w:hAnsi="Arial" w:cs="Arial"/>
          <w:sz w:val="20"/>
          <w:szCs w:val="20"/>
          <w:lang w:val="x-none"/>
        </w:rPr>
        <w:t>Tato část obsahuje konkrétní slovní hodnocení jednotlivých cílů opatření, které vyplňovaly  jednotlivé odbory krajského úřadu. U každého cíle opatření je dále uvedena informace o naplňování aktivit vedoucích k jeho naplňování (pod symbolem „+“), podíl aktivit, které nebylo možno zhodnotit (pod symbolem „0“).</w:t>
      </w:r>
    </w:p>
    <w:p w:rsidR="00AB6CB6" w:rsidRPr="00D450F2" w:rsidRDefault="00AB6CB6" w:rsidP="00AB6CB6">
      <w:pPr>
        <w:autoSpaceDE w:val="0"/>
        <w:autoSpaceDN w:val="0"/>
        <w:adjustRightInd w:val="0"/>
        <w:rPr>
          <w:rFonts w:ascii="Arial" w:hAnsi="Arial" w:cs="Arial"/>
          <w:sz w:val="20"/>
          <w:szCs w:val="20"/>
          <w:lang w:val="x-none"/>
        </w:rPr>
      </w:pPr>
    </w:p>
    <w:p w:rsidR="00AB6CB6" w:rsidRPr="00D450F2" w:rsidRDefault="00AB6CB6" w:rsidP="00AB6CB6">
      <w:pPr>
        <w:autoSpaceDE w:val="0"/>
        <w:autoSpaceDN w:val="0"/>
        <w:adjustRightInd w:val="0"/>
        <w:rPr>
          <w:rFonts w:ascii="Arial" w:hAnsi="Arial" w:cs="Arial"/>
          <w:sz w:val="20"/>
          <w:szCs w:val="20"/>
          <w:lang w:val="x-none"/>
        </w:rPr>
      </w:pPr>
      <w:r w:rsidRPr="00D450F2">
        <w:rPr>
          <w:rFonts w:ascii="Arial" w:hAnsi="Arial" w:cs="Arial"/>
          <w:sz w:val="20"/>
          <w:szCs w:val="20"/>
          <w:lang w:val="x-none"/>
        </w:rPr>
        <w:t>Další součástí slovního hodnocení je počet vydaných souladů s PRLK za jednotlivé cíle opatření (pod symbolem „P“), které vydává odbor regionálního rozvoje a evropských projektů krajského úřadu. Počet těchto souladů nepřímo hovoří o oblastech, na které se zaměřuje finanční podpora nejen z Libereckého kraje ale i ze Strukturálních fondů EU a ze Státního rozpočtu ČR. Vydaný soulad však neznamená, že projekt, na který byl vydán, byl realizován a automaticky nezakládá nárok na finanční podporu. Proto se zde objevují i projekty, které vůbec podpořeny nebyly. Navíc soulad s PRLK není povinný u všech žádostí ať už o krajské či jiné dotace, proto tato statistika je ryze informativní a nepodává srovnávací informace.</w:t>
      </w:r>
    </w:p>
    <w:p w:rsidR="00AB6CB6" w:rsidRPr="00D450F2" w:rsidRDefault="00AB6CB6" w:rsidP="00AB6CB6">
      <w:pPr>
        <w:autoSpaceDE w:val="0"/>
        <w:autoSpaceDN w:val="0"/>
        <w:adjustRightInd w:val="0"/>
        <w:rPr>
          <w:rFonts w:ascii="Arial" w:hAnsi="Arial" w:cs="Arial"/>
          <w:sz w:val="20"/>
          <w:szCs w:val="20"/>
          <w:shd w:val="clear" w:color="auto" w:fill="FFFF00"/>
          <w:lang w:val="x-none"/>
        </w:rPr>
      </w:pPr>
    </w:p>
    <w:p w:rsidR="00AB6CB6" w:rsidRPr="00D450F2" w:rsidRDefault="00AB6CB6" w:rsidP="00AB6CB6">
      <w:pPr>
        <w:autoSpaceDE w:val="0"/>
        <w:autoSpaceDN w:val="0"/>
        <w:adjustRightInd w:val="0"/>
        <w:rPr>
          <w:rFonts w:ascii="Arial" w:hAnsi="Arial" w:cs="Arial"/>
          <w:sz w:val="20"/>
          <w:szCs w:val="20"/>
          <w:lang w:val="x-none"/>
        </w:rPr>
      </w:pPr>
      <w:r w:rsidRPr="00D450F2">
        <w:rPr>
          <w:rFonts w:ascii="Arial" w:hAnsi="Arial" w:cs="Arial"/>
          <w:sz w:val="20"/>
          <w:szCs w:val="20"/>
          <w:lang w:val="x-none"/>
        </w:rPr>
        <w:lastRenderedPageBreak/>
        <w:t xml:space="preserve">V roce 2016 bylo vydáno 409 souladů s Programem rozvoje Libereckého kraje. Projekty byly v souladu s 30 cíli opatření PRLK. </w:t>
      </w:r>
    </w:p>
    <w:p w:rsidR="00AB6CB6" w:rsidRPr="00D450F2" w:rsidRDefault="00AB6CB6" w:rsidP="00AB6CB6">
      <w:pPr>
        <w:autoSpaceDE w:val="0"/>
        <w:autoSpaceDN w:val="0"/>
        <w:adjustRightInd w:val="0"/>
        <w:rPr>
          <w:rFonts w:ascii="Arial" w:hAnsi="Arial" w:cs="Arial"/>
          <w:sz w:val="20"/>
          <w:szCs w:val="20"/>
          <w:shd w:val="clear" w:color="auto" w:fill="FFFF00"/>
          <w:lang w:val="x-none"/>
        </w:rPr>
      </w:pPr>
    </w:p>
    <w:p w:rsidR="00AB6CB6" w:rsidRPr="00D450F2" w:rsidRDefault="00AB6CB6" w:rsidP="00AB6CB6">
      <w:pPr>
        <w:autoSpaceDE w:val="0"/>
        <w:autoSpaceDN w:val="0"/>
        <w:adjustRightInd w:val="0"/>
        <w:jc w:val="both"/>
        <w:rPr>
          <w:rFonts w:ascii="Arial" w:hAnsi="Arial" w:cs="Arial"/>
          <w:sz w:val="20"/>
          <w:szCs w:val="20"/>
          <w:u w:val="single"/>
          <w:lang w:val="x-none"/>
        </w:rPr>
      </w:pPr>
      <w:r w:rsidRPr="00D450F2">
        <w:rPr>
          <w:rFonts w:ascii="Arial" w:hAnsi="Arial" w:cs="Arial"/>
          <w:sz w:val="20"/>
          <w:szCs w:val="20"/>
          <w:u w:val="single"/>
          <w:lang w:val="x-none"/>
        </w:rPr>
        <w:t>2.4 Hodnoty indikátorů jednotlivých opatření</w:t>
      </w: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 xml:space="preserve">Poslední částí monitoringu je soustava indikátorů uvedených v PRLK, rozdělená podle jednotlivých opatření. Některé hodnoty indikátorů za rok 2016 stále ještě nejsou dostupné v době přípravy materiálu. Na pozadí monitoringu tak vzniká rozsáhlá databáze statistických ukazatelů (většinou od roku 2006) umožňující dlouhodobý pohled na změny v rozvoji Libereckého kraje. </w:t>
      </w:r>
    </w:p>
    <w:p w:rsidR="00AB6CB6" w:rsidRPr="00D450F2" w:rsidRDefault="00AB6CB6" w:rsidP="00AB6CB6">
      <w:pPr>
        <w:autoSpaceDE w:val="0"/>
        <w:autoSpaceDN w:val="0"/>
        <w:adjustRightInd w:val="0"/>
        <w:jc w:val="both"/>
        <w:rPr>
          <w:rFonts w:ascii="Arial" w:hAnsi="Arial" w:cs="Arial"/>
          <w:sz w:val="20"/>
          <w:szCs w:val="20"/>
          <w:lang w:val="x-none"/>
        </w:rPr>
      </w:pP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Veškeré výstupy ze slovního hodnocení jsou k dispozici v databázovém programu, který je umístěn na krajském disku i:/ a po projednání v Zastupitelstvu Libereckého kraje budou zveřejněny na webových stránkách odboru regionálního rozvoje a evropských projektů KÚ LK.</w:t>
      </w:r>
    </w:p>
    <w:p w:rsidR="00AB6CB6" w:rsidRPr="00D450F2" w:rsidRDefault="00AB6CB6" w:rsidP="00AB6CB6">
      <w:pPr>
        <w:autoSpaceDE w:val="0"/>
        <w:autoSpaceDN w:val="0"/>
        <w:adjustRightInd w:val="0"/>
        <w:jc w:val="both"/>
        <w:rPr>
          <w:rFonts w:ascii="Arial" w:hAnsi="Arial" w:cs="Arial"/>
          <w:sz w:val="20"/>
          <w:szCs w:val="20"/>
          <w:shd w:val="clear" w:color="auto" w:fill="FFFF00"/>
          <w:lang w:val="x-none"/>
        </w:rPr>
      </w:pPr>
    </w:p>
    <w:p w:rsidR="00AB6CB6" w:rsidRPr="00D450F2" w:rsidRDefault="00AB6CB6" w:rsidP="00AB6CB6">
      <w:pPr>
        <w:autoSpaceDE w:val="0"/>
        <w:autoSpaceDN w:val="0"/>
        <w:adjustRightInd w:val="0"/>
        <w:jc w:val="both"/>
        <w:rPr>
          <w:rFonts w:ascii="Arial" w:hAnsi="Arial" w:cs="Arial"/>
          <w:b/>
          <w:bCs/>
          <w:sz w:val="20"/>
          <w:szCs w:val="20"/>
          <w:lang w:val="x-none"/>
        </w:rPr>
      </w:pPr>
      <w:r w:rsidRPr="00D450F2">
        <w:rPr>
          <w:rFonts w:ascii="Arial" w:hAnsi="Arial" w:cs="Arial"/>
          <w:b/>
          <w:bCs/>
          <w:sz w:val="20"/>
          <w:szCs w:val="20"/>
          <w:lang w:val="x-none"/>
        </w:rPr>
        <w:t>Přílohy</w:t>
      </w:r>
    </w:p>
    <w:p w:rsidR="00AB6CB6" w:rsidRPr="00D450F2" w:rsidRDefault="00AB6CB6" w:rsidP="00AB6CB6">
      <w:pPr>
        <w:autoSpaceDE w:val="0"/>
        <w:autoSpaceDN w:val="0"/>
        <w:adjustRightInd w:val="0"/>
        <w:jc w:val="both"/>
        <w:rPr>
          <w:rFonts w:ascii="Arial" w:hAnsi="Arial" w:cs="Arial"/>
          <w:sz w:val="20"/>
          <w:szCs w:val="20"/>
          <w:lang w:val="x-none"/>
        </w:rPr>
      </w:pPr>
      <w:r w:rsidRPr="00D450F2">
        <w:rPr>
          <w:rFonts w:ascii="Arial" w:hAnsi="Arial" w:cs="Arial"/>
          <w:sz w:val="20"/>
          <w:szCs w:val="20"/>
          <w:lang w:val="x-none"/>
        </w:rPr>
        <w:t>Příloha P01 – Průběžný monitoring Programu rozvoje Libereckého kraje 2014 – 2020 za rok 2016</w:t>
      </w:r>
    </w:p>
    <w:p w:rsidR="00AB6CB6" w:rsidRDefault="00AB6CB6" w:rsidP="00AB6C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p>
    <w:p w:rsidR="00E12DB5" w:rsidRPr="00AB6CB6" w:rsidRDefault="00E12DB5" w:rsidP="00AB6CB6"/>
    <w:sectPr w:rsidR="00E12DB5" w:rsidRPr="00AB6CB6" w:rsidSect="006270F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8E8"/>
    <w:multiLevelType w:val="hybridMultilevel"/>
    <w:tmpl w:val="152A3D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F357194"/>
    <w:multiLevelType w:val="multilevel"/>
    <w:tmpl w:val="157D648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54FA6437"/>
    <w:multiLevelType w:val="multilevel"/>
    <w:tmpl w:val="56E72C70"/>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5A38CB7A"/>
    <w:multiLevelType w:val="multilevel"/>
    <w:tmpl w:val="2650D518"/>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6B7C50A0"/>
    <w:multiLevelType w:val="multilevel"/>
    <w:tmpl w:val="157D648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85"/>
    <w:rsid w:val="000217CC"/>
    <w:rsid w:val="000D6B77"/>
    <w:rsid w:val="0013406E"/>
    <w:rsid w:val="001A45C7"/>
    <w:rsid w:val="001A4F2D"/>
    <w:rsid w:val="001B0492"/>
    <w:rsid w:val="001E3329"/>
    <w:rsid w:val="005A735E"/>
    <w:rsid w:val="006B2BB9"/>
    <w:rsid w:val="006B3450"/>
    <w:rsid w:val="00760112"/>
    <w:rsid w:val="007B3DD6"/>
    <w:rsid w:val="00842069"/>
    <w:rsid w:val="00887FCC"/>
    <w:rsid w:val="00922E14"/>
    <w:rsid w:val="00923985"/>
    <w:rsid w:val="009F1E47"/>
    <w:rsid w:val="009F4220"/>
    <w:rsid w:val="00AB6CB6"/>
    <w:rsid w:val="00B752C8"/>
    <w:rsid w:val="00C80C23"/>
    <w:rsid w:val="00C815C5"/>
    <w:rsid w:val="00CA05EC"/>
    <w:rsid w:val="00E12DB5"/>
    <w:rsid w:val="00F1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CB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B6CB6"/>
    <w:pPr>
      <w:tabs>
        <w:tab w:val="center" w:pos="4536"/>
        <w:tab w:val="right" w:pos="9072"/>
      </w:tabs>
    </w:pPr>
  </w:style>
  <w:style w:type="character" w:customStyle="1" w:styleId="ZhlavChar">
    <w:name w:val="Záhlaví Char"/>
    <w:basedOn w:val="Standardnpsmoodstavce"/>
    <w:link w:val="Zhlav"/>
    <w:rsid w:val="00AB6CB6"/>
    <w:rPr>
      <w:rFonts w:ascii="Times New Roman" w:eastAsia="Times New Roman" w:hAnsi="Times New Roman" w:cs="Times New Roman"/>
      <w:sz w:val="24"/>
      <w:szCs w:val="24"/>
      <w:lang w:eastAsia="cs-CZ"/>
    </w:rPr>
  </w:style>
  <w:style w:type="paragraph" w:styleId="Nzev">
    <w:name w:val="Title"/>
    <w:basedOn w:val="Normln"/>
    <w:link w:val="NzevChar"/>
    <w:qFormat/>
    <w:rsid w:val="00AB6CB6"/>
    <w:pPr>
      <w:widowControl w:val="0"/>
      <w:autoSpaceDE w:val="0"/>
      <w:autoSpaceDN w:val="0"/>
      <w:jc w:val="both"/>
    </w:pPr>
    <w:rPr>
      <w:lang w:val="en-GB"/>
    </w:rPr>
  </w:style>
  <w:style w:type="character" w:customStyle="1" w:styleId="NzevChar">
    <w:name w:val="Název Char"/>
    <w:basedOn w:val="Standardnpsmoodstavce"/>
    <w:link w:val="Nzev"/>
    <w:rsid w:val="00AB6CB6"/>
    <w:rPr>
      <w:rFonts w:ascii="Times New Roman" w:eastAsia="Times New Roman" w:hAnsi="Times New Roman" w:cs="Times New Roman"/>
      <w:sz w:val="24"/>
      <w:szCs w:val="24"/>
      <w:lang w:val="en-GB" w:eastAsia="cs-CZ"/>
    </w:rPr>
  </w:style>
  <w:style w:type="paragraph" w:styleId="Textbubliny">
    <w:name w:val="Balloon Text"/>
    <w:basedOn w:val="Normln"/>
    <w:link w:val="TextbublinyChar"/>
    <w:uiPriority w:val="99"/>
    <w:semiHidden/>
    <w:unhideWhenUsed/>
    <w:rsid w:val="001E3329"/>
    <w:rPr>
      <w:rFonts w:ascii="Tahoma" w:hAnsi="Tahoma" w:cs="Tahoma"/>
      <w:sz w:val="16"/>
      <w:szCs w:val="16"/>
    </w:rPr>
  </w:style>
  <w:style w:type="character" w:customStyle="1" w:styleId="TextbublinyChar">
    <w:name w:val="Text bubliny Char"/>
    <w:basedOn w:val="Standardnpsmoodstavce"/>
    <w:link w:val="Textbubliny"/>
    <w:uiPriority w:val="99"/>
    <w:semiHidden/>
    <w:rsid w:val="001E332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CB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B6CB6"/>
    <w:pPr>
      <w:tabs>
        <w:tab w:val="center" w:pos="4536"/>
        <w:tab w:val="right" w:pos="9072"/>
      </w:tabs>
    </w:pPr>
  </w:style>
  <w:style w:type="character" w:customStyle="1" w:styleId="ZhlavChar">
    <w:name w:val="Záhlaví Char"/>
    <w:basedOn w:val="Standardnpsmoodstavce"/>
    <w:link w:val="Zhlav"/>
    <w:rsid w:val="00AB6CB6"/>
    <w:rPr>
      <w:rFonts w:ascii="Times New Roman" w:eastAsia="Times New Roman" w:hAnsi="Times New Roman" w:cs="Times New Roman"/>
      <w:sz w:val="24"/>
      <w:szCs w:val="24"/>
      <w:lang w:eastAsia="cs-CZ"/>
    </w:rPr>
  </w:style>
  <w:style w:type="paragraph" w:styleId="Nzev">
    <w:name w:val="Title"/>
    <w:basedOn w:val="Normln"/>
    <w:link w:val="NzevChar"/>
    <w:qFormat/>
    <w:rsid w:val="00AB6CB6"/>
    <w:pPr>
      <w:widowControl w:val="0"/>
      <w:autoSpaceDE w:val="0"/>
      <w:autoSpaceDN w:val="0"/>
      <w:jc w:val="both"/>
    </w:pPr>
    <w:rPr>
      <w:lang w:val="en-GB"/>
    </w:rPr>
  </w:style>
  <w:style w:type="character" w:customStyle="1" w:styleId="NzevChar">
    <w:name w:val="Název Char"/>
    <w:basedOn w:val="Standardnpsmoodstavce"/>
    <w:link w:val="Nzev"/>
    <w:rsid w:val="00AB6CB6"/>
    <w:rPr>
      <w:rFonts w:ascii="Times New Roman" w:eastAsia="Times New Roman" w:hAnsi="Times New Roman" w:cs="Times New Roman"/>
      <w:sz w:val="24"/>
      <w:szCs w:val="24"/>
      <w:lang w:val="en-GB" w:eastAsia="cs-CZ"/>
    </w:rPr>
  </w:style>
  <w:style w:type="paragraph" w:styleId="Textbubliny">
    <w:name w:val="Balloon Text"/>
    <w:basedOn w:val="Normln"/>
    <w:link w:val="TextbublinyChar"/>
    <w:uiPriority w:val="99"/>
    <w:semiHidden/>
    <w:unhideWhenUsed/>
    <w:rsid w:val="001E3329"/>
    <w:rPr>
      <w:rFonts w:ascii="Tahoma" w:hAnsi="Tahoma" w:cs="Tahoma"/>
      <w:sz w:val="16"/>
      <w:szCs w:val="16"/>
    </w:rPr>
  </w:style>
  <w:style w:type="character" w:customStyle="1" w:styleId="TextbublinyChar">
    <w:name w:val="Text bubliny Char"/>
    <w:basedOn w:val="Standardnpsmoodstavce"/>
    <w:link w:val="Textbubliny"/>
    <w:uiPriority w:val="99"/>
    <w:semiHidden/>
    <w:rsid w:val="001E332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1261</Words>
  <Characters>7445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Chmel Lukas</dc:creator>
  <cp:lastModifiedBy>Chmel Lukáš</cp:lastModifiedBy>
  <cp:revision>10</cp:revision>
  <cp:lastPrinted>2017-12-06T08:33:00Z</cp:lastPrinted>
  <dcterms:created xsi:type="dcterms:W3CDTF">2015-11-25T12:53:00Z</dcterms:created>
  <dcterms:modified xsi:type="dcterms:W3CDTF">2017-12-06T09:06:00Z</dcterms:modified>
</cp:coreProperties>
</file>