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76567B">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proofErr w:type="spellStart"/>
      <w:r w:rsidR="0076567B">
        <w:rPr>
          <w:b/>
        </w:rPr>
        <w:t>xxxx</w:t>
      </w:r>
      <w:proofErr w:type="spellEnd"/>
      <w:r w:rsidR="0076567B">
        <w:rPr>
          <w:b/>
        </w:rPr>
        <w:t>/2017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1F7812">
        <w:t>1</w:t>
      </w:r>
      <w:r w:rsidR="0076567B">
        <w:t>7</w:t>
      </w:r>
      <w:r w:rsidRPr="00B141AC">
        <w:t xml:space="preserve"> usnesením č. </w:t>
      </w:r>
      <w:proofErr w:type="spellStart"/>
      <w:r>
        <w:t>xxx</w:t>
      </w:r>
      <w:proofErr w:type="spellEnd"/>
      <w:r w:rsidRPr="00B141AC">
        <w:t>/</w:t>
      </w:r>
      <w:r w:rsidR="0076567B">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76567B" w:rsidRPr="00773F48">
        <w:t xml:space="preserve">v plné moci </w:t>
      </w:r>
      <w:r w:rsidR="0076567B">
        <w:t xml:space="preserve">Ing. Květou </w:t>
      </w:r>
      <w:proofErr w:type="spellStart"/>
      <w:r w:rsidR="0076567B">
        <w:t>Vinklátovou</w:t>
      </w:r>
      <w:proofErr w:type="spellEnd"/>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76567B">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w:t>
      </w:r>
      <w:proofErr w:type="gramStart"/>
      <w:r w:rsidR="0076567B">
        <w:t>xx</w:t>
      </w:r>
      <w:proofErr w:type="gramEnd"/>
      <w:r w:rsidR="0076567B">
        <w:t>.</w:t>
      </w:r>
      <w:proofErr w:type="gramStart"/>
      <w:r w:rsidR="0076567B">
        <w:t>xx</w:t>
      </w:r>
      <w:proofErr w:type="gramEnd"/>
      <w:r w:rsidR="0076567B">
        <w:t>.2017</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B80273">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76567B">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504D62" w:rsidP="00643DB9">
            <w:pPr>
              <w:rPr>
                <w:b/>
              </w:rPr>
            </w:pPr>
            <w:r>
              <w:rPr>
                <w:b/>
              </w:rPr>
              <w:t xml:space="preserve"> způsobilých </w:t>
            </w:r>
            <w:proofErr w:type="gramStart"/>
            <w:r w:rsidR="004523BC" w:rsidRPr="00B37221">
              <w:rPr>
                <w:b/>
              </w:rPr>
              <w:t>výdajích</w:t>
            </w:r>
            <w:proofErr w:type="gramEnd"/>
          </w:p>
        </w:tc>
      </w:tr>
      <w:tr w:rsidR="004523BC" w:rsidRPr="00643D53" w:rsidTr="0076567B">
        <w:tc>
          <w:tcPr>
            <w:tcW w:w="4390" w:type="dxa"/>
          </w:tcPr>
          <w:p w:rsidR="004523BC" w:rsidRPr="00B37221" w:rsidRDefault="004523BC" w:rsidP="0076567B">
            <w:r w:rsidRPr="00B37221">
              <w:t>Celkové předpokládané způsobilé výdaje projektu</w:t>
            </w:r>
          </w:p>
        </w:tc>
        <w:tc>
          <w:tcPr>
            <w:tcW w:w="2340" w:type="dxa"/>
            <w:vAlign w:val="center"/>
          </w:tcPr>
          <w:p w:rsidR="004523BC" w:rsidRPr="00B37221" w:rsidRDefault="004523BC" w:rsidP="0076567B">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04D62">
            <w:pPr>
              <w:jc w:val="center"/>
            </w:pPr>
            <w:proofErr w:type="spellStart"/>
            <w:r w:rsidRPr="00B37221">
              <w:t>xxx</w:t>
            </w:r>
            <w:proofErr w:type="spellEnd"/>
            <w:r w:rsidRPr="00B37221">
              <w:t xml:space="preserve"> %</w:t>
            </w:r>
          </w:p>
        </w:tc>
      </w:tr>
      <w:tr w:rsidR="004523BC" w:rsidRPr="00643D53" w:rsidTr="0076567B">
        <w:tc>
          <w:tcPr>
            <w:tcW w:w="4390" w:type="dxa"/>
          </w:tcPr>
          <w:p w:rsidR="004523BC" w:rsidRPr="00B37221" w:rsidRDefault="004523BC" w:rsidP="0076567B">
            <w:r w:rsidRPr="00B37221">
              <w:t>Celková výše dotace z rozpočtu Libereckého kraje (max. podíl poskytovatele)</w:t>
            </w:r>
          </w:p>
        </w:tc>
        <w:tc>
          <w:tcPr>
            <w:tcW w:w="2340" w:type="dxa"/>
            <w:vAlign w:val="center"/>
          </w:tcPr>
          <w:p w:rsidR="004523BC" w:rsidRPr="00B37221" w:rsidRDefault="004523BC" w:rsidP="0076567B">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76567B">
            <w:pPr>
              <w:jc w:val="center"/>
            </w:pPr>
            <w:proofErr w:type="spellStart"/>
            <w:r w:rsidRPr="00B37221">
              <w:t>xxx</w:t>
            </w:r>
            <w:proofErr w:type="spellEnd"/>
            <w:r w:rsidRPr="00B37221">
              <w:t xml:space="preserve"> %</w:t>
            </w:r>
          </w:p>
        </w:tc>
      </w:tr>
      <w:tr w:rsidR="004523BC" w:rsidRPr="00643D53" w:rsidTr="0076567B">
        <w:tc>
          <w:tcPr>
            <w:tcW w:w="4390"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2340" w:type="dxa"/>
            <w:vAlign w:val="center"/>
          </w:tcPr>
          <w:p w:rsidR="004523BC" w:rsidRPr="00B37221" w:rsidRDefault="004523BC" w:rsidP="0076567B">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76567B">
            <w:pPr>
              <w:jc w:val="center"/>
            </w:pPr>
            <w:proofErr w:type="spellStart"/>
            <w:r w:rsidRPr="00B37221">
              <w:t>xxx</w:t>
            </w:r>
            <w:proofErr w:type="spellEnd"/>
            <w:r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76567B" w:rsidRPr="006E74CA">
        <w:rPr>
          <w:b/>
        </w:rPr>
        <w:t>6</w:t>
      </w:r>
      <w:r w:rsidRPr="006E74CA">
        <w:rPr>
          <w:b/>
        </w:rPr>
        <w:t>.</w:t>
      </w:r>
      <w:r w:rsidR="0076567B" w:rsidRPr="006E74CA">
        <w:rPr>
          <w:b/>
        </w:rPr>
        <w:t> 3</w:t>
      </w:r>
      <w:r w:rsidR="00111B8F" w:rsidRPr="006E74CA">
        <w:rPr>
          <w:b/>
        </w:rPr>
        <w:t>. 201</w:t>
      </w:r>
      <w:r w:rsidR="00CD70B0" w:rsidRPr="006E74CA">
        <w:rPr>
          <w:b/>
        </w:rPr>
        <w:t>7</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w:t>
      </w:r>
      <w:proofErr w:type="spellStart"/>
      <w:r w:rsidRPr="00374E3C">
        <w:t>charge</w:t>
      </w:r>
      <w:proofErr w:type="spellEnd"/>
      <w:r w:rsidRPr="00374E3C">
        <w:t xml:space="preserv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76567B" w:rsidRPr="006E74CA">
        <w:rPr>
          <w:b/>
        </w:rPr>
        <w:t>xx</w:t>
      </w:r>
      <w:proofErr w:type="spellEnd"/>
      <w:r w:rsidR="00111B8F" w:rsidRPr="006E74CA">
        <w:rPr>
          <w:b/>
        </w:rPr>
        <w:t xml:space="preserve">. </w:t>
      </w:r>
      <w:proofErr w:type="spellStart"/>
      <w:r w:rsidR="0076567B" w:rsidRPr="006E74CA">
        <w:rPr>
          <w:b/>
        </w:rPr>
        <w:t>xx</w:t>
      </w:r>
      <w:proofErr w:type="spellEnd"/>
      <w:r w:rsidR="00D53E64" w:rsidRPr="006E74CA">
        <w:rPr>
          <w:b/>
        </w:rPr>
        <w:t>.</w:t>
      </w:r>
      <w:r w:rsidR="0076567B" w:rsidRPr="006E74CA">
        <w:rPr>
          <w:b/>
        </w:rPr>
        <w:t xml:space="preserve"> 2017</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w:t>
      </w:r>
      <w:proofErr w:type="spellStart"/>
      <w:r w:rsidRPr="00374E3C">
        <w:t>charge</w:t>
      </w:r>
      <w:proofErr w:type="spellEnd"/>
      <w:r w:rsidRPr="00374E3C">
        <w:t xml:space="preserv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 xml:space="preserve">závěrečné zprávy o realizaci projektu dle přílohy č. 2 </w:t>
      </w:r>
      <w:proofErr w:type="gramStart"/>
      <w:r w:rsidRPr="00161B15">
        <w:t>této</w:t>
      </w:r>
      <w:proofErr w:type="gramEnd"/>
      <w:r w:rsidRPr="00161B15">
        <w:t xml:space="preserve">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fotodokumentaci realizované obnovy,</w:t>
      </w:r>
    </w:p>
    <w:p w:rsidR="0076567B" w:rsidRPr="00D01566" w:rsidRDefault="0076567B" w:rsidP="0076567B">
      <w:pPr>
        <w:numPr>
          <w:ilvl w:val="0"/>
          <w:numId w:val="28"/>
        </w:numPr>
        <w:tabs>
          <w:tab w:val="clear" w:pos="1080"/>
          <w:tab w:val="num" w:pos="720"/>
        </w:tabs>
        <w:ind w:left="720"/>
        <w:jc w:val="both"/>
      </w:pPr>
      <w:r w:rsidRPr="00D01566">
        <w:t>čestné prohlášení o čerpání dalších dotačních prostředků na realizaci projektu,</w:t>
      </w:r>
    </w:p>
    <w:p w:rsidR="004523BC" w:rsidRPr="00C9643A" w:rsidRDefault="0076567B" w:rsidP="0076567B">
      <w:pPr>
        <w:numPr>
          <w:ilvl w:val="0"/>
          <w:numId w:val="28"/>
        </w:numPr>
        <w:tabs>
          <w:tab w:val="clear" w:pos="1080"/>
          <w:tab w:val="num" w:pos="720"/>
        </w:tabs>
        <w:ind w:left="720"/>
        <w:jc w:val="both"/>
      </w:pPr>
      <w:r w:rsidRPr="00D01566">
        <w:t xml:space="preserve">v případě restaurování 1 </w:t>
      </w:r>
      <w:proofErr w:type="spellStart"/>
      <w:r w:rsidRPr="00D01566">
        <w:t>paré</w:t>
      </w:r>
      <w:proofErr w:type="spellEnd"/>
      <w:r w:rsidRPr="00D01566">
        <w:t xml:space="preserve"> restaurátorské zprávy.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rsidR="002F4DE8">
        <w:t xml:space="preserve"> posoudí, zda žádost</w:t>
      </w:r>
      <w:r>
        <w:t xml:space="preserve"> o změnu projektu podléhá schválení </w:t>
      </w:r>
      <w:r w:rsidR="00F80C15">
        <w:t>Z</w:t>
      </w:r>
      <w:r>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374E3C" w:rsidRDefault="00374E3C" w:rsidP="00AD6763">
      <w:pPr>
        <w:jc w:val="center"/>
        <w:outlineLvl w:val="0"/>
        <w:rPr>
          <w:b/>
        </w:rPr>
      </w:pPr>
    </w:p>
    <w:p w:rsidR="00374E3C" w:rsidRDefault="00374E3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Pr="000D530F">
        <w:t xml:space="preserve">. </w:t>
      </w:r>
      <w:proofErr w:type="gramStart"/>
      <w:r w:rsidRPr="000D530F">
        <w:t>se</w:t>
      </w:r>
      <w:proofErr w:type="gramEnd"/>
      <w:r w:rsidRPr="000D530F">
        <w:t xml:space="preserv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374E3C">
        <w:t xml:space="preserve"> č. </w:t>
      </w:r>
      <w:r w:rsidR="00374E3C" w:rsidRPr="00AB7A2C">
        <w:t xml:space="preserve">19-7964250217/0100 </w:t>
      </w:r>
      <w:r w:rsidR="008C0EFD">
        <w:t>s variabilním symb</w:t>
      </w:r>
      <w:r w:rsidR="00374E3C">
        <w:t>olem č. ………</w:t>
      </w:r>
      <w:proofErr w:type="gramStart"/>
      <w:r w:rsidR="00374E3C">
        <w:t>…..</w:t>
      </w:r>
      <w:proofErr w:type="gramEnd"/>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w:t>
      </w:r>
      <w:r w:rsidRPr="004D0F1A">
        <w:rPr>
          <w:iCs/>
          <w:color w:val="A6A6A6"/>
          <w:lang w:eastAsia="de-DE"/>
        </w:rPr>
        <w:lastRenderedPageBreak/>
        <w:t xml:space="preserve">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5C0B97">
        <w:rPr>
          <w:color w:val="808080"/>
        </w:rPr>
        <w:t>třech</w:t>
      </w:r>
      <w:r w:rsidR="00D40333" w:rsidRPr="005C0B97">
        <w:rPr>
          <w:color w:val="808080"/>
        </w:rPr>
        <w:t>/čtyřech</w:t>
      </w:r>
      <w:r w:rsidRPr="0011600C">
        <w:t xml:space="preserve"> stejnopisech, z nichž dvě vyhotovení si ponechá p</w:t>
      </w:r>
      <w:r>
        <w:t xml:space="preserve">oskytovatel a </w:t>
      </w:r>
      <w:r w:rsidRPr="005C0B97">
        <w:rPr>
          <w:color w:val="808080"/>
        </w:rPr>
        <w:t>jedno</w:t>
      </w:r>
      <w:r w:rsidR="00D40333" w:rsidRPr="005C0B97">
        <w:rPr>
          <w:color w:val="808080"/>
        </w:rPr>
        <w:t>/dv</w:t>
      </w:r>
      <w:r w:rsidR="00EC0659" w:rsidRPr="005C0B97">
        <w:rPr>
          <w:color w:val="808080"/>
        </w:rPr>
        <w:t>ě</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5F71C5" w:rsidRDefault="000618B6" w:rsidP="00CD63D6">
      <w:pPr>
        <w:numPr>
          <w:ilvl w:val="0"/>
          <w:numId w:val="19"/>
        </w:numPr>
        <w:tabs>
          <w:tab w:val="clear" w:pos="720"/>
          <w:tab w:val="num" w:pos="360"/>
        </w:tabs>
        <w:spacing w:before="120"/>
        <w:ind w:left="357" w:hanging="357"/>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4523BC" w:rsidRDefault="004523BC" w:rsidP="004D0F1A">
      <w:pPr>
        <w:jc w:val="both"/>
      </w:pPr>
      <w:r>
        <w:t>……………………………….</w:t>
      </w:r>
      <w:r>
        <w:tab/>
      </w:r>
      <w:r>
        <w:tab/>
      </w:r>
      <w:r>
        <w:tab/>
      </w:r>
      <w:r>
        <w:tab/>
        <w:t>………………………………</w:t>
      </w:r>
      <w:r w:rsidR="00D40333">
        <w:t>……</w:t>
      </w:r>
    </w:p>
    <w:p w:rsidR="00D40333" w:rsidRPr="006E74CA" w:rsidRDefault="00EC0659" w:rsidP="006E74CA">
      <w:pPr>
        <w:jc w:val="both"/>
        <w:rPr>
          <w:bCs/>
          <w:i/>
        </w:rPr>
      </w:pPr>
      <w:r>
        <w:t>Ing. Květa Vinklátová, členka rady kraje</w:t>
      </w:r>
      <w:r w:rsidR="004523BC">
        <w:t xml:space="preserve">          </w:t>
      </w:r>
      <w:r w:rsidR="00D40333" w:rsidRPr="005C0B97">
        <w:rPr>
          <w:color w:val="808080"/>
        </w:rPr>
        <w:t xml:space="preserve">           </w:t>
      </w:r>
    </w:p>
    <w:p w:rsidR="004523BC" w:rsidRDefault="004523BC" w:rsidP="006E74CA">
      <w:pPr>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6A7B8D" w:rsidRDefault="006A7B8D" w:rsidP="00C1080B">
      <w:pPr>
        <w:jc w:val="right"/>
        <w:outlineLvl w:val="0"/>
        <w:rPr>
          <w:bCs/>
        </w:rPr>
      </w:pPr>
    </w:p>
    <w:p w:rsidR="004523BC" w:rsidRDefault="004523BC" w:rsidP="00C1080B">
      <w:pPr>
        <w:jc w:val="right"/>
        <w:outlineLvl w:val="0"/>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EC0659">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 xml:space="preserve">a) obchodní firmu nebo jméno a příjmení, případně název, dodatek jména a příjmení nebo názvu, sídlo nebo místo podnikání, popřípadě trvalý </w:t>
      </w:r>
      <w:bookmarkStart w:id="0" w:name="_GoBack"/>
      <w:bookmarkEnd w:id="0"/>
      <w:r w:rsidRPr="009A0E6A">
        <w:t>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proofErr w:type="gramStart"/>
            <w:r w:rsidR="00EC0659">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9A0E6A"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0;margin-top:105.35pt;width:733.15pt;height:289.6pt;z-index:-251658752;visibility:visible;mso-position-horizontal:center;mso-position-horizontal-relative:margin" wrapcoords="-22 0 -22 21544 21600 21544 21600 0 -22 0" o:allowoverlap="f">
            <v:imagedata r:id="rId17" o:title="Logo_LK_rgb"/>
            <w10:wrap type="tight" anchorx="margin"/>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CF" w:rsidRDefault="00E623CF">
      <w:r>
        <w:separator/>
      </w:r>
    </w:p>
  </w:endnote>
  <w:endnote w:type="continuationSeparator" w:id="0">
    <w:p w:rsidR="00E623CF" w:rsidRDefault="00E6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9A0E6A">
      <w:rPr>
        <w:noProof/>
        <w:sz w:val="20"/>
        <w:szCs w:val="20"/>
      </w:rPr>
      <w:t>1</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CF" w:rsidRDefault="00E623CF">
      <w:r>
        <w:separator/>
      </w:r>
    </w:p>
  </w:footnote>
  <w:footnote w:type="continuationSeparator" w:id="0">
    <w:p w:rsidR="00E623CF" w:rsidRDefault="00E62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DF" w:rsidRDefault="00372DDF" w:rsidP="00372DDF">
    <w:pPr>
      <w:pStyle w:val="Zhlav"/>
      <w:jc w:val="right"/>
    </w:pPr>
    <w:r>
      <w:t>Příloha č.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1031D"/>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D14F-D164-4C25-A2B7-B9CBA048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3912</Words>
  <Characters>23081</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23</cp:revision>
  <cp:lastPrinted>2015-11-18T07:25:00Z</cp:lastPrinted>
  <dcterms:created xsi:type="dcterms:W3CDTF">2015-11-23T15:16:00Z</dcterms:created>
  <dcterms:modified xsi:type="dcterms:W3CDTF">2017-01-03T11:59:00Z</dcterms:modified>
</cp:coreProperties>
</file>