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533D4B">
        <w:rPr>
          <w:b/>
        </w:rPr>
        <w:t>211</w:t>
      </w:r>
      <w:r w:rsidR="003B540F">
        <w:rPr>
          <w:b/>
        </w:rPr>
        <w:t>/2017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28</w:t>
      </w:r>
      <w:r w:rsidR="005436E1">
        <w:t xml:space="preserve">. 2. </w:t>
      </w:r>
      <w:r w:rsidRPr="00B141AC">
        <w:t>20</w:t>
      </w:r>
      <w:r w:rsidR="003B540F">
        <w:t>17</w:t>
      </w:r>
      <w:r w:rsidRPr="00B141AC">
        <w:t xml:space="preserve"> usnesením č. </w:t>
      </w:r>
      <w:r>
        <w:t>xxx</w:t>
      </w:r>
      <w:r w:rsidRPr="00B141AC">
        <w:t>/</w:t>
      </w:r>
      <w:r w:rsidR="003B540F">
        <w:t>17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A46FEF" w:rsidRPr="008A0706" w:rsidRDefault="00A46FEF" w:rsidP="00A46FEF">
      <w:pPr>
        <w:jc w:val="both"/>
        <w:rPr>
          <w:b/>
        </w:rPr>
      </w:pPr>
      <w:r>
        <w:rPr>
          <w:b/>
        </w:rPr>
        <w:t>Městská knihovna Semily, příspěvková organizace</w:t>
      </w:r>
    </w:p>
    <w:p w:rsidR="00A46FEF" w:rsidRDefault="00A46FEF" w:rsidP="00A46FEF">
      <w:pPr>
        <w:jc w:val="both"/>
      </w:pPr>
      <w:r>
        <w:t xml:space="preserve">se sídlem </w:t>
      </w:r>
      <w:r>
        <w:tab/>
      </w:r>
      <w:r>
        <w:tab/>
        <w:t xml:space="preserve">              : Tyršova 49, 513 01 Semily</w:t>
      </w:r>
    </w:p>
    <w:p w:rsidR="00A46FEF" w:rsidRDefault="00A46FEF" w:rsidP="00A46FEF">
      <w:pPr>
        <w:jc w:val="both"/>
      </w:pPr>
      <w:r>
        <w:t>zastoupená</w:t>
      </w:r>
      <w:r>
        <w:tab/>
      </w:r>
      <w:r>
        <w:tab/>
        <w:t xml:space="preserve">              </w:t>
      </w:r>
      <w:r w:rsidR="00533D4B">
        <w:t>: Mgr. Jitkou Šedinovou</w:t>
      </w:r>
      <w:r>
        <w:t>, ředitelkou</w:t>
      </w:r>
    </w:p>
    <w:p w:rsidR="00A46FEF" w:rsidRDefault="00A46FEF" w:rsidP="00A46FEF">
      <w:pPr>
        <w:jc w:val="both"/>
      </w:pPr>
      <w:r>
        <w:t>IČ</w:t>
      </w:r>
      <w:r>
        <w:tab/>
      </w:r>
      <w:r>
        <w:tab/>
      </w:r>
      <w:r>
        <w:tab/>
        <w:t xml:space="preserve">              : 00856100</w:t>
      </w:r>
    </w:p>
    <w:p w:rsidR="00A46FEF" w:rsidRDefault="00A46FEF" w:rsidP="00A46FEF">
      <w:pPr>
        <w:jc w:val="both"/>
      </w:pPr>
      <w:r>
        <w:t>Bankovní spojení příjemce      : Komerční banka a.s.</w:t>
      </w:r>
    </w:p>
    <w:p w:rsidR="00A46FEF" w:rsidRDefault="00A46FEF" w:rsidP="00A46FEF">
      <w:pPr>
        <w:jc w:val="both"/>
      </w:pPr>
      <w:r>
        <w:t>Číslo účtu příjemce                  : 19-1254030247/0100</w:t>
      </w:r>
    </w:p>
    <w:p w:rsidR="00A46FEF" w:rsidRDefault="00A46FEF" w:rsidP="00A46FEF">
      <w:pPr>
        <w:jc w:val="both"/>
      </w:pPr>
      <w:r>
        <w:t>Bankovní spojení zřizovatele</w:t>
      </w:r>
      <w:r>
        <w:tab/>
        <w:t xml:space="preserve">  : Česká spořitelna a.s.</w:t>
      </w:r>
    </w:p>
    <w:p w:rsidR="00A46FEF" w:rsidRDefault="00A46FEF" w:rsidP="00A46FEF">
      <w:pPr>
        <w:jc w:val="both"/>
      </w:pPr>
      <w:r>
        <w:t>Číslo účtu zřizovatele              : 1263108309/0800</w:t>
      </w:r>
    </w:p>
    <w:p w:rsidR="00A46FEF" w:rsidRDefault="00A46FEF" w:rsidP="00A46FEF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A46FEF" w:rsidRDefault="00A46FEF" w:rsidP="00A46FEF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„Výkon region</w:t>
      </w:r>
      <w:r w:rsidR="003B540F">
        <w:rPr>
          <w:b/>
        </w:rPr>
        <w:t>ální funkce knihovny v roce 2017</w:t>
      </w:r>
      <w:r>
        <w:rPr>
          <w:b/>
        </w:rPr>
        <w:t xml:space="preserve"> –</w:t>
      </w:r>
      <w:r w:rsidR="004F0299">
        <w:rPr>
          <w:b/>
        </w:rPr>
        <w:t xml:space="preserve"> Městská</w:t>
      </w:r>
      <w:r w:rsidR="00533D4B">
        <w:rPr>
          <w:b/>
        </w:rPr>
        <w:t xml:space="preserve"> knihovna Semily</w:t>
      </w:r>
      <w:r w:rsidR="004523BC" w:rsidRPr="00D55AF4">
        <w:rPr>
          <w:b/>
        </w:rPr>
        <w:t>“,</w:t>
      </w:r>
    </w:p>
    <w:p w:rsidR="003775AC" w:rsidRDefault="004523BC" w:rsidP="003775AC">
      <w:pPr>
        <w:spacing w:before="240"/>
        <w:ind w:left="360"/>
        <w:jc w:val="both"/>
      </w:pPr>
      <w:r w:rsidRPr="00D55AF4">
        <w:t xml:space="preserve">který byl schválen usnesením Zastupitelstva Libereckého kraje č. </w:t>
      </w:r>
      <w:r w:rsidR="003775AC" w:rsidRPr="003775AC">
        <w:t>82/V/16/ZK ze dne 20. 12. 2016.</w:t>
      </w:r>
    </w:p>
    <w:p w:rsidR="004523BC" w:rsidRPr="003775AC" w:rsidRDefault="004523BC" w:rsidP="003775A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3775AC">
        <w:rPr>
          <w:b/>
        </w:rPr>
        <w:t xml:space="preserve">úhrada nákladů vzniklých příjemci v souvislosti s výkonem regionálních funkcí knihoven dle zákona č. </w:t>
      </w:r>
      <w:r w:rsidR="00D55AF4" w:rsidRPr="003775AC">
        <w:rPr>
          <w:b/>
        </w:rPr>
        <w:lastRenderedPageBreak/>
        <w:t>257/2001 Sb., o knihovnách a podmínkách provozování veřejných knihovnických a informačních služeb (knihovní zákon), ve znění pozdějších</w:t>
      </w:r>
      <w:r w:rsidR="005436E1" w:rsidRPr="003775AC">
        <w:rPr>
          <w:b/>
        </w:rPr>
        <w:t xml:space="preserve"> předpisů</w:t>
      </w:r>
      <w:r w:rsidR="00D55AF4" w:rsidRPr="003775AC">
        <w:rPr>
          <w:b/>
        </w:rPr>
        <w:t>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C0A86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>Celková výše účelové neinvestiční dotace z rozpočtu Libereckého kraje může činit až   100 % z celkových způsobilých výdajů na účel</w:t>
      </w:r>
      <w:r w:rsidR="009557FF" w:rsidRPr="00EC0A86">
        <w:t xml:space="preserve"> uvedený v čl. I. odst. 1</w:t>
      </w:r>
      <w:r w:rsidR="00C13E67" w:rsidRPr="00EC0A86">
        <w:t xml:space="preserve"> a</w:t>
      </w:r>
      <w:r w:rsidR="009557FF" w:rsidRPr="00EC0A86">
        <w:t xml:space="preserve"> </w:t>
      </w:r>
      <w:r w:rsidR="00DB4023" w:rsidRPr="00EC0A86">
        <w:t xml:space="preserve">odst. </w:t>
      </w:r>
      <w:r w:rsidR="00C13E67" w:rsidRPr="00EC0A86">
        <w:t xml:space="preserve">2 </w:t>
      </w:r>
      <w:r w:rsidR="004C59E1" w:rsidRPr="00EC0A86">
        <w:t xml:space="preserve">maximálně však </w:t>
      </w:r>
      <w:r w:rsidR="00C13E67" w:rsidRPr="00EC0A86">
        <w:rPr>
          <w:b/>
        </w:rPr>
        <w:t>1.3</w:t>
      </w:r>
      <w:r w:rsidR="00533D4B" w:rsidRPr="00EC0A86">
        <w:rPr>
          <w:b/>
        </w:rPr>
        <w:t>46</w:t>
      </w:r>
      <w:r w:rsidR="004C59E1" w:rsidRPr="00EC0A86">
        <w:rPr>
          <w:b/>
        </w:rPr>
        <w:t>.000,- Kč</w:t>
      </w:r>
      <w:r w:rsidR="004C59E1" w:rsidRPr="00EC0A86">
        <w:t xml:space="preserve"> (slovy: jedenmiliontřista</w:t>
      </w:r>
      <w:r w:rsidR="00533D4B" w:rsidRPr="00EC0A86">
        <w:t>čtyřicetšest</w:t>
      </w:r>
      <w:r w:rsidR="004C59E1" w:rsidRPr="00EC0A86">
        <w:t xml:space="preserve">tisíckorunčeských). </w:t>
      </w:r>
    </w:p>
    <w:p w:rsidR="004523BC" w:rsidRPr="00EC0A86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C0A86">
        <w:rPr>
          <w:bCs/>
        </w:rPr>
        <w:t>1</w:t>
      </w:r>
      <w:r w:rsidRPr="00EC0A86">
        <w:rPr>
          <w:bCs/>
        </w:rPr>
        <w:t xml:space="preserve"> této smlouvy, bude výše dotace upravena dle </w:t>
      </w:r>
      <w:r w:rsidR="009557FF" w:rsidRPr="00EC0A86">
        <w:rPr>
          <w:bCs/>
        </w:rPr>
        <w:t>skutečných způsobilých výdajů.</w:t>
      </w:r>
    </w:p>
    <w:p w:rsidR="004523BC" w:rsidRPr="00EC0A86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>V případě, že celkové skutečné způsobilé výdaje projektu budou vyšší než celkové předpokládané způsobilé výdaje na projekt dle</w:t>
      </w:r>
      <w:r w:rsidR="009557FF" w:rsidRPr="00EC0A86">
        <w:t xml:space="preserve"> čl. II. odst. 1</w:t>
      </w:r>
      <w:r w:rsidRPr="00EC0A86">
        <w:t xml:space="preserve"> této smlouvy, hradí toto navýšení </w:t>
      </w:r>
      <w:r w:rsidR="00322C2D" w:rsidRPr="00EC0A86">
        <w:t xml:space="preserve">výdajů </w:t>
      </w:r>
      <w:r w:rsidRPr="00EC0A86">
        <w:t>příjemce dotace z vlastních zdrojů.</w:t>
      </w:r>
    </w:p>
    <w:p w:rsidR="00CA64CA" w:rsidRPr="00CA64C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C0A86">
        <w:t>Příjemci bude p</w:t>
      </w:r>
      <w:r w:rsidR="00CA64CA" w:rsidRPr="00EC0A86">
        <w:t>oskytnuta záloha ve výši max. 100</w:t>
      </w:r>
      <w:r w:rsidR="006470DC" w:rsidRPr="00EC0A86">
        <w:t xml:space="preserve"> </w:t>
      </w:r>
      <w:r w:rsidRPr="00EC0A86">
        <w:t>% z celkové přiznané dotace.</w:t>
      </w:r>
      <w:r w:rsidRPr="00EC0A86">
        <w:rPr>
          <w:snapToGrid w:val="0"/>
        </w:rPr>
        <w:t xml:space="preserve"> Finanční p</w:t>
      </w:r>
      <w:r w:rsidR="004C59E1" w:rsidRPr="00EC0A86">
        <w:rPr>
          <w:snapToGrid w:val="0"/>
        </w:rPr>
        <w:t xml:space="preserve">rostředky ve výši </w:t>
      </w:r>
      <w:r w:rsidR="00C13E67" w:rsidRPr="00EC0A86">
        <w:rPr>
          <w:snapToGrid w:val="0"/>
        </w:rPr>
        <w:t>1.3</w:t>
      </w:r>
      <w:r w:rsidR="00533D4B" w:rsidRPr="00EC0A86">
        <w:rPr>
          <w:snapToGrid w:val="0"/>
        </w:rPr>
        <w:t>46</w:t>
      </w:r>
      <w:r w:rsidR="004C59E1" w:rsidRPr="00EC0A86">
        <w:rPr>
          <w:snapToGrid w:val="0"/>
        </w:rPr>
        <w:t>.000</w:t>
      </w:r>
      <w:r w:rsidRPr="00EC0A86">
        <w:rPr>
          <w:snapToGrid w:val="0"/>
        </w:rPr>
        <w:t xml:space="preserve"> Kč budou</w:t>
      </w:r>
      <w:r w:rsidRPr="00CA64CA">
        <w:rPr>
          <w:snapToGrid w:val="0"/>
        </w:rPr>
        <w:t xml:space="preserve"> převedeny do </w:t>
      </w:r>
      <w:r w:rsidR="00A44BB7" w:rsidRPr="00CA64CA">
        <w:rPr>
          <w:snapToGrid w:val="0"/>
        </w:rPr>
        <w:t>30</w:t>
      </w:r>
      <w:r w:rsidRPr="00CA64C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976CE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31. 12. 2017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19. 2. 2018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6938D7">
        <w:t>byly příjemcem vráceny zpět na účet poskytovatele, v</w:t>
      </w:r>
      <w:r w:rsidR="00D64E20" w:rsidRPr="006938D7">
        <w:t>e lhůtě</w:t>
      </w:r>
      <w:r w:rsidRPr="006938D7">
        <w:t xml:space="preserve">  dle čl. III. odst. </w:t>
      </w:r>
      <w:r w:rsidR="00FA1A0E" w:rsidRPr="006938D7">
        <w:t>9</w:t>
      </w:r>
      <w:r w:rsidRPr="006938D7">
        <w:t>, event., k</w:t>
      </w:r>
      <w:r>
        <w:t xml:space="preserve">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EC0A86">
        <w:t>0</w:t>
      </w:r>
      <w:r w:rsidR="004C59E1" w:rsidRPr="00EC0A86">
        <w:t>77000</w:t>
      </w:r>
      <w:r w:rsidR="00533D4B" w:rsidRPr="00EC0A86">
        <w:t>45710</w:t>
      </w:r>
      <w:r w:rsidR="004C59E1" w:rsidRPr="00EC0A86">
        <w:t xml:space="preserve">. </w:t>
      </w:r>
      <w:r w:rsidRPr="00EC0A86">
        <w:t>Finanční prostředky, které musí být v souvislosti se snížením</w:t>
      </w:r>
      <w:r w:rsidR="00DB4023" w:rsidRPr="00EC0A86">
        <w:t xml:space="preserve"> výše dotace dle čl. II. odst. 2</w:t>
      </w:r>
      <w:r w:rsidRPr="00EC0A86">
        <w:t xml:space="preserve"> vráceny poskytovateli, musí příjemce zaslat nejpozději do 15 kalendářních dnů od doručení písemné výzvy poskytovatele na účet číslo</w:t>
      </w:r>
      <w:r w:rsidR="007840B7" w:rsidRPr="00EC0A86">
        <w:t xml:space="preserve"> 19-7964000277/0100</w:t>
      </w:r>
      <w:r w:rsidRPr="00EC0A86">
        <w:t xml:space="preserve">, </w:t>
      </w:r>
      <w:r w:rsidR="00DB5C73" w:rsidRPr="00EC0A86">
        <w:t xml:space="preserve">s </w:t>
      </w:r>
      <w:r w:rsidR="004C59E1" w:rsidRPr="00EC0A86">
        <w:t xml:space="preserve">variabilním symbolem č. </w:t>
      </w:r>
      <w:r w:rsidR="00030FC6" w:rsidRPr="00EC0A86">
        <w:t>0</w:t>
      </w:r>
      <w:r w:rsidR="004C59E1" w:rsidRPr="00EC0A86">
        <w:t>77000</w:t>
      </w:r>
      <w:r w:rsidR="00533D4B" w:rsidRPr="00EC0A86">
        <w:t>45710</w:t>
      </w:r>
      <w:r w:rsidR="004C59E1" w:rsidRPr="00EC0A86">
        <w:t>.</w:t>
      </w:r>
      <w:r w:rsidR="00363914" w:rsidRPr="00EC0A86">
        <w:t xml:space="preserve"> </w:t>
      </w:r>
      <w:r w:rsidRPr="00EC0A86">
        <w:t>Rozhodným dnem pro vrácení finančních prostředků výše uvedených je den, kdy je platba připsána na účet poskytovatele dotace.</w:t>
      </w:r>
      <w:r w:rsidR="009110B9" w:rsidRPr="00EC0A86">
        <w:t xml:space="preserve"> Pokud</w:t>
      </w:r>
      <w:r w:rsidR="009110B9">
        <w:t xml:space="preserve">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print screen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54BF6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</w:t>
      </w:r>
      <w:r w:rsidR="00515851">
        <w:t>v čl. III.</w:t>
      </w:r>
      <w:r w:rsidR="00257E41">
        <w:t xml:space="preserve"> odst. 16</w:t>
      </w:r>
      <w:r>
        <w:t xml:space="preserve"> písm. a. – e</w:t>
      </w:r>
      <w:r w:rsidRPr="000D530F">
        <w:t>. se uloží nižší odvod dle sazeb u</w:t>
      </w:r>
      <w:r w:rsidR="00012EA7">
        <w:t>vedených v čl. IV odst. 3.1 -3.6</w:t>
      </w:r>
      <w:r w:rsidRPr="000D530F">
        <w:t xml:space="preserve"> také v případě, pokud příjemce ještě před doručením výzvy k provedení opatření k nápravě sám dodatečně splní povinnosti uložené mu touto smlouvou. </w:t>
      </w:r>
    </w:p>
    <w:p w:rsidR="004523BC" w:rsidRPr="00EC0A86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C0A86">
        <w:t>Veškeré platby jako důsledky porušení závazků provede příjemce formou bezhotovostního převodu na účet poskytovatele</w:t>
      </w:r>
      <w:r w:rsidR="00F70DB8" w:rsidRPr="00EC0A86">
        <w:t xml:space="preserve"> č. 19-7964000277/0100 </w:t>
      </w:r>
      <w:r w:rsidR="008C0EFD" w:rsidRPr="00EC0A86">
        <w:t xml:space="preserve"> s variabilním symb</w:t>
      </w:r>
      <w:r w:rsidR="004C59E1" w:rsidRPr="00EC0A86">
        <w:t xml:space="preserve">olem č. </w:t>
      </w:r>
      <w:r w:rsidR="00583109" w:rsidRPr="00EC0A86">
        <w:t>0</w:t>
      </w:r>
      <w:r w:rsidR="004C59E1" w:rsidRPr="00EC0A86">
        <w:t>77000</w:t>
      </w:r>
      <w:r w:rsidR="00533D4B" w:rsidRPr="00EC0A86">
        <w:t>45710</w:t>
      </w:r>
      <w:r w:rsidR="00DB5C73" w:rsidRPr="00EC0A86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Pr="00B612C9">
        <w:rPr>
          <w:bCs/>
        </w:rPr>
        <w:t>Závěrečné vyúčtování/vypořádání projektu podpořeného z </w:t>
      </w:r>
      <w:r w:rsidR="00B612C9">
        <w:rPr>
          <w:bCs/>
        </w:rPr>
        <w:t>rozpočtu</w:t>
      </w:r>
      <w:r w:rsidRPr="00B612C9">
        <w:rPr>
          <w:bCs/>
        </w:rPr>
        <w:t xml:space="preserve"> Libereckého kraje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533D4B">
        <w:t>Mgr. Jitka Šedinová</w:t>
      </w:r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4523BC">
        <w:t xml:space="preserve">      </w:t>
      </w:r>
    </w:p>
    <w:p w:rsidR="00623695" w:rsidRDefault="00623695" w:rsidP="00B36C0D"/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623695" w:rsidRDefault="00C73F88" w:rsidP="00623695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4E70F5" w:rsidP="009F29BA">
            <w:pPr>
              <w:autoSpaceDE w:val="0"/>
              <w:autoSpaceDN w:val="0"/>
              <w:rPr>
                <w:b/>
              </w:rPr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</w:t>
            </w:r>
            <w:r w:rsidR="004C59E1">
              <w:rPr>
                <w:b/>
              </w:rPr>
              <w:t>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D752AE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4E70F5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B612C9" w:rsidRDefault="00B612C9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Cs/>
              </w:rPr>
              <w:t>............... 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F56D7E" w:rsidRDefault="00C73F88" w:rsidP="00F56D7E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  <w:bookmarkStart w:id="0" w:name="_GoBack"/>
      <w:bookmarkEnd w:id="0"/>
    </w:p>
    <w:sectPr w:rsidR="00C73F88" w:rsidRPr="00F56D7E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E" w:rsidRDefault="00311ECE">
      <w:r>
        <w:separator/>
      </w:r>
    </w:p>
  </w:endnote>
  <w:endnote w:type="continuationSeparator" w:id="0">
    <w:p w:rsidR="00311ECE" w:rsidRDefault="0031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881800"/>
      <w:docPartObj>
        <w:docPartGallery w:val="Page Numbers (Bottom of Page)"/>
        <w:docPartUnique/>
      </w:docPartObj>
    </w:sdtPr>
    <w:sdtEndPr/>
    <w:sdtContent>
      <w:p w:rsidR="00E64BC8" w:rsidRDefault="00E64B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D7E">
          <w:rPr>
            <w:noProof/>
          </w:rPr>
          <w:t>7</w:t>
        </w:r>
        <w:r>
          <w:fldChar w:fldCharType="end"/>
        </w:r>
      </w:p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E" w:rsidRDefault="00311ECE">
      <w:r>
        <w:separator/>
      </w:r>
    </w:p>
  </w:footnote>
  <w:footnote w:type="continuationSeparator" w:id="0">
    <w:p w:rsidR="00311ECE" w:rsidRDefault="0031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21" w:rsidRDefault="004C1621" w:rsidP="004C1621">
    <w:pPr>
      <w:pStyle w:val="Zhlav"/>
      <w:jc w:val="right"/>
    </w:pPr>
    <w:r>
      <w:t>021_P02</w:t>
    </w:r>
  </w:p>
  <w:p w:rsidR="004C1621" w:rsidRDefault="004C16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2799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3BAB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1ECE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1621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4F0299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3D4B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38D7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270E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2864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3F39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105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46FE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4BC8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4B0C"/>
    <w:rsid w:val="00E87E71"/>
    <w:rsid w:val="00E9285D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0A86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5F0A"/>
    <w:rsid w:val="00F56C23"/>
    <w:rsid w:val="00F56D7E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5DA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DD74-5C7C-4694-9D9B-231C8C21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2710</Words>
  <Characters>15990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7</cp:revision>
  <cp:lastPrinted>2017-02-13T15:42:00Z</cp:lastPrinted>
  <dcterms:created xsi:type="dcterms:W3CDTF">2017-01-31T11:08:00Z</dcterms:created>
  <dcterms:modified xsi:type="dcterms:W3CDTF">2017-02-13T15:45:00Z</dcterms:modified>
</cp:coreProperties>
</file>