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95" w:rsidRPr="002A3F95" w:rsidRDefault="003F733D" w:rsidP="002A3F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P01 - </w:t>
      </w:r>
      <w:r w:rsidR="002A3F95" w:rsidRPr="002A3F95">
        <w:rPr>
          <w:rFonts w:ascii="Times New Roman" w:eastAsia="Times New Roman" w:hAnsi="Times New Roman" w:cs="Times New Roman"/>
          <w:b/>
          <w:lang w:eastAsia="cs-CZ"/>
        </w:rPr>
        <w:t>Příl</w:t>
      </w:r>
      <w:r w:rsidR="00732DB0">
        <w:rPr>
          <w:rFonts w:ascii="Times New Roman" w:eastAsia="Times New Roman" w:hAnsi="Times New Roman" w:cs="Times New Roman"/>
          <w:b/>
          <w:lang w:eastAsia="cs-CZ"/>
        </w:rPr>
        <w:t>oha č. 1 - P01_vyhlaseni_6_1_RK</w:t>
      </w:r>
    </w:p>
    <w:p w:rsidR="002A3F95" w:rsidRPr="002A3F95" w:rsidRDefault="002A3F95" w:rsidP="002A3F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2A3F95" w:rsidRPr="002A3F95" w:rsidRDefault="002A3F95" w:rsidP="002A3F95">
      <w:pPr>
        <w:autoSpaceDE w:val="0"/>
        <w:autoSpaceDN w:val="0"/>
        <w:spacing w:after="0" w:line="240" w:lineRule="auto"/>
        <w:ind w:right="-288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A3F95">
        <w:rPr>
          <w:rFonts w:ascii="Times New Roman" w:eastAsia="Times New Roman" w:hAnsi="Times New Roman" w:cs="Times New Roman"/>
          <w:b/>
          <w:bCs/>
          <w:lang w:eastAsia="cs-CZ"/>
        </w:rPr>
        <w:t>Program 6.1 Rozvoj cyklistické dopravy</w:t>
      </w:r>
    </w:p>
    <w:p w:rsidR="002A3F95" w:rsidRPr="002A3F95" w:rsidRDefault="002A3F95" w:rsidP="002A3F95">
      <w:pPr>
        <w:autoSpaceDE w:val="0"/>
        <w:autoSpaceDN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A3F95" w:rsidRPr="002A3F95" w:rsidRDefault="002A3F95" w:rsidP="002A3F95">
      <w:pPr>
        <w:autoSpaceDE w:val="0"/>
        <w:autoSpaceDN w:val="0"/>
        <w:spacing w:after="0" w:line="240" w:lineRule="auto"/>
        <w:ind w:right="-288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A3F95">
        <w:rPr>
          <w:rFonts w:ascii="Times New Roman" w:eastAsia="Times New Roman" w:hAnsi="Times New Roman" w:cs="Times New Roman"/>
          <w:b/>
          <w:bCs/>
          <w:lang w:eastAsia="cs-CZ"/>
        </w:rPr>
        <w:t>Vyhlášení programu k předkládání žádostí o dotaci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854"/>
        <w:gridCol w:w="1253"/>
        <w:gridCol w:w="2513"/>
        <w:gridCol w:w="2330"/>
      </w:tblGrid>
      <w:tr w:rsidR="002A3F95" w:rsidRPr="002A3F95" w:rsidTr="008E07DB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Číslo a název oblasti podpory: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6. Doprava</w:t>
            </w:r>
          </w:p>
        </w:tc>
      </w:tr>
      <w:tr w:rsidR="002A3F95" w:rsidRPr="002A3F95" w:rsidTr="008E07DB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Číslo a název programu: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6.1 Rozvoj cyklistické dopravy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Účel podpory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Podpora výstavby a opravy komunikací pro cyklodopravu </w:t>
            </w: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>strategických směrů cyklodopravy LK</w:t>
            </w:r>
            <w:r w:rsidR="004938E5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(Cyklotrasa Odra Nisa, Greenway Jizera, Zelená cyklomagistrála Ploučnice, Cyklostezka sv. Zdislavy, Cyklostezka Varhany)</w:t>
            </w:r>
            <w:r w:rsidR="004938E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a záměrů segregované infrastruktury cyklodopravy.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Důvody podpory stanoveného účelu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Zvýšení bezpečnosti bezmotorové dopravy, podpora rozvoje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cyklodopravy.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Správce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Odbor dopravy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osoby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>Ing. Iveta Moravcová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(e-mail: </w:t>
            </w:r>
            <w:hyperlink r:id="rId6" w:history="1">
              <w:r w:rsidRPr="002A3F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iveta.moravcova@kraj-lbc.cz</w:t>
              </w:r>
            </w:hyperlink>
            <w:r w:rsidRPr="002A3F95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 xml:space="preserve">,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tel: 485 226 589)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Odkaz na webové stránky oblasti podpory /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C740CB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hyperlink r:id="rId7" w:history="1">
              <w:r w:rsidR="002A3F95" w:rsidRPr="002A3F95">
                <w:rPr>
                  <w:rFonts w:ascii="Times New Roman" w:eastAsia="Times New Roman" w:hAnsi="Times New Roman" w:cs="Times New Roman"/>
                  <w:b/>
                  <w:bCs/>
                  <w:color w:val="0070C0"/>
                </w:rPr>
                <w:t>www.kraj-lbc.cz/dotacni_fond_LK</w:t>
              </w:r>
            </w:hyperlink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Den zveřejnění programu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1) web Libereckého kraje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2) úřední deska způsobem umožňujícím dálkový přístup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1. 3. 2017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Lhůta pro podání žádosti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1.4. – 25. 4. 2017, do 14.00 hod.</w:t>
            </w:r>
          </w:p>
        </w:tc>
      </w:tr>
      <w:tr w:rsidR="002A3F95" w:rsidRPr="002A3F95" w:rsidTr="008E07DB">
        <w:tc>
          <w:tcPr>
            <w:tcW w:w="337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Celkový finanční objem určený pro toto vyhlášení programu </w:t>
            </w:r>
          </w:p>
        </w:tc>
        <w:tc>
          <w:tcPr>
            <w:tcW w:w="60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5.000.000 Kč</w:t>
            </w:r>
          </w:p>
        </w:tc>
      </w:tr>
      <w:tr w:rsidR="002A3F95" w:rsidRPr="002A3F95" w:rsidTr="00E96461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Výše dotace a způsobilost výdajů programu</w:t>
            </w:r>
          </w:p>
        </w:tc>
      </w:tr>
      <w:tr w:rsidR="002A3F95" w:rsidRPr="002A3F95" w:rsidTr="00E96461">
        <w:trPr>
          <w:trHeight w:val="185"/>
        </w:trPr>
        <w:tc>
          <w:tcPr>
            <w:tcW w:w="33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Minimální výše dotace (v Kč)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400.000 Kč</w:t>
            </w:r>
          </w:p>
        </w:tc>
      </w:tr>
      <w:tr w:rsidR="002A3F95" w:rsidRPr="002A3F95" w:rsidTr="00E96461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Maximální výše dotace (v Kč)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561F2A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</w:t>
            </w:r>
            <w:r w:rsidR="002A3F95"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.000.000 Kč</w:t>
            </w:r>
          </w:p>
        </w:tc>
      </w:tr>
      <w:tr w:rsidR="002A3F95" w:rsidRPr="002A3F95" w:rsidTr="00E96461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Maximální výše dotace kraje ze způsobilých výdajů (v %)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Dotace bude poskytnuta až do výše 70% z celkových způsobilých výdajů projektu, avšak maximálně 5.000.000 Kč</w:t>
            </w:r>
          </w:p>
        </w:tc>
      </w:tr>
      <w:tr w:rsidR="002A3F95" w:rsidRPr="002A3F95" w:rsidTr="00E96461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Maximální počet žádostí, které může podat jeden žadatel v této výzvě do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1</w:t>
            </w:r>
          </w:p>
        </w:tc>
      </w:tr>
      <w:tr w:rsidR="002A3F95" w:rsidRPr="002A3F95" w:rsidTr="00E96461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Způsobilé výdaje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Náklady související s vlastní realizací účelu podpory, k naplnění parametrů projektu (výstavba, oprava komunikace pro cyklodopravu)</w:t>
            </w:r>
          </w:p>
          <w:p w:rsidR="002A3F95" w:rsidRPr="002A3F95" w:rsidRDefault="002A3F95" w:rsidP="002A3F95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V případě provedení opravy komunikací pro cyklodopravu odpovídají způsobilé výdaje Vyhlášce Ministerstva dopravy a spojů 104/1997 Sb, kterou se provádí zákon o pozemních komunikacích, </w:t>
            </w:r>
            <w:r w:rsidR="00BA2599"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§</w:t>
            </w:r>
            <w:r w:rsidR="00BA2599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9, specifikace </w:t>
            </w:r>
            <w:r w:rsidR="00BA2599"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r w:rsidR="00BA2599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příloze č. </w:t>
            </w:r>
            <w:r w:rsidR="00BA2599">
              <w:rPr>
                <w:rFonts w:ascii="Times New Roman" w:eastAsia="Times New Roman" w:hAnsi="Times New Roman" w:cs="Times New Roman"/>
                <w:lang w:eastAsia="cs-CZ"/>
              </w:rPr>
              <w:t>5 vyhlášky</w:t>
            </w:r>
            <w:r w:rsidR="00BA2599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– bod 3. Opravy</w:t>
            </w:r>
            <w:r w:rsidR="00BA2599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="00BA2599" w:rsidRPr="002A3F95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BA2599">
              <w:rPr>
                <w:rFonts w:ascii="Times New Roman" w:eastAsia="Times New Roman" w:hAnsi="Times New Roman" w:cs="Times New Roman"/>
                <w:lang w:eastAsia="cs-CZ"/>
              </w:rPr>
              <w:t> P01_P01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TDI</w:t>
            </w:r>
          </w:p>
          <w:p w:rsidR="002A3F95" w:rsidRPr="002A3F95" w:rsidRDefault="002A3F95" w:rsidP="002A3F95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BOZP</w:t>
            </w:r>
          </w:p>
          <w:p w:rsidR="002A3F95" w:rsidRPr="002A3F95" w:rsidRDefault="002A3F95" w:rsidP="002A3F95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Autorský dozor</w:t>
            </w:r>
          </w:p>
        </w:tc>
      </w:tr>
      <w:tr w:rsidR="002A3F95" w:rsidRPr="002A3F95" w:rsidTr="00E96461">
        <w:trPr>
          <w:trHeight w:val="2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Nezpůsobilé výdaje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DPH, o jejíž vrácení má příjemce právo zpětně žádat. 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Náklady, u kterých nelze prokázat jejich přímý vztah k realizaci účelu podpory.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Výkupy pozemků.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Náklady související s věcnými břemeny.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Náklady za projektovou a inženýrskou činnost.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Další majetkové činnosti.</w:t>
            </w:r>
          </w:p>
          <w:p w:rsidR="002A3F95" w:rsidRPr="002A3F95" w:rsidRDefault="002A3F95" w:rsidP="002A3F95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Souvislá a běžná údržba komunikací pro cyklodopravu</w:t>
            </w:r>
          </w:p>
        </w:tc>
      </w:tr>
      <w:tr w:rsidR="002A3F95" w:rsidRPr="002A3F95" w:rsidTr="00E96461">
        <w:tc>
          <w:tcPr>
            <w:tcW w:w="94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3F95" w:rsidRPr="002A3F95" w:rsidRDefault="002A3F95" w:rsidP="002A3F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2A3F95" w:rsidRPr="002A3F95" w:rsidTr="00E96461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Ostatní podmínky programu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Okruh způsobilých žadatelů: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Obce, dobrovolné svazky obcí, zájmová sdružení právnických osob, mikroregiony.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Omezení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Realizace projektu pouze na území Libereckého kraje nebo jeho realizace bude pro kraj přínosem.</w:t>
            </w:r>
          </w:p>
          <w:p w:rsidR="002A3F95" w:rsidRPr="002A3F95" w:rsidRDefault="002A3F95" w:rsidP="002A3F95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Podpořeny budou pouze projekty zahrnující realizaci a opravu strategických směrů cyklodopravy </w:t>
            </w:r>
            <w:r w:rsidR="004938E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a záměrů segregované infrastruktury cyklodopravy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v Libereckém kraji, definované v koncepčním dokumentu „Program rozvoje cyklistické dopravy v Libereckém kraji 2014 – 2020“ schválený usnesením 204/15/ZK ze dne 26. 5. 2015 – </w:t>
            </w:r>
            <w:r w:rsidR="00E87363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P06 -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příloha č. </w:t>
            </w:r>
            <w:r w:rsidR="00E87363">
              <w:rPr>
                <w:rFonts w:ascii="Times New Roman" w:eastAsia="Times New Roman" w:hAnsi="Times New Roman" w:cs="Times New Roman"/>
                <w:b/>
                <w:lang w:eastAsia="cs-CZ"/>
              </w:rPr>
              <w:t>6</w:t>
            </w:r>
            <w:r w:rsidR="004938E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– aktuální stav 01/2017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.</w:t>
            </w:r>
          </w:p>
          <w:p w:rsidR="002A3F95" w:rsidRPr="002A3F95" w:rsidRDefault="002A3F95" w:rsidP="002A3F95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Projekty budou posouzeny z hlediska možného poskytnutí finančních prostředků dle Nařízení Evropské komise č. 1407/2013 o použití článků 107 a 108 Smlouvy na podporu de minimis.</w:t>
            </w:r>
          </w:p>
          <w:p w:rsidR="00B24FAA" w:rsidRDefault="002A3F95" w:rsidP="002A3F95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Žadatel může použít na realizaci projektu i více dotačních zdrojů, kromě jiného krajského zdroje LK.</w:t>
            </w:r>
          </w:p>
          <w:p w:rsidR="002A3F95" w:rsidRPr="002A3F95" w:rsidRDefault="00B24FAA" w:rsidP="002A3F95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Způsobilými jsou žadatelé, kteří jsou zapsáni ve veřejném rejstříku v souladu se zákonem č.89/2012 Sb., občanský zákoník a v souladu se zákonem č. 304/2013 Sb., o veřejných rejstřících právnických a fyzických osob.</w:t>
            </w:r>
            <w:r w:rsidR="002A3F95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Forma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účelová neinvestiční i investiční dotace (transfer)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Termín realizace aktivit: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Od 1. ledna 2017 do 30. prosince 2018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Žádost o poskytnutí dotace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předkládá žadatel na příslušném formuláři prostřednictvím webové stránky kraje v elektronické podobě. Originál žádosti současně zasílá do datové schránky kraje s ověřeným elektronickým podpisem nebo podepsaný v tištěné podobě na adresu Krajského úřadu Libereckého kraje </w:t>
            </w: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 25. dubna 2016, 14.00 hod.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Elektronicky prostřednictvím webových stránek</w:t>
            </w:r>
            <w:r w:rsidRPr="002A3F95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Libereckého kraje</w:t>
            </w:r>
            <w:r w:rsidRPr="002A3F95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 xml:space="preserve"> </w:t>
            </w:r>
            <w:hyperlink r:id="rId8" w:history="1">
              <w:r w:rsidRPr="002A3F95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www.kraj-lbc.cz/dotacni_fond_LK</w:t>
              </w:r>
            </w:hyperlink>
            <w:r w:rsidRPr="002A3F9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zaslat Formulář žádosti o dotaci z DF LK. Povinné přílohy formuláře žádosti nejsou v elektronické podobě vyžadovány.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Písemně na adresu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Krajský úřad Libereckého kraje, odbor dopravy, U Jezu 642/2a, 461 80 Liberec </w:t>
            </w:r>
            <w:r w:rsidRPr="002A3F9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nebo osobně do podatelny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KÚ LK v zalepených obálkách s označením „DOTACE DOPRAVA“ doručit:</w:t>
            </w:r>
          </w:p>
          <w:p w:rsidR="002A3F95" w:rsidRPr="002A3F95" w:rsidRDefault="002A3F95" w:rsidP="002A3F9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Formulář žádosti o dotaci z DF LK podepsaný statutárním zástupcem.</w:t>
            </w:r>
          </w:p>
          <w:p w:rsidR="002A3F95" w:rsidRPr="002A3F95" w:rsidRDefault="002A3F95" w:rsidP="002A3F9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Všechny povinné přílohy formuláře žádosti.</w:t>
            </w:r>
          </w:p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Písemné odeslání lze nahradit odesláním prostřednictvím datové schránky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(u orgánů veřejné moci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s elektronickým podpisem statutárního zástupce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.  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Povinné přílohy k žádosti: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Povinné přílohy formuláře žádosti (pouze písemně):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Textová část popisu projektu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(věcný popis projektu včetně již realizovaných aktivit a případných vazeb na další aktivity v území, výstupy řešení – výstavba</w:t>
            </w:r>
            <w:r w:rsidR="004938E5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oprava komunikací pro cyklodopravu, předpokládaný časový harmonogram projektu) podepsaný statutárním zástupcem – formulář v</w:t>
            </w:r>
            <w:r w:rsidR="00E87363">
              <w:rPr>
                <w:rFonts w:ascii="Times New Roman" w:eastAsia="Times New Roman" w:hAnsi="Times New Roman" w:cs="Times New Roman"/>
                <w:lang w:eastAsia="cs-CZ"/>
              </w:rPr>
              <w:t xml:space="preserve"> P01_P04 -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příloze č. 4. 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Mapový zákres řešeného území – situace.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Čestné prohlášení žadatele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(na předepsaném formuláři) v souladu s čl. 1, odst. 7 Zásad pro poskytování finanční podpory z rozpočtu Libereckého kraje. 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Úředně ověřená kopie či originál oprávnění jednat jménem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žadatele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(např. doklad o jmenování či volbě statutárního zástupce, plná moc s úředně ověřeným podpisem zmocnitele), ověření nesmí být starší než 90 dní, nemusí být dodán, pokud lze ověřit v registrech.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Kopie dokladu o právní subjektivitě žadatele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(vyjma obcí). Výpisy a doklady podobné povahy nesmí být starší než 90 dní.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Kopie stanov/zakládací listiny.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Kopie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dokladu o zřízení bankovního účtu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Kopii stavebního povolení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(stavebního ohlášení) pro danou akci ve smyslu zákona č., 183/2006 Sb., o územním plánování a stavebního řádu (stavební zákon), v platném znění a ve smyslu zákona č. 13/1997Sb. a vyhlášky č. 104/1997 Sb., v případech, kdy to charakter akce vyžaduje, </w:t>
            </w:r>
          </w:p>
          <w:p w:rsidR="002A3F95" w:rsidRPr="002A3F95" w:rsidRDefault="002A3F95" w:rsidP="002A3F95">
            <w:pPr>
              <w:numPr>
                <w:ilvl w:val="0"/>
                <w:numId w:val="2"/>
              </w:numPr>
              <w:tabs>
                <w:tab w:val="num" w:pos="650"/>
              </w:tabs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V případě umisťování dopravního značení cyklotras -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kopii zpracované projektové dokumentace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- Stanovení místní úpravy provozu na pozemních komunikacích vydané příslušným úřadem obce s rozšířenou působností, který je vydá po předchozím souhlasu Policie ČR.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Žadatel, se kterým byla již uzavřena smlouva o poskytnutí dotace v minulém období, a kterou doložil požadovanými přílohami, předloží pouze čestné prohlášení o platnosti dříve dodaných požadovaných příloh. Samostatně pak bude dokládat pouze přílohy, jejichž obsah již není aktuální nebo jim skončila platnost. Přílohy, které správce programu požaduje k podpisu smlouvy a lze je získat z registrů, se po žadatelích nevyžadují vůbec, a správce programu má povinnost opatřit si je sám.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Vazba projektu na další aktivity v území: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</w:t>
            </w: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20% váha kritéria</w:t>
            </w:r>
            <w:r w:rsidRPr="002A3F9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cs-CZ"/>
              </w:rPr>
              <w:t xml:space="preserve"> </w:t>
            </w:r>
          </w:p>
          <w:p w:rsidR="002A3F95" w:rsidRPr="002A3F95" w:rsidRDefault="002A3F95" w:rsidP="002A3F95">
            <w:pPr>
              <w:numPr>
                <w:ilvl w:val="2"/>
                <w:numId w:val="3"/>
              </w:numPr>
              <w:tabs>
                <w:tab w:val="num" w:pos="0"/>
              </w:tabs>
              <w:suppressAutoHyphens/>
              <w:autoSpaceDE w:val="0"/>
              <w:autoSpaceDN w:val="0"/>
              <w:spacing w:after="0" w:line="240" w:lineRule="auto"/>
              <w:ind w:left="317" w:hanging="576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a)   projekt  přímo navazuje na právě realizovaný či v posledních  dvou  letech zrealizovaný projekt či aktivitu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                                                10 bodů</w:t>
            </w:r>
          </w:p>
          <w:p w:rsidR="002A3F95" w:rsidRPr="002A3F95" w:rsidRDefault="002A3F95" w:rsidP="002A3F95">
            <w:pPr>
              <w:numPr>
                <w:ilvl w:val="0"/>
                <w:numId w:val="3"/>
              </w:numPr>
              <w:tabs>
                <w:tab w:val="num" w:pos="34"/>
                <w:tab w:val="num" w:pos="459"/>
              </w:tabs>
              <w:suppressAutoHyphens/>
              <w:autoSpaceDE w:val="0"/>
              <w:autoSpaceDN w:val="0"/>
              <w:spacing w:after="0" w:line="240" w:lineRule="auto"/>
              <w:ind w:left="317" w:hanging="1035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  projekt přímo nenavazuje na žádný právě realizovaný či v posledních  dvou        letech zrealizovaný projekt či aktivitu, ale žadatel plánuje další aktivity v území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                                                                                             5 bodů</w:t>
            </w:r>
          </w:p>
          <w:p w:rsidR="002A3F95" w:rsidRPr="002A3F95" w:rsidRDefault="002A3F95" w:rsidP="002A3F95">
            <w:pPr>
              <w:numPr>
                <w:ilvl w:val="0"/>
                <w:numId w:val="3"/>
              </w:numPr>
              <w:tabs>
                <w:tab w:val="num" w:pos="317"/>
              </w:tabs>
              <w:suppressAutoHyphens/>
              <w:autoSpaceDE w:val="0"/>
              <w:autoSpaceDN w:val="0"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jedná se o izolovaný projekt bez dalších vazeb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                      0 bodů</w:t>
            </w:r>
          </w:p>
          <w:p w:rsidR="002A3F95" w:rsidRPr="002A3F95" w:rsidRDefault="002A3F95" w:rsidP="002A3F95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A3F95" w:rsidRPr="002A3F95" w:rsidRDefault="002A3F95" w:rsidP="002A3F9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Výše spolufinancování projektu ze strany kraje:             30% váha kritéria</w:t>
            </w:r>
          </w:p>
          <w:p w:rsidR="002A3F95" w:rsidRPr="002A3F95" w:rsidRDefault="002A3F95" w:rsidP="002A3F95">
            <w:pPr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a)  do 30% včetně z celkových způsobilých výdajů projektu                          15 bodů </w:t>
            </w:r>
          </w:p>
          <w:p w:rsidR="002A3F95" w:rsidRPr="002A3F95" w:rsidRDefault="002A3F95" w:rsidP="002A3F95">
            <w:pPr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b)  více jak 30% - 50% včetně z celkových způsobilých výdajů projektu       7 bodů                                                                      </w:t>
            </w:r>
          </w:p>
          <w:p w:rsidR="002A3F95" w:rsidRPr="002A3F95" w:rsidRDefault="002A3F95" w:rsidP="002A3F95">
            <w:pPr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  více jak 50% - 70% včetně z celkových  způsobilých výdajů projektu      0 bodů</w:t>
            </w:r>
          </w:p>
          <w:p w:rsidR="002A3F95" w:rsidRPr="002A3F95" w:rsidRDefault="002A3F95" w:rsidP="002A3F95">
            <w:pPr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2A3F95" w:rsidRPr="002A3F95" w:rsidRDefault="002A3F95" w:rsidP="002A3F9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370" w:hanging="3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Význam projektu z hlediska dopadu na území:           </w:t>
            </w:r>
            <w:r w:rsidR="00722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</w:t>
            </w: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5% váha kritéria                                                                         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  <w:r w:rsidRPr="002A3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 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projekt regionálního (celokrajského) významu                                         15 bodů             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   projekt nadregionálního významu                                                             10 bodů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c)   projekt  mikroregionálního významu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                                    5 bodů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   projekt místního významu                                                                           0 bodů</w:t>
            </w:r>
          </w:p>
          <w:p w:rsidR="002A3F95" w:rsidRPr="002A3F95" w:rsidRDefault="002A3F95" w:rsidP="002A3F9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A3F95" w:rsidRPr="002A3F95" w:rsidRDefault="002A3F95" w:rsidP="002A3F9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Vazba projektu na rozvoj venkovských oblastí kraje :   20% váha kritéria</w:t>
            </w:r>
            <w:r w:rsidRPr="002A3F9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cs-CZ"/>
              </w:rPr>
              <w:t xml:space="preserve">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  <w:r w:rsidRPr="002A3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 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projekt  je realizován  zcela  ve venkovské oblasti                                   15 bodů             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   projekt  je realizován  převážně  ve  venkovské oblasti                              7 bodů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c)   projekt  je realizován v ostatních oblastech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                       0 bodů</w:t>
            </w:r>
          </w:p>
          <w:p w:rsidR="002A3F95" w:rsidRPr="002A3F95" w:rsidRDefault="002A3F95" w:rsidP="002A3F9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A3F95" w:rsidRPr="002A3F95" w:rsidRDefault="002A3F95" w:rsidP="002A3F9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Rozlišení podpory výstavby a opravy komunikací pro cyklodopravu  :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</w:t>
            </w:r>
            <w:r w:rsidRPr="002A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25% váha kritéria</w:t>
            </w:r>
            <w:r w:rsidRPr="002A3F9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cs-CZ"/>
              </w:rPr>
              <w:t xml:space="preserve">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  <w:r w:rsidRPr="002A3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  </w:t>
            </w: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výstavba   komunikací pro cyklodopravu                                                  15 bodů                                                                         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   oprava komunikací pro cyklodopravu                                                         0 bodů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                                    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H. 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Lhůty pro rozhodnutí o žádosti: 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Odbor dopravy,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Ing. Iveta Moravcová (</w:t>
            </w:r>
            <w:hyperlink r:id="rId9" w:history="1">
              <w:r w:rsidRPr="002A3F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iveta.moravcova@kraj-</w:t>
              </w:r>
              <w:r w:rsidRPr="002A3F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lastRenderedPageBreak/>
                <w:t>lbc.cz</w:t>
              </w:r>
            </w:hyperlink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, 485 226 589)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do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. dubna 2017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vMerge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Odbor dopravy,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V elektronické podobě přes webové stránky Libereckého kraje </w:t>
            </w:r>
            <w:r w:rsidRPr="00A93CB8">
              <w:rPr>
                <w:rFonts w:ascii="Times New Roman" w:eastAsia="Times New Roman" w:hAnsi="Times New Roman" w:cs="Times New Roman"/>
                <w:lang w:eastAsia="cs-CZ"/>
              </w:rPr>
              <w:t>(http://krajsky-urad.kraj-lbc.cz/page4010)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Podepsaný originál včetně všech příloh přes datovou schránku či v tištěné podobě na podatelnu KÚ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od 1. dubna 2017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do 25. dubna 2017,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>14.00 hod.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vMerge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Odbor dopravy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duben 2017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vMerge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Výbor dopravy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květen 2017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vMerge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červen 2017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vMerge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Zastupitelstvo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červen 2017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Oznámení o schválení /neschválení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písemně do 15 dnů po ověření usnesení zastupitelstva kraje 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Veřejnoprávní smlouva o poskytnutí účelové dotace z DF LK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K.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Způsob financování: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Finanční</w:t>
            </w: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prostředky mohou být zaslány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až po uzavření příslušné veřejnoprávní smlouvy mezi příjemcem dotace a Libereckým krajem dle podmínek veřejnoprávní smlouvy a podmínek daného programu.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Úhrada prokázaných uznatelných nákladů v souladu s termínem realizace projektu uvedeným v uzavřené veřejnoprávní smlouvě (za způsobilé výdaje projektu se považují i výdaje, které vzniknou před uzavřením smlouvy, nejdříve však od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1. 1. 2017).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Finanční prostředky mohou být zaslány následujícími způsoby:</w:t>
            </w:r>
          </w:p>
          <w:p w:rsidR="002A3F95" w:rsidRPr="002A3F95" w:rsidRDefault="002A3F95" w:rsidP="002A3F95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po závěrečném vyúčtování projektu,</w:t>
            </w:r>
          </w:p>
          <w:p w:rsidR="002A3F95" w:rsidRPr="00674581" w:rsidRDefault="002A3F95" w:rsidP="00674581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674581">
              <w:rPr>
                <w:rFonts w:ascii="Times New Roman" w:eastAsia="Times New Roman" w:hAnsi="Times New Roman" w:cs="Times New Roman"/>
                <w:lang w:eastAsia="cs-CZ"/>
              </w:rPr>
              <w:t xml:space="preserve">zálohovou platbou do maximální výše </w:t>
            </w:r>
            <w:r w:rsidRPr="00674581">
              <w:rPr>
                <w:rFonts w:ascii="Times New Roman" w:eastAsia="Times New Roman" w:hAnsi="Times New Roman" w:cs="Times New Roman"/>
                <w:b/>
                <w:lang w:eastAsia="cs-CZ"/>
              </w:rPr>
              <w:t>50 %</w:t>
            </w:r>
            <w:r w:rsidRPr="00674581">
              <w:rPr>
                <w:rFonts w:ascii="Times New Roman" w:eastAsia="Times New Roman" w:hAnsi="Times New Roman" w:cs="Times New Roman"/>
                <w:lang w:eastAsia="cs-CZ"/>
              </w:rPr>
              <w:t xml:space="preserve"> přiznané dotace na základě podmínek stanovených v uzavřené veřejnoprávní smlouvě o poskytnutí dotace</w:t>
            </w:r>
            <w:r w:rsidR="00674581" w:rsidRPr="00674581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r w:rsidR="00674581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příjemce o zálohu musí </w:t>
            </w:r>
            <w:r w:rsidR="00674581" w:rsidRPr="00674581">
              <w:rPr>
                <w:rFonts w:ascii="Times New Roman" w:hAnsi="Times New Roman" w:cs="Times New Roman"/>
                <w:snapToGrid w:val="0"/>
                <w:color w:val="000000" w:themeColor="text1"/>
              </w:rPr>
              <w:t>písemně požád</w:t>
            </w:r>
            <w:r w:rsidR="00674581">
              <w:rPr>
                <w:rFonts w:ascii="Times New Roman" w:hAnsi="Times New Roman" w:cs="Times New Roman"/>
                <w:snapToGrid w:val="0"/>
                <w:color w:val="000000" w:themeColor="text1"/>
              </w:rPr>
              <w:t>at)</w:t>
            </w:r>
            <w:r w:rsidRPr="00674581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.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L.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Podmínky vyúčtování: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Dotovaný projekt musí být vyúčtován do 50 kalendářních dnů po ukončení realizace projektu v souladu s podmínkami uvedenými v uzavřené veřejnoprávní smlouvě o poskytnutí dotace, a to formou závěrečného vyúčtování a závěrečné zprávy o realizaci projektu na příslušných formulářích.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Ukončením realizace projektu se rozumí  předčasné užívání stavby. 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Ukončení realizace projektu je stvrzeno předáním protokolu k předčasnému užívání stavby, tento doklad se v kopii dokládá k vyúčtování.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 případě, že příjemce dotace nemůže pře</w:t>
            </w:r>
            <w:r w:rsidR="008E07DB">
              <w:rPr>
                <w:rFonts w:ascii="Times New Roman" w:eastAsia="Times New Roman" w:hAnsi="Times New Roman" w:cs="Times New Roman"/>
                <w:lang w:eastAsia="cs-CZ"/>
              </w:rPr>
              <w:t xml:space="preserve">dložit závěrečné vyúčtování do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12. 12. běžného roku je správce programu povinen požadovat 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předložení průběžné zprávy o realizaci projektu k 31. 12. příjemcem, s výjimkou projektů, které končí do 31.12 daného roku, a to v rozsahu a termínu stanoveném podmínkami programu nebo smlouvou o poskytnutí dotace. Průběžnou zprávu také nemusí předkládat příjemce, kterému je celková výše dotace proplacena až po závěrečném vyúčtování projektu (tzv. ex – post).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V případě, že je projekt zrealizován před uzavřením veřejnoprávní smlouvy o poskytnutí dotace, musí být vyúčtován do termínu uvedeného v uzavřené veřejnoprávní smlouvě, nejdéle však do 50 kalendářních dnů od nabytí účinnosti veřejnoprávní smlouvy. </w:t>
            </w:r>
          </w:p>
        </w:tc>
      </w:tr>
      <w:tr w:rsidR="002A3F95" w:rsidRPr="002A3F95" w:rsidTr="00E9646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M.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Ostatní:</w:t>
            </w:r>
          </w:p>
          <w:p w:rsidR="002A3F95" w:rsidRPr="002A3F95" w:rsidRDefault="002A3F95" w:rsidP="002A3F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Z programu budou podpořeni jednotliví žadatelé podle výše dosaženého bodového hodnocení maximálně do výše celkové alokované částky určené na program.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ar-SA"/>
              </w:rPr>
              <w:t>Správce programu je oprávněn v rámci hodnocení administrativního souladu s vyhlášeným programem ponížit celkové výdaje uvedené v žádosti o dotaci o případné nezpůsobilé výdaje (aktivity). V případě snížení celkových výdajů o nezpůsobilé výdaje je pro výpočet nové výše dotace rozhodující a závazný poměr mezi podílem požadované výše dotace a vlastním podílem žadatele uvedený v původní žádosti o dotaci. Hodnotícímu orgánu následně správce programu předloží uvedenou žádost v již  upraveném znění. Žádné jiné úpravy žádosti z vlastního podnětu není správce programu oprávněn učinit.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Hodnotící orgán je stanoven v příslušném vyhlášeném programu a je odpovědný za</w:t>
            </w:r>
            <w:r w:rsidRPr="002A3F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>posouzení předložených projektů z  hlediska jejich souladu s vyhlášeným programem.  Hodnotící orgán vyhodnotí došlé žádosti dle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Cs/>
                <w:lang w:eastAsia="cs-CZ"/>
              </w:rPr>
              <w:t>programem stanovených podmínek a kritérií a doporučí vybrané projekty zastupitelstvu kraje k rozhodnutí. Ve svých doporučeních je vázán finanční částkou alokovanou ve vyhlášeném programu, resp. výdajovým limitem, který je v daný okamžik v rozpočtu kraje na daný program k dispozici.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Úpravu rozpočtu projektu lze provést pouze v souladu se Statutem Dotačního fondu Libereckého kraje čl. 9.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Hodnotící orgán je oprávněn v případě rovného bodového ohodnocení a nedostatečné alokované částky pro poskytnutí dotace daného programu snížit finanční dotace žadatelům, v ostatních případech může přiznanou dotaci poskytovat v plné požadované výši. Hodnotící orgán je však oprávněn ponížit procento dotace všem úspěšným žadatelům stejným poměrem. V případě rovného bodového ohodnocení a nedostatečné alokované částky pro poskytnutí dotace daného programu může být finanční dotace žadatelům snížena, v ostatních případech bude přiznaná dotace poskytována v plné požadované výši.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 případě vyčerpaní celkové alokované částky určené na program se zařadí projekty, které splnily závazné podmínky výzvy, ale nemohly být podpořeny právě z důvodu vyčerpání alokace výzvy, do zásobníku projektů dané výzvy v pořadí dle získaného bodového ohodnocení ze souhrnného seznamu ohodnocených projektů.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V případě hodnocení vazby projektu na další aktivity v území je myšleno, že podpořený projekt v rámci liniové či dopravní stavby navazuje na již realizovaný úsek. V případě opravy je tato vazba posuzována ze širšího hlediska aktivit souvisejících s cyklodopravou.</w:t>
            </w:r>
          </w:p>
          <w:p w:rsidR="002A3F95" w:rsidRPr="002A3F95" w:rsidRDefault="008E07DB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7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A3F95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V případě hodnocení vazby projektu na rozvoj venkovských oblastí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A3F95"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kraje se hodnotící orgán bude řídit dle Programu rozvoje Libereckého kraje 2014 – 2020, schváleného 23.9.2014 ZK usn. č. 359/14/ZK – kapitola 7, </w:t>
            </w:r>
            <w:r w:rsidR="00E87363">
              <w:rPr>
                <w:rFonts w:ascii="Times New Roman" w:eastAsia="Times New Roman" w:hAnsi="Times New Roman" w:cs="Times New Roman"/>
                <w:lang w:eastAsia="cs-CZ"/>
              </w:rPr>
              <w:t xml:space="preserve">P05 -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příloha č. </w:t>
            </w:r>
            <w:r w:rsidR="00E87363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2A3F95" w:rsidRPr="002A3F95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V případě žádosti podpory na spolufinancování projektu, který čerpá z dalších podpůrných finančních zdrojů, je žadatel povinen předložit doklad, že podal žádost do podpůrného finančního fondu a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Do celkových nákladů bude žadatel v žádosti uvádět částky,</w:t>
            </w:r>
            <w:r w:rsidR="00181DA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2A3F95">
              <w:rPr>
                <w:rFonts w:ascii="Times New Roman" w:eastAsia="Times New Roman" w:hAnsi="Times New Roman" w:cs="Times New Roman"/>
                <w:b/>
                <w:lang w:eastAsia="cs-CZ"/>
              </w:rPr>
              <w:t>které jsou vlastním podílem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81DA9">
              <w:rPr>
                <w:rFonts w:ascii="Times New Roman" w:eastAsia="Times New Roman" w:hAnsi="Times New Roman" w:cs="Times New Roman"/>
                <w:b/>
                <w:lang w:eastAsia="cs-CZ"/>
              </w:rPr>
              <w:t>žadatele</w:t>
            </w: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 xml:space="preserve"> v rámci dotace z jiného podpůrného finančního  zdroje a dotace LK bude procentuálně spočítána z této částky.</w:t>
            </w:r>
          </w:p>
          <w:p w:rsidR="002A3F95" w:rsidRPr="002A3F95" w:rsidRDefault="002A3F95" w:rsidP="002A3F95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A3F95">
              <w:rPr>
                <w:rFonts w:ascii="Times New Roman" w:eastAsia="Times New Roman" w:hAnsi="Times New Roman" w:cs="Times New Roman"/>
                <w:lang w:eastAsia="cs-CZ"/>
              </w:rPr>
              <w:t>Pro vybrané žadatele z této výzvy jsou pravidla Statutu dotačního fondu Libereckého kraje a Zásad pro poskytování finanční podpory z rozpočtu Libereckého kraje závazné, žadatel je povinen se s nimi seznámit.</w:t>
            </w:r>
          </w:p>
        </w:tc>
      </w:tr>
    </w:tbl>
    <w:p w:rsidR="002A3F95" w:rsidRPr="002A3F95" w:rsidRDefault="002A3F95" w:rsidP="002A3F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3F95">
        <w:rPr>
          <w:rFonts w:ascii="Times New Roman" w:eastAsia="Times New Roman" w:hAnsi="Times New Roman" w:cs="Times New Roman"/>
          <w:lang w:eastAsia="cs-CZ"/>
        </w:rPr>
        <w:lastRenderedPageBreak/>
        <w:t xml:space="preserve">Pozn.: </w:t>
      </w:r>
    </w:p>
    <w:p w:rsidR="002A3F95" w:rsidRPr="00BE7CA5" w:rsidRDefault="002A3F95" w:rsidP="002A3F95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BE7CA5">
        <w:rPr>
          <w:rFonts w:ascii="Times New Roman" w:eastAsia="Times New Roman" w:hAnsi="Times New Roman" w:cs="Times New Roman"/>
          <w:b/>
          <w:lang w:eastAsia="cs-CZ"/>
        </w:rPr>
        <w:t>Nedílnou součástí vyhlášeného programu je:</w:t>
      </w:r>
    </w:p>
    <w:p w:rsidR="002A3F95" w:rsidRPr="00BE7CA5" w:rsidRDefault="002A3F95" w:rsidP="002A3F9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BE7CA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57DD0" w:rsidRPr="00D57DD0">
        <w:rPr>
          <w:rFonts w:ascii="Times New Roman" w:eastAsia="Times New Roman" w:hAnsi="Times New Roman" w:cs="Times New Roman"/>
          <w:lang w:eastAsia="cs-CZ"/>
        </w:rPr>
        <w:t>P01_</w:t>
      </w:r>
      <w:r w:rsidR="00D57DD0" w:rsidRPr="004960EA">
        <w:rPr>
          <w:rFonts w:ascii="Times New Roman" w:eastAsia="Times New Roman" w:hAnsi="Times New Roman" w:cs="Times New Roman"/>
          <w:b/>
          <w:lang w:eastAsia="cs-CZ"/>
        </w:rPr>
        <w:t>P01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BE7CA5">
        <w:rPr>
          <w:rFonts w:ascii="Times New Roman" w:eastAsia="Times New Roman" w:hAnsi="Times New Roman" w:cs="Times New Roman"/>
          <w:lang w:eastAsia="cs-CZ"/>
        </w:rPr>
        <w:t>příloha č.</w:t>
      </w:r>
      <w:r w:rsidR="00966B7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E7CA5">
        <w:rPr>
          <w:rFonts w:ascii="Times New Roman" w:eastAsia="Times New Roman" w:hAnsi="Times New Roman" w:cs="Times New Roman"/>
          <w:lang w:eastAsia="cs-CZ"/>
        </w:rPr>
        <w:t xml:space="preserve">1 </w:t>
      </w:r>
      <w:r w:rsidR="00966B73">
        <w:rPr>
          <w:rFonts w:ascii="Times New Roman" w:eastAsia="Times New Roman" w:hAnsi="Times New Roman" w:cs="Times New Roman"/>
          <w:lang w:eastAsia="cs-CZ"/>
        </w:rPr>
        <w:t>-</w:t>
      </w:r>
      <w:r w:rsidRPr="00BE7CA5">
        <w:rPr>
          <w:rFonts w:ascii="Times New Roman" w:eastAsia="Times New Roman" w:hAnsi="Times New Roman" w:cs="Times New Roman"/>
          <w:lang w:eastAsia="cs-CZ"/>
        </w:rPr>
        <w:t xml:space="preserve"> Vyhláška 104/1997 Sb. Ministerstvo Dopravy a spojů z 23. 4. 1997,</w:t>
      </w:r>
    </w:p>
    <w:p w:rsidR="002A3F95" w:rsidRPr="00BE7CA5" w:rsidRDefault="002A3F95" w:rsidP="002A3F9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BE7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57DD0">
        <w:rPr>
          <w:rFonts w:ascii="Times New Roman" w:eastAsia="Times New Roman" w:hAnsi="Times New Roman" w:cs="Times New Roman"/>
          <w:lang w:eastAsia="cs-CZ"/>
        </w:rPr>
        <w:t>P01_</w:t>
      </w:r>
      <w:r w:rsidR="00D57DD0" w:rsidRPr="004960EA">
        <w:rPr>
          <w:rFonts w:ascii="Times New Roman" w:eastAsia="Times New Roman" w:hAnsi="Times New Roman" w:cs="Times New Roman"/>
          <w:b/>
          <w:lang w:eastAsia="cs-CZ"/>
        </w:rPr>
        <w:t>P02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 + P01_</w:t>
      </w:r>
      <w:r w:rsidR="00D57DD0" w:rsidRPr="004960EA">
        <w:rPr>
          <w:rFonts w:ascii="Times New Roman" w:eastAsia="Times New Roman" w:hAnsi="Times New Roman" w:cs="Times New Roman"/>
          <w:b/>
          <w:lang w:eastAsia="cs-CZ"/>
        </w:rPr>
        <w:t>P03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 - </w:t>
      </w:r>
      <w:r w:rsidRPr="00BE7CA5">
        <w:rPr>
          <w:rFonts w:ascii="Times New Roman" w:eastAsia="Times New Roman" w:hAnsi="Times New Roman" w:cs="Times New Roman"/>
          <w:lang w:eastAsia="cs-CZ"/>
        </w:rPr>
        <w:t>příloha č. 2, 3, tohoto vyhlášení programu - Hodnotící formulář,</w:t>
      </w:r>
      <w:r w:rsidR="00966B73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A3F95" w:rsidRDefault="002A3F95" w:rsidP="002A3F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BE7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57DD0">
        <w:rPr>
          <w:rFonts w:ascii="Times New Roman" w:eastAsia="Times New Roman" w:hAnsi="Times New Roman" w:cs="Times New Roman"/>
          <w:lang w:eastAsia="cs-CZ"/>
        </w:rPr>
        <w:t>P01_</w:t>
      </w:r>
      <w:r w:rsidR="00D57DD0" w:rsidRPr="004960EA">
        <w:rPr>
          <w:rFonts w:ascii="Times New Roman" w:eastAsia="Times New Roman" w:hAnsi="Times New Roman" w:cs="Times New Roman"/>
          <w:b/>
          <w:lang w:eastAsia="cs-CZ"/>
        </w:rPr>
        <w:t>P04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 - </w:t>
      </w:r>
      <w:r w:rsidRPr="00BE7CA5">
        <w:rPr>
          <w:rFonts w:ascii="Times New Roman" w:eastAsia="Times New Roman" w:hAnsi="Times New Roman" w:cs="Times New Roman"/>
          <w:lang w:eastAsia="cs-CZ"/>
        </w:rPr>
        <w:t>příloha č. 4 - Textov</w:t>
      </w:r>
      <w:r w:rsidR="009605B2">
        <w:rPr>
          <w:rFonts w:ascii="Times New Roman" w:eastAsia="Times New Roman" w:hAnsi="Times New Roman" w:cs="Times New Roman"/>
          <w:lang w:eastAsia="cs-CZ"/>
        </w:rPr>
        <w:t>ý</w:t>
      </w:r>
      <w:r w:rsidRPr="00BE7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9605B2">
        <w:rPr>
          <w:rFonts w:ascii="Times New Roman" w:eastAsia="Times New Roman" w:hAnsi="Times New Roman" w:cs="Times New Roman"/>
          <w:lang w:eastAsia="cs-CZ"/>
        </w:rPr>
        <w:t>formulář</w:t>
      </w:r>
      <w:r w:rsidRPr="00BE7CA5">
        <w:rPr>
          <w:rFonts w:ascii="Times New Roman" w:eastAsia="Times New Roman" w:hAnsi="Times New Roman" w:cs="Times New Roman"/>
          <w:lang w:eastAsia="cs-CZ"/>
        </w:rPr>
        <w:t xml:space="preserve"> popisu projektu,</w:t>
      </w:r>
    </w:p>
    <w:p w:rsidR="00D57DD0" w:rsidRDefault="00E44D52" w:rsidP="00D57DD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D57DD0">
        <w:rPr>
          <w:rFonts w:ascii="Times New Roman" w:eastAsia="Times New Roman" w:hAnsi="Times New Roman" w:cs="Times New Roman"/>
          <w:lang w:eastAsia="cs-CZ"/>
        </w:rPr>
        <w:t>P01_</w:t>
      </w:r>
      <w:r w:rsidR="00D57DD0" w:rsidRPr="004960EA">
        <w:rPr>
          <w:rFonts w:ascii="Times New Roman" w:eastAsia="Times New Roman" w:hAnsi="Times New Roman" w:cs="Times New Roman"/>
          <w:b/>
          <w:lang w:eastAsia="cs-CZ"/>
        </w:rPr>
        <w:t xml:space="preserve">P05 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lang w:eastAsia="cs-CZ"/>
        </w:rPr>
        <w:t>p</w:t>
      </w:r>
      <w:r w:rsidR="00897926">
        <w:rPr>
          <w:rFonts w:ascii="Times New Roman" w:eastAsia="Times New Roman" w:hAnsi="Times New Roman" w:cs="Times New Roman"/>
          <w:lang w:eastAsia="cs-CZ"/>
        </w:rPr>
        <w:t xml:space="preserve">říloha č. 5 </w:t>
      </w:r>
      <w:r w:rsidR="00CB7E47">
        <w:rPr>
          <w:rFonts w:ascii="Times New Roman" w:eastAsia="Times New Roman" w:hAnsi="Times New Roman" w:cs="Times New Roman"/>
          <w:lang w:eastAsia="cs-CZ"/>
        </w:rPr>
        <w:t>-</w:t>
      </w:r>
      <w:r w:rsidR="00D57DD0">
        <w:rPr>
          <w:rFonts w:ascii="Times New Roman" w:eastAsia="Times New Roman" w:hAnsi="Times New Roman" w:cs="Times New Roman"/>
          <w:lang w:eastAsia="cs-CZ"/>
        </w:rPr>
        <w:t xml:space="preserve"> vzor smlouvy, </w:t>
      </w:r>
    </w:p>
    <w:p w:rsidR="002A3F95" w:rsidRPr="00E87363" w:rsidRDefault="002A3F95" w:rsidP="00E87363">
      <w:pPr>
        <w:pStyle w:val="Odstavecseseznamem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87363">
        <w:rPr>
          <w:rFonts w:ascii="Times New Roman" w:eastAsia="Times New Roman" w:hAnsi="Times New Roman" w:cs="Times New Roman"/>
          <w:lang w:eastAsia="cs-CZ"/>
        </w:rPr>
        <w:t>Na poskytnutí dotace z programu Dotačního fondu LK není právní nárok a poskytnutí dotace z  programu nezakládá nárok na poskytnutí dotace z programu v obdobích následujících.</w:t>
      </w:r>
    </w:p>
    <w:p w:rsidR="00E87363" w:rsidRDefault="00E87363" w:rsidP="00E87363">
      <w:pPr>
        <w:pStyle w:val="Odstavecseseznamem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Další přílohy </w:t>
      </w:r>
      <w:r w:rsidR="00C740CB">
        <w:rPr>
          <w:rFonts w:ascii="Times New Roman" w:eastAsia="Times New Roman" w:hAnsi="Times New Roman" w:cs="Times New Roman"/>
          <w:b/>
          <w:lang w:eastAsia="cs-CZ"/>
        </w:rPr>
        <w:t>P04, P05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lang w:eastAsia="cs-CZ"/>
        </w:rPr>
        <w:t>jsou v samostatných společných přílohách</w:t>
      </w:r>
    </w:p>
    <w:p w:rsidR="00E87363" w:rsidRDefault="00C740CB" w:rsidP="00E87363">
      <w:pPr>
        <w:pStyle w:val="Odstavecseseznamem"/>
        <w:autoSpaceDE w:val="0"/>
        <w:autoSpaceDN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P04 - příloha č. 4</w:t>
      </w:r>
      <w:r w:rsidR="00E87363">
        <w:rPr>
          <w:rFonts w:ascii="Times New Roman" w:eastAsia="Times New Roman" w:hAnsi="Times New Roman" w:cs="Times New Roman"/>
          <w:lang w:eastAsia="cs-CZ"/>
        </w:rPr>
        <w:t xml:space="preserve"> Venkovské oblasti</w:t>
      </w:r>
    </w:p>
    <w:p w:rsidR="00E87363" w:rsidRPr="00E87363" w:rsidRDefault="00C740CB" w:rsidP="00E87363">
      <w:pPr>
        <w:pStyle w:val="Odstavecseseznamem"/>
        <w:autoSpaceDE w:val="0"/>
        <w:autoSpaceDN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P05</w:t>
      </w:r>
      <w:r w:rsidR="00E8736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755A">
        <w:rPr>
          <w:rFonts w:ascii="Times New Roman" w:eastAsia="Times New Roman" w:hAnsi="Times New Roman" w:cs="Times New Roman"/>
          <w:lang w:eastAsia="cs-CZ"/>
        </w:rPr>
        <w:t>-</w:t>
      </w:r>
      <w:r>
        <w:rPr>
          <w:rFonts w:ascii="Times New Roman" w:eastAsia="Times New Roman" w:hAnsi="Times New Roman" w:cs="Times New Roman"/>
          <w:lang w:eastAsia="cs-CZ"/>
        </w:rPr>
        <w:t xml:space="preserve"> příloha č. 5</w:t>
      </w:r>
      <w:bookmarkStart w:id="0" w:name="_GoBack"/>
      <w:bookmarkEnd w:id="0"/>
      <w:r w:rsidR="00E87363">
        <w:rPr>
          <w:rFonts w:ascii="Times New Roman" w:eastAsia="Times New Roman" w:hAnsi="Times New Roman" w:cs="Times New Roman"/>
          <w:lang w:eastAsia="cs-CZ"/>
        </w:rPr>
        <w:t xml:space="preserve"> – Mapa – Příprava podpory strategických směrů cyklodopravy v Libereckém kraji</w:t>
      </w:r>
    </w:p>
    <w:p w:rsidR="002A3F95" w:rsidRPr="002A3F95" w:rsidRDefault="002A3F95" w:rsidP="002A3F95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A3F9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A3F95" w:rsidRPr="002A3F95" w:rsidRDefault="002A3F95" w:rsidP="002A3F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</w:p>
    <w:p w:rsidR="002A3F95" w:rsidRPr="002A3F95" w:rsidRDefault="002A3F95" w:rsidP="002A3F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C2456" w:rsidRPr="002A3F95" w:rsidRDefault="005C2456">
      <w:pPr>
        <w:rPr>
          <w:rFonts w:ascii="Times New Roman" w:hAnsi="Times New Roman" w:cs="Times New Roman"/>
        </w:rPr>
      </w:pPr>
    </w:p>
    <w:sectPr w:rsidR="005C2456" w:rsidRPr="002A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C2A"/>
    <w:multiLevelType w:val="hybridMultilevel"/>
    <w:tmpl w:val="380C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021588"/>
    <w:multiLevelType w:val="hybridMultilevel"/>
    <w:tmpl w:val="5948AC78"/>
    <w:lvl w:ilvl="0" w:tplc="2386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709B2"/>
    <w:multiLevelType w:val="hybridMultilevel"/>
    <w:tmpl w:val="F20664A2"/>
    <w:lvl w:ilvl="0" w:tplc="1F1AA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04B42"/>
    <w:multiLevelType w:val="hybridMultilevel"/>
    <w:tmpl w:val="B9429B4C"/>
    <w:lvl w:ilvl="0" w:tplc="FFA05C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F10C5"/>
    <w:multiLevelType w:val="hybridMultilevel"/>
    <w:tmpl w:val="0D109AA6"/>
    <w:lvl w:ilvl="0" w:tplc="0405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6">
    <w:nsid w:val="4E5C528B"/>
    <w:multiLevelType w:val="hybridMultilevel"/>
    <w:tmpl w:val="0BDEB2F4"/>
    <w:lvl w:ilvl="0" w:tplc="CBC0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609D8"/>
    <w:multiLevelType w:val="hybridMultilevel"/>
    <w:tmpl w:val="C3E4A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9C1D4B"/>
    <w:multiLevelType w:val="hybridMultilevel"/>
    <w:tmpl w:val="6FE4FDB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D5584C"/>
    <w:multiLevelType w:val="hybridMultilevel"/>
    <w:tmpl w:val="E6B8BFCE"/>
    <w:lvl w:ilvl="0" w:tplc="B5180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95"/>
    <w:rsid w:val="001063C0"/>
    <w:rsid w:val="00181DA9"/>
    <w:rsid w:val="001D1E99"/>
    <w:rsid w:val="002A3F95"/>
    <w:rsid w:val="003F733D"/>
    <w:rsid w:val="00403BED"/>
    <w:rsid w:val="004938E5"/>
    <w:rsid w:val="004960EA"/>
    <w:rsid w:val="00561F2A"/>
    <w:rsid w:val="005819B0"/>
    <w:rsid w:val="005C2456"/>
    <w:rsid w:val="00673F38"/>
    <w:rsid w:val="00674581"/>
    <w:rsid w:val="006D7555"/>
    <w:rsid w:val="007228C7"/>
    <w:rsid w:val="00732DB0"/>
    <w:rsid w:val="00897926"/>
    <w:rsid w:val="008E07DB"/>
    <w:rsid w:val="009605B2"/>
    <w:rsid w:val="00966B73"/>
    <w:rsid w:val="00A93CB8"/>
    <w:rsid w:val="00AB755A"/>
    <w:rsid w:val="00B24FAA"/>
    <w:rsid w:val="00BA2599"/>
    <w:rsid w:val="00BE7CA5"/>
    <w:rsid w:val="00C740CB"/>
    <w:rsid w:val="00CB7E47"/>
    <w:rsid w:val="00D57DD0"/>
    <w:rsid w:val="00DC5A21"/>
    <w:rsid w:val="00E44D52"/>
    <w:rsid w:val="00E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lbc.cz/dotacni_fond_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aj-lbc.cz/dotacni_fond_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moravcova@kraj-lbc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eta.moravcov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2350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Jezkova Zuzana</cp:lastModifiedBy>
  <cp:revision>8</cp:revision>
  <dcterms:created xsi:type="dcterms:W3CDTF">2017-02-06T07:52:00Z</dcterms:created>
  <dcterms:modified xsi:type="dcterms:W3CDTF">2017-02-14T12:51:00Z</dcterms:modified>
</cp:coreProperties>
</file>