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922B25" w:rsidP="009D25CF">
      <w:pPr>
        <w:jc w:val="center"/>
        <w:rPr>
          <w:b/>
        </w:rPr>
      </w:pPr>
      <w:r w:rsidRPr="0045791F">
        <w:rPr>
          <w:b/>
        </w:rPr>
        <w:t>program č.:</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členkou rady kraje pověřenou</w:t>
      </w:r>
      <w:r w:rsidRPr="009F08C9">
        <w:rPr>
          <w:color w:val="808080"/>
        </w:rPr>
        <w:t xml:space="preserve"> vedením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 xml:space="preserve">telstva Libereckého kraje č. /17/ZK ze dne </w:t>
      </w:r>
      <w:proofErr w:type="gramStart"/>
      <w:r w:rsidR="00B133EB">
        <w:t>xx</w:t>
      </w:r>
      <w:proofErr w:type="gramEnd"/>
      <w:r w:rsidR="00B133EB">
        <w:t>.</w:t>
      </w:r>
      <w:proofErr w:type="gramStart"/>
      <w:r w:rsidR="00B133EB">
        <w:t>xx</w:t>
      </w:r>
      <w:proofErr w:type="gramEnd"/>
      <w:r w:rsidR="00B133EB">
        <w:t>.2017</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roofErr w:type="gramStart"/>
      <w:r w:rsidR="00F57E03">
        <w:rPr>
          <w:color w:val="808080"/>
        </w:rPr>
        <w:t>…..</w:t>
      </w:r>
      <w:proofErr w:type="gramEnd"/>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4523BC" w:rsidRPr="00C418CF" w:rsidRDefault="00C45049" w:rsidP="00C418CF">
      <w:pPr>
        <w:jc w:val="both"/>
        <w:rPr>
          <w:bCs/>
        </w:rPr>
      </w:pPr>
      <w:r w:rsidRPr="00C418CF">
        <w:rPr>
          <w:bCs/>
        </w:rPr>
        <w:t xml:space="preserve">      </w:t>
      </w:r>
      <w:r w:rsidR="00C300C4" w:rsidRPr="00C418CF">
        <w:rPr>
          <w:bCs/>
        </w:rPr>
        <w:t>projektu</w:t>
      </w:r>
      <w:r w:rsidR="004523BC" w:rsidRPr="00C418CF">
        <w:rPr>
          <w:bCs/>
        </w:rPr>
        <w:t xml:space="preserve"> </w:t>
      </w:r>
      <w:proofErr w:type="gramStart"/>
      <w:r w:rsidR="004523BC" w:rsidRPr="00C418CF">
        <w:rPr>
          <w:bCs/>
        </w:rPr>
        <w:t>na</w:t>
      </w:r>
      <w:proofErr w:type="gramEnd"/>
      <w:r w:rsidR="004523BC" w:rsidRPr="00C418CF">
        <w:rPr>
          <w:bCs/>
        </w:rPr>
        <w:t>:</w:t>
      </w:r>
    </w:p>
    <w:p w:rsidR="0094275C" w:rsidRPr="0094275C" w:rsidRDefault="0094275C" w:rsidP="0094275C">
      <w:pPr>
        <w:numPr>
          <w:ilvl w:val="0"/>
          <w:numId w:val="5"/>
        </w:numPr>
        <w:tabs>
          <w:tab w:val="clear" w:pos="1080"/>
          <w:tab w:val="num" w:pos="720"/>
        </w:tabs>
        <w:spacing w:before="60"/>
        <w:ind w:left="714" w:hanging="357"/>
        <w:jc w:val="both"/>
        <w:rPr>
          <w:color w:val="808080" w:themeColor="background1" w:themeShade="80"/>
        </w:rPr>
      </w:pPr>
      <w:r w:rsidRPr="0094275C">
        <w:rPr>
          <w:color w:val="808080" w:themeColor="background1" w:themeShade="80"/>
        </w:rPr>
        <w:t>výdaje spojené s rozvojem informačních technologií  - úpravy webů, responzivní design, mobilní aplikace, sociální sítě, multimediální výstupy, atd.</w:t>
      </w:r>
    </w:p>
    <w:p w:rsidR="0094275C" w:rsidRPr="0094275C" w:rsidRDefault="0094275C" w:rsidP="0094275C">
      <w:pPr>
        <w:numPr>
          <w:ilvl w:val="0"/>
          <w:numId w:val="5"/>
        </w:numPr>
        <w:tabs>
          <w:tab w:val="clear" w:pos="1080"/>
          <w:tab w:val="num" w:pos="720"/>
        </w:tabs>
        <w:spacing w:before="60"/>
        <w:ind w:left="714" w:hanging="357"/>
        <w:jc w:val="both"/>
        <w:rPr>
          <w:color w:val="808080" w:themeColor="background1" w:themeShade="80"/>
        </w:rPr>
      </w:pPr>
      <w:r w:rsidRPr="0094275C">
        <w:rPr>
          <w:color w:val="808080" w:themeColor="background1" w:themeShade="80"/>
        </w:rPr>
        <w:t>prezentace ve veřejných médiích, turistických novinách, rozhlase, TV, atd.</w:t>
      </w:r>
    </w:p>
    <w:p w:rsidR="0094275C" w:rsidRPr="0094275C" w:rsidRDefault="0094275C" w:rsidP="0094275C">
      <w:pPr>
        <w:numPr>
          <w:ilvl w:val="0"/>
          <w:numId w:val="5"/>
        </w:numPr>
        <w:tabs>
          <w:tab w:val="clear" w:pos="1080"/>
          <w:tab w:val="num" w:pos="720"/>
        </w:tabs>
        <w:spacing w:before="60"/>
        <w:ind w:left="714" w:hanging="357"/>
        <w:jc w:val="both"/>
        <w:rPr>
          <w:color w:val="808080" w:themeColor="background1" w:themeShade="80"/>
        </w:rPr>
      </w:pPr>
      <w:r w:rsidRPr="0094275C">
        <w:rPr>
          <w:color w:val="808080" w:themeColor="background1" w:themeShade="80"/>
        </w:rPr>
        <w:t>nákup služeb spojených s tvorbou turistických produktů - grafické práce, tiskové služby, dohody o provedení práce (max. 30% výše poskytnuté dotace), překlady, náklady spojené se zjišťováním statistiky návštěvnosti atd.</w:t>
      </w:r>
    </w:p>
    <w:p w:rsidR="006D61F6" w:rsidRDefault="00A55E6A" w:rsidP="0094275C">
      <w:pPr>
        <w:numPr>
          <w:ilvl w:val="0"/>
          <w:numId w:val="2"/>
        </w:numPr>
        <w:tabs>
          <w:tab w:val="clear" w:pos="720"/>
          <w:tab w:val="num" w:pos="360"/>
        </w:tabs>
        <w:spacing w:before="120"/>
        <w:ind w:hanging="720"/>
        <w:jc w:val="both"/>
      </w:pPr>
      <w:r>
        <w:t>Příjemce je povinen po celou dobu realizace projekt</w:t>
      </w:r>
      <w:r w:rsidR="006D61F6">
        <w:t>u splňovat podmínky vyhlášeného</w:t>
      </w:r>
    </w:p>
    <w:p w:rsidR="006D61F6" w:rsidRDefault="006D61F6" w:rsidP="006D61F6">
      <w:pPr>
        <w:jc w:val="both"/>
      </w:pPr>
      <w:r>
        <w:t xml:space="preserve">      </w:t>
      </w:r>
      <w:r w:rsidR="00A55E6A">
        <w:t xml:space="preserve">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rsidR="00A55E6A">
        <w:t xml:space="preserve"> </w:t>
      </w:r>
      <w:r>
        <w:t xml:space="preserve">    </w:t>
      </w:r>
    </w:p>
    <w:p w:rsidR="004523BC" w:rsidRPr="00FE1E2B" w:rsidRDefault="006D61F6" w:rsidP="006D61F6">
      <w:pPr>
        <w:jc w:val="both"/>
      </w:pPr>
      <w:r>
        <w:t xml:space="preserve">      </w:t>
      </w:r>
      <w:r w:rsidR="00A55E6A">
        <w:t>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F80C15" w:rsidRDefault="00261C43" w:rsidP="00822D1A">
      <w:pPr>
        <w:numPr>
          <w:ilvl w:val="0"/>
          <w:numId w:val="3"/>
        </w:numPr>
        <w:tabs>
          <w:tab w:val="clear" w:pos="720"/>
          <w:tab w:val="num" w:pos="360"/>
        </w:tabs>
        <w:spacing w:before="120"/>
        <w:ind w:left="360"/>
        <w:jc w:val="both"/>
        <w:rPr>
          <w:color w:val="808080"/>
        </w:rPr>
      </w:pPr>
      <w:bookmarkStart w:id="0" w:name="_GoBack"/>
      <w:r w:rsidRPr="00261C43">
        <w:rPr>
          <w:iCs/>
          <w:color w:val="808080" w:themeColor="background1" w:themeShade="80"/>
        </w:rPr>
        <w:t>Příjemci může být poskytnuta záloha ve výši max. 50 % z celkové přiznané dotace, jestliže o ni příjemce písemně požádá.</w:t>
      </w:r>
      <w:r w:rsidRPr="00261C43">
        <w:rPr>
          <w:color w:val="808080" w:themeColor="background1" w:themeShade="80"/>
        </w:rPr>
        <w:t xml:space="preserve"> </w:t>
      </w:r>
      <w:r w:rsidRPr="00261C43">
        <w:rPr>
          <w:iCs/>
          <w:color w:val="808080" w:themeColor="background1" w:themeShade="80"/>
        </w:rPr>
        <w:t>Finanční prostředky budou převedeny do 30 kalendářních dnů po obdržení žádosti</w:t>
      </w:r>
      <w:r w:rsidR="0015224D" w:rsidRPr="00261C43">
        <w:rPr>
          <w:color w:val="808080" w:themeColor="background1" w:themeShade="80"/>
        </w:rPr>
        <w:t>.</w:t>
      </w:r>
      <w:r w:rsidR="00150343" w:rsidRPr="00261C43">
        <w:rPr>
          <w:color w:val="808080" w:themeColor="background1" w:themeShade="80"/>
        </w:rPr>
        <w:t xml:space="preserve"> </w:t>
      </w:r>
      <w:r w:rsidR="004523BC" w:rsidRPr="000D530F">
        <w:rPr>
          <w:snapToGrid w:val="0"/>
          <w:color w:val="808080"/>
        </w:rPr>
        <w:t>Zbývající část finančních prostředků</w:t>
      </w:r>
      <w:r w:rsidR="004523BC" w:rsidRPr="009F08C9">
        <w:rPr>
          <w:snapToGrid w:val="0"/>
          <w:color w:val="808080"/>
        </w:rPr>
        <w:t xml:space="preserve"> bude </w:t>
      </w:r>
      <w:r w:rsidR="004523BC" w:rsidRPr="009F08C9">
        <w:rPr>
          <w:snapToGrid w:val="0"/>
          <w:color w:val="808080"/>
        </w:rPr>
        <w:lastRenderedPageBreak/>
        <w:t xml:space="preserve">převedena na účet příjemce do 15 kalendářních dnů ode dne, kdy poskytovatel </w:t>
      </w:r>
      <w:r w:rsidR="004523BC"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bookmarkEnd w:id="0"/>
    <w:p w:rsidR="00BD64ED" w:rsidRPr="0004229B" w:rsidRDefault="002640A2" w:rsidP="00822D1A">
      <w:pPr>
        <w:numPr>
          <w:ilvl w:val="0"/>
          <w:numId w:val="3"/>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822D1A">
      <w:pPr>
        <w:pStyle w:val="Odstavecseseznamem"/>
        <w:numPr>
          <w:ilvl w:val="0"/>
          <w:numId w:val="3"/>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7D2CA3">
        <w:rPr>
          <w:color w:val="808080" w:themeColor="background1" w:themeShade="80"/>
        </w:rPr>
        <w:t>1. </w:t>
      </w:r>
      <w:r w:rsidR="007D2CA3" w:rsidRPr="007D2CA3">
        <w:rPr>
          <w:color w:val="808080" w:themeColor="background1" w:themeShade="80"/>
        </w:rPr>
        <w:t>1</w:t>
      </w:r>
      <w:r w:rsidR="00B803CF" w:rsidRPr="007D2CA3">
        <w:rPr>
          <w:color w:val="808080" w:themeColor="background1" w:themeShade="80"/>
        </w:rPr>
        <w:t>. </w:t>
      </w:r>
      <w:r w:rsidR="00AF6EE7" w:rsidRPr="007D2CA3">
        <w:rPr>
          <w:color w:val="808080" w:themeColor="background1" w:themeShade="80"/>
        </w:rPr>
        <w:t>2017</w:t>
      </w:r>
      <w:r w:rsidRPr="007D2CA3">
        <w:rPr>
          <w:color w:val="808080" w:themeColor="background1" w:themeShade="80"/>
        </w:rPr>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4739D4" w:rsidRDefault="004523BC" w:rsidP="00822D1A">
      <w:pPr>
        <w:numPr>
          <w:ilvl w:val="0"/>
          <w:numId w:val="1"/>
        </w:numPr>
        <w:spacing w:before="120"/>
        <w:ind w:left="357" w:hanging="357"/>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lastRenderedPageBreak/>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04229B" w:rsidRDefault="004523BC" w:rsidP="002D3101">
      <w:pPr>
        <w:spacing w:before="120"/>
        <w:ind w:left="360"/>
        <w:jc w:val="both"/>
        <w:rPr>
          <w:color w:val="A6A6A6"/>
        </w:rPr>
      </w:pP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r w:rsidR="00287882">
        <w:rPr>
          <w:color w:val="A6A6A6"/>
        </w:rPr>
        <w:t>chargé,</w:t>
      </w:r>
      <w:r w:rsidRPr="0004229B">
        <w:rPr>
          <w:color w:val="A6A6A6"/>
        </w:rPr>
        <w:t xml:space="preserve"> musí být příjemcem předloženy následující podklady: </w:t>
      </w:r>
    </w:p>
    <w:p w:rsidR="004523BC" w:rsidRPr="0004229B" w:rsidRDefault="004523BC" w:rsidP="008C754A">
      <w:pPr>
        <w:numPr>
          <w:ilvl w:val="0"/>
          <w:numId w:val="14"/>
        </w:numPr>
        <w:spacing w:before="60"/>
        <w:ind w:left="714" w:hanging="357"/>
        <w:jc w:val="both"/>
        <w:rPr>
          <w:color w:val="A6A6A6"/>
        </w:rPr>
      </w:pPr>
      <w:r w:rsidRPr="0004229B">
        <w:rPr>
          <w:b/>
          <w:bCs/>
          <w:color w:val="A6A6A6"/>
        </w:rPr>
        <w:t>kopie daňového přiznání k DPH podle § 101 zákona o DPH,</w:t>
      </w:r>
    </w:p>
    <w:p w:rsidR="004523BC" w:rsidRPr="0004229B" w:rsidRDefault="004523BC" w:rsidP="008C754A">
      <w:pPr>
        <w:numPr>
          <w:ilvl w:val="0"/>
          <w:numId w:val="14"/>
        </w:numPr>
        <w:spacing w:before="60"/>
        <w:ind w:left="714" w:hanging="357"/>
        <w:jc w:val="both"/>
        <w:rPr>
          <w:color w:val="A6A6A6"/>
        </w:rPr>
      </w:pPr>
      <w:r w:rsidRPr="0004229B">
        <w:rPr>
          <w:b/>
          <w:bCs/>
          <w:color w:val="A6A6A6"/>
        </w:rPr>
        <w:t>kopie evidence pro daňové účely podle § 100 zákona o DPH (s náležitostmi dle § 92a),</w:t>
      </w:r>
    </w:p>
    <w:p w:rsidR="004523BC" w:rsidRPr="0004229B" w:rsidRDefault="004523BC" w:rsidP="008C754A">
      <w:pPr>
        <w:numPr>
          <w:ilvl w:val="0"/>
          <w:numId w:val="14"/>
        </w:numPr>
        <w:spacing w:before="60"/>
        <w:ind w:left="714" w:hanging="357"/>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4523BC" w:rsidRPr="00C9643A" w:rsidRDefault="004523BC" w:rsidP="00D01D9F">
      <w:pPr>
        <w:numPr>
          <w:ilvl w:val="0"/>
          <w:numId w:val="12"/>
        </w:numPr>
        <w:spacing w:before="60"/>
        <w:ind w:left="714" w:hanging="357"/>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AE030D" w:rsidRPr="00AE030D" w:rsidRDefault="00AE030D" w:rsidP="00D01D9F">
      <w:pPr>
        <w:numPr>
          <w:ilvl w:val="0"/>
          <w:numId w:val="12"/>
        </w:numPr>
        <w:spacing w:before="60"/>
        <w:ind w:left="720"/>
        <w:jc w:val="both"/>
        <w:rPr>
          <w:i/>
          <w:color w:val="808080" w:themeColor="background1" w:themeShade="80"/>
        </w:rPr>
      </w:pPr>
      <w:r w:rsidRPr="00AE030D">
        <w:rPr>
          <w:color w:val="808080" w:themeColor="background1" w:themeShade="80"/>
        </w:rPr>
        <w:t>výtisky propagačních materiálů</w:t>
      </w:r>
      <w:r w:rsidR="00160BA4">
        <w:rPr>
          <w:color w:val="808080" w:themeColor="background1" w:themeShade="80"/>
        </w:rPr>
        <w:t xml:space="preserve"> a map</w:t>
      </w:r>
    </w:p>
    <w:p w:rsidR="00AE030D" w:rsidRPr="00160BA4" w:rsidRDefault="00AE030D" w:rsidP="00160BA4">
      <w:pPr>
        <w:numPr>
          <w:ilvl w:val="0"/>
          <w:numId w:val="12"/>
        </w:numPr>
        <w:spacing w:before="60"/>
        <w:ind w:left="720"/>
        <w:jc w:val="both"/>
        <w:rPr>
          <w:i/>
          <w:color w:val="808080" w:themeColor="background1" w:themeShade="80"/>
        </w:rPr>
      </w:pPr>
      <w:proofErr w:type="spellStart"/>
      <w:r w:rsidRPr="00AE030D">
        <w:rPr>
          <w:color w:val="808080" w:themeColor="background1" w:themeShade="80"/>
        </w:rPr>
        <w:t>printscreeny</w:t>
      </w:r>
      <w:proofErr w:type="spellEnd"/>
      <w:r w:rsidRPr="00AE030D">
        <w:rPr>
          <w:color w:val="808080" w:themeColor="background1" w:themeShade="80"/>
        </w:rPr>
        <w:t xml:space="preserve"> webových stránek</w:t>
      </w:r>
      <w:r w:rsidR="00160BA4">
        <w:rPr>
          <w:color w:val="808080" w:themeColor="background1" w:themeShade="80"/>
        </w:rPr>
        <w:t>,</w:t>
      </w:r>
      <w:r w:rsidRPr="00AE030D">
        <w:rPr>
          <w:color w:val="808080" w:themeColor="background1" w:themeShade="80"/>
        </w:rPr>
        <w:t xml:space="preserve"> </w:t>
      </w:r>
      <w:r w:rsidR="00160BA4" w:rsidRPr="00AE030D">
        <w:rPr>
          <w:color w:val="808080" w:themeColor="background1" w:themeShade="80"/>
        </w:rPr>
        <w:t xml:space="preserve">ukázky QR kódů </w:t>
      </w:r>
    </w:p>
    <w:p w:rsidR="00AE030D" w:rsidRDefault="00AE030D" w:rsidP="00AE030D">
      <w:pPr>
        <w:numPr>
          <w:ilvl w:val="0"/>
          <w:numId w:val="12"/>
        </w:numPr>
        <w:spacing w:before="60"/>
        <w:ind w:left="720"/>
        <w:jc w:val="both"/>
        <w:rPr>
          <w:color w:val="808080" w:themeColor="background1" w:themeShade="80"/>
        </w:rPr>
      </w:pPr>
      <w:r w:rsidRPr="00AE030D">
        <w:rPr>
          <w:color w:val="808080" w:themeColor="background1" w:themeShade="80"/>
        </w:rPr>
        <w:t xml:space="preserve">ukázky inzerce </w:t>
      </w:r>
    </w:p>
    <w:p w:rsidR="007924DD" w:rsidRPr="00AE030D" w:rsidRDefault="007924DD" w:rsidP="00AE030D">
      <w:pPr>
        <w:numPr>
          <w:ilvl w:val="0"/>
          <w:numId w:val="12"/>
        </w:numPr>
        <w:spacing w:before="60"/>
        <w:ind w:left="720"/>
        <w:jc w:val="both"/>
        <w:rPr>
          <w:color w:val="808080" w:themeColor="background1" w:themeShade="80"/>
        </w:rPr>
      </w:pPr>
      <w:r w:rsidRPr="007924DD">
        <w:rPr>
          <w:color w:val="808080" w:themeColor="background1" w:themeShade="80"/>
        </w:rPr>
        <w:t>výstupy statistických měření</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C25593">
        <w:rPr>
          <w:color w:val="808080" w:themeColor="background1" w:themeShade="80"/>
        </w:rPr>
        <w:t xml:space="preserve">(např. využití loga LK, </w:t>
      </w:r>
      <w:r w:rsidR="00BE1102" w:rsidRPr="00C25593">
        <w:rPr>
          <w:color w:val="808080" w:themeColor="background1" w:themeShade="80"/>
        </w:rPr>
        <w:t xml:space="preserve">tisková zpráva, </w:t>
      </w:r>
      <w:r w:rsidR="00C429FB" w:rsidRPr="00C25593">
        <w:rPr>
          <w:color w:val="808080" w:themeColor="background1" w:themeShade="80"/>
        </w:rPr>
        <w:t>apod.</w:t>
      </w:r>
      <w:r w:rsidR="00605C85" w:rsidRPr="00C25593">
        <w:rPr>
          <w:color w:val="808080" w:themeColor="background1" w:themeShade="80"/>
        </w:rPr>
        <w:t>)</w:t>
      </w:r>
      <w:r w:rsidRPr="00C25593">
        <w:rPr>
          <w:color w:val="808080" w:themeColor="background1" w:themeShade="80"/>
        </w:rPr>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lastRenderedPageBreak/>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4523BC" w:rsidP="00E93F7E">
      <w:pPr>
        <w:pStyle w:val="Odstavecseseznamem"/>
        <w:numPr>
          <w:ilvl w:val="0"/>
          <w:numId w:val="10"/>
        </w:numPr>
        <w:spacing w:before="60"/>
        <w:ind w:left="714" w:hanging="35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4523BC" w:rsidP="00E93F7E">
      <w:pPr>
        <w:pStyle w:val="Odstavecseseznamem"/>
        <w:numPr>
          <w:ilvl w:val="0"/>
          <w:numId w:val="10"/>
        </w:numPr>
        <w:spacing w:before="60"/>
        <w:ind w:left="714" w:hanging="357"/>
        <w:jc w:val="both"/>
      </w:pPr>
      <w:r w:rsidRPr="00443402">
        <w:t>Za vrácení</w:t>
      </w:r>
      <w:r>
        <w:t xml:space="preserve">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E93F7E">
      <w:pPr>
        <w:pStyle w:val="Odstavecseseznamem"/>
        <w:numPr>
          <w:ilvl w:val="0"/>
          <w:numId w:val="10"/>
        </w:numPr>
        <w:spacing w:before="60"/>
        <w:ind w:left="714" w:hanging="35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9C035D" w:rsidP="00B51251">
            <w:pPr>
              <w:spacing w:before="120"/>
              <w:ind w:right="227"/>
              <w:jc w:val="center"/>
              <w:rPr>
                <w:color w:val="000000"/>
                <w:sz w:val="20"/>
              </w:rPr>
            </w:pPr>
            <w:r w:rsidRPr="00B51251">
              <w:rPr>
                <w:color w:val="000000"/>
                <w:sz w:val="20"/>
              </w:rPr>
              <w:t xml:space="preserve">4 </w:t>
            </w:r>
            <w:r w:rsidR="002327B6" w:rsidRPr="00B51251">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E93F7E">
      <w:pPr>
        <w:pStyle w:val="Odstavecseseznamem"/>
        <w:numPr>
          <w:ilvl w:val="0"/>
          <w:numId w:val="10"/>
        </w:numPr>
        <w:spacing w:before="60"/>
        <w:ind w:left="714" w:hanging="35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E93F7E">
      <w:pPr>
        <w:pStyle w:val="Odstavecseseznamem"/>
        <w:numPr>
          <w:ilvl w:val="0"/>
          <w:numId w:val="10"/>
        </w:numPr>
        <w:spacing w:before="60"/>
        <w:ind w:left="714" w:hanging="35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93F7E">
      <w:pPr>
        <w:pStyle w:val="Odstavecseseznamem"/>
        <w:numPr>
          <w:ilvl w:val="0"/>
          <w:numId w:val="10"/>
        </w:numPr>
        <w:spacing w:before="60"/>
        <w:ind w:left="714" w:hanging="357"/>
        <w:jc w:val="both"/>
      </w:pPr>
      <w:r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7E081F" w:rsidP="00E93F7E">
      <w:pPr>
        <w:pStyle w:val="Odstavecseseznamem"/>
        <w:numPr>
          <w:ilvl w:val="0"/>
          <w:numId w:val="10"/>
        </w:numPr>
        <w:spacing w:before="60"/>
        <w:ind w:left="714" w:hanging="357"/>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93F7E">
      <w:pPr>
        <w:pStyle w:val="Odstavecseseznamem"/>
        <w:numPr>
          <w:ilvl w:val="0"/>
          <w:numId w:val="10"/>
        </w:numPr>
        <w:spacing w:before="60"/>
        <w:ind w:left="714" w:hanging="357"/>
        <w:jc w:val="both"/>
      </w:pPr>
      <w:r>
        <w:lastRenderedPageBreak/>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822D1A">
      <w:pPr>
        <w:numPr>
          <w:ilvl w:val="0"/>
          <w:numId w:val="7"/>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822D1A">
      <w:pPr>
        <w:numPr>
          <w:ilvl w:val="0"/>
          <w:numId w:val="7"/>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822D1A">
      <w:pPr>
        <w:numPr>
          <w:ilvl w:val="0"/>
          <w:numId w:val="7"/>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822D1A">
      <w:pPr>
        <w:numPr>
          <w:ilvl w:val="0"/>
          <w:numId w:val="7"/>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proofErr w:type="gramStart"/>
      <w:r w:rsidR="001B0723">
        <w:t>….</w:t>
      </w:r>
      <w:r w:rsidR="00DB5C73">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w:t>
      </w:r>
      <w:r w:rsidRPr="00A479F4">
        <w:rPr>
          <w:iCs/>
          <w:color w:val="A6A6A6"/>
        </w:rPr>
        <w:t xml:space="preserve">mají charakter podpory de </w:t>
      </w:r>
      <w:proofErr w:type="spellStart"/>
      <w:r w:rsidRPr="00A479F4">
        <w:rPr>
          <w:iCs/>
          <w:color w:val="A6A6A6"/>
        </w:rPr>
        <w:t>minimis</w:t>
      </w:r>
      <w:proofErr w:type="spellEnd"/>
      <w:r w:rsidRPr="001617D3">
        <w:rPr>
          <w:iCs/>
          <w:color w:val="FF0000"/>
        </w:rPr>
        <w:t xml:space="preserve"> </w:t>
      </w:r>
      <w:r w:rsidRPr="004D0F1A">
        <w:rPr>
          <w:iCs/>
          <w:color w:val="A6A6A6"/>
        </w:rPr>
        <w:t xml:space="preserve">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rPr>
      </w:pPr>
      <w:r w:rsidRPr="004D0F1A">
        <w:rPr>
          <w:iCs/>
          <w:color w:val="A6A6A6"/>
        </w:rPr>
        <w:lastRenderedPageBreak/>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Default="000618B6" w:rsidP="00822D1A">
      <w:pPr>
        <w:numPr>
          <w:ilvl w:val="0"/>
          <w:numId w:val="4"/>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1617D3" w:rsidRDefault="00445BE3" w:rsidP="00B51251">
      <w:pPr>
        <w:autoSpaceDE w:val="0"/>
        <w:autoSpaceDN w:val="0"/>
        <w:spacing w:before="120"/>
        <w:jc w:val="both"/>
        <w:rPr>
          <w:bCs/>
        </w:rPr>
      </w:pPr>
      <w:r>
        <w:t xml:space="preserve">P1 </w:t>
      </w:r>
      <w:r w:rsidRPr="006E509E">
        <w:rPr>
          <w:bCs/>
        </w:rPr>
        <w:t xml:space="preserve">Závěrečné vyúčtování/vypořádání projektu podpořeného z Dotačního fondu Libereckého </w:t>
      </w:r>
      <w:r w:rsidR="001617D3">
        <w:rPr>
          <w:bCs/>
        </w:rPr>
        <w:t xml:space="preserve"> </w:t>
      </w:r>
    </w:p>
    <w:p w:rsidR="00445BE3" w:rsidRDefault="001617D3" w:rsidP="001617D3">
      <w:pPr>
        <w:autoSpaceDE w:val="0"/>
        <w:autoSpaceDN w:val="0"/>
        <w:jc w:val="both"/>
        <w:rPr>
          <w:bCs/>
        </w:rPr>
      </w:pPr>
      <w:r>
        <w:rPr>
          <w:bCs/>
        </w:rPr>
        <w:t xml:space="preserve">      </w:t>
      </w:r>
      <w:r w:rsidR="00445BE3" w:rsidRPr="006E509E">
        <w:rPr>
          <w:bCs/>
        </w:rPr>
        <w:t xml:space="preserve">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001617D3">
        <w:rPr>
          <w:bCs/>
          <w:vertAlign w:val="superscript"/>
        </w:rPr>
        <w:t xml:space="preserve"> </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C1080B">
      <w:pPr>
        <w:jc w:val="right"/>
        <w:outlineLvl w:val="0"/>
        <w:rPr>
          <w:bCs/>
        </w:rPr>
      </w:pPr>
      <w:r>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001617D3">
        <w:rPr>
          <w:b/>
          <w:bCs/>
          <w:sz w:val="28"/>
          <w:szCs w:val="28"/>
          <w:vertAlign w:val="superscript"/>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w:t>
            </w:r>
            <w:proofErr w:type="gramStart"/>
            <w:r w:rsidR="008D18C2">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9"/>
      <w:footerReference w:type="default" r:id="rId10"/>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1A" w:rsidRDefault="00822D1A">
      <w:r>
        <w:separator/>
      </w:r>
    </w:p>
  </w:endnote>
  <w:endnote w:type="continuationSeparator" w:id="0">
    <w:p w:rsidR="00822D1A" w:rsidRDefault="0082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1A" w:rsidRDefault="00822D1A">
      <w:r>
        <w:separator/>
      </w:r>
    </w:p>
  </w:footnote>
  <w:footnote w:type="continuationSeparator" w:id="0">
    <w:p w:rsidR="00822D1A" w:rsidRDefault="00822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2414C8"/>
    <w:multiLevelType w:val="hybridMultilevel"/>
    <w:tmpl w:val="D9F88AB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nsid w:val="5C0D3A1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10"/>
  </w:num>
  <w:num w:numId="4">
    <w:abstractNumId w:val="0"/>
  </w:num>
  <w:num w:numId="5">
    <w:abstractNumId w:val="13"/>
  </w:num>
  <w:num w:numId="6">
    <w:abstractNumId w:val="3"/>
  </w:num>
  <w:num w:numId="7">
    <w:abstractNumId w:val="11"/>
  </w:num>
  <w:num w:numId="8">
    <w:abstractNumId w:val="6"/>
  </w:num>
  <w:num w:numId="9">
    <w:abstractNumId w:val="8"/>
  </w:num>
  <w:num w:numId="10">
    <w:abstractNumId w:val="7"/>
  </w:num>
  <w:num w:numId="11">
    <w:abstractNumId w:val="2"/>
    <w:lvlOverride w:ilvl="0">
      <w:startOverride w:val="1"/>
    </w:lvlOverride>
  </w:num>
  <w:num w:numId="12">
    <w:abstractNumId w:val="9"/>
  </w:num>
  <w:num w:numId="13">
    <w:abstractNumId w:val="5"/>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448C9"/>
    <w:rsid w:val="00150343"/>
    <w:rsid w:val="00150E7D"/>
    <w:rsid w:val="0015224D"/>
    <w:rsid w:val="00153643"/>
    <w:rsid w:val="00153E3E"/>
    <w:rsid w:val="00155511"/>
    <w:rsid w:val="00157CC3"/>
    <w:rsid w:val="00160BA4"/>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1C43"/>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775B"/>
    <w:rsid w:val="0079113F"/>
    <w:rsid w:val="007924DD"/>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22D1A"/>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4A"/>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75C"/>
    <w:rsid w:val="00942D38"/>
    <w:rsid w:val="00943A9F"/>
    <w:rsid w:val="009440A2"/>
    <w:rsid w:val="00944F98"/>
    <w:rsid w:val="009468A0"/>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030D"/>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2C68-95C1-4E80-88F4-6E5F9AD6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3856</Words>
  <Characters>22753</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Hornová Eva</cp:lastModifiedBy>
  <cp:revision>2</cp:revision>
  <cp:lastPrinted>2016-05-30T12:16:00Z</cp:lastPrinted>
  <dcterms:created xsi:type="dcterms:W3CDTF">2017-02-22T10:14:00Z</dcterms:created>
  <dcterms:modified xsi:type="dcterms:W3CDTF">2017-02-22T10:14:00Z</dcterms:modified>
</cp:coreProperties>
</file>