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1EAA" w:rsidRPr="00743FA8" w:rsidRDefault="00B61EAA" w:rsidP="00B61EAA">
      <w:pPr>
        <w:spacing w:before="0" w:line="280" w:lineRule="exact"/>
        <w:jc w:val="center"/>
        <w:rPr>
          <w:rFonts w:eastAsia="Times New Roman" w:cs="Arial"/>
          <w:b/>
          <w:sz w:val="24"/>
          <w:szCs w:val="24"/>
        </w:rPr>
      </w:pPr>
      <w:bookmarkStart w:id="0" w:name="_GoBack"/>
      <w:bookmarkEnd w:id="0"/>
      <w:r w:rsidRPr="00743FA8">
        <w:rPr>
          <w:b/>
          <w:sz w:val="24"/>
        </w:rPr>
        <w:t>PŘÍLOHA IV.2</w:t>
      </w:r>
    </w:p>
    <w:p w:rsidR="00B61EAA" w:rsidRPr="00743FA8" w:rsidRDefault="00B61EAA" w:rsidP="00B61EAA">
      <w:pPr>
        <w:spacing w:before="0" w:line="280" w:lineRule="exact"/>
        <w:jc w:val="center"/>
        <w:rPr>
          <w:rFonts w:eastAsia="Times New Roman" w:cs="Arial"/>
          <w:b/>
          <w:sz w:val="24"/>
          <w:szCs w:val="24"/>
        </w:rPr>
      </w:pPr>
      <w:r w:rsidRPr="00743FA8">
        <w:rPr>
          <w:b/>
          <w:sz w:val="24"/>
        </w:rPr>
        <w:t>Prohlášení o postavení žadatele podle oboru státní pomoci</w:t>
      </w:r>
    </w:p>
    <w:p w:rsidR="00B61EAA" w:rsidRPr="00743FA8" w:rsidRDefault="00B61EAA" w:rsidP="00B61EAA">
      <w:pPr>
        <w:spacing w:before="0" w:after="120" w:line="280" w:lineRule="exact"/>
        <w:jc w:val="center"/>
        <w:rPr>
          <w:rFonts w:eastAsia="Times New Roman" w:cs="Arial"/>
          <w:b/>
          <w:sz w:val="20"/>
          <w:szCs w:val="20"/>
        </w:rPr>
      </w:pPr>
    </w:p>
    <w:p w:rsidR="00B61EAA" w:rsidRPr="00743FA8" w:rsidRDefault="00B61EAA" w:rsidP="00B61EAA">
      <w:pPr>
        <w:spacing w:before="0" w:after="120" w:line="280" w:lineRule="exact"/>
        <w:jc w:val="center"/>
        <w:rPr>
          <w:rFonts w:eastAsia="Times New Roman" w:cs="Arial"/>
          <w:b/>
          <w:sz w:val="20"/>
          <w:szCs w:val="20"/>
        </w:rPr>
      </w:pPr>
    </w:p>
    <w:p w:rsidR="00B61EAA" w:rsidRPr="00743FA8" w:rsidRDefault="00B61EAA" w:rsidP="00B61EAA">
      <w:pPr>
        <w:spacing w:before="120" w:after="0" w:line="280" w:lineRule="exact"/>
        <w:rPr>
          <w:rFonts w:eastAsia="Times New Roman" w:cs="Arial"/>
        </w:rPr>
      </w:pPr>
      <w:r w:rsidRPr="00743FA8">
        <w:t>Název a zkratka projektu: &lt;</w:t>
      </w:r>
      <w:r w:rsidR="00725485">
        <w:rPr>
          <w:b/>
          <w:i/>
        </w:rPr>
        <w:t>Danube4.0</w:t>
      </w:r>
      <w:r w:rsidRPr="00743FA8">
        <w:t>&gt;</w:t>
      </w:r>
    </w:p>
    <w:p w:rsidR="00B61EAA" w:rsidRPr="00743FA8" w:rsidRDefault="00B61EAA" w:rsidP="00B61EAA">
      <w:pPr>
        <w:spacing w:before="0" w:line="280" w:lineRule="exact"/>
        <w:rPr>
          <w:rFonts w:eastAsia="Times New Roman" w:cs="Times New Roman"/>
        </w:rPr>
      </w:pPr>
    </w:p>
    <w:p w:rsidR="00B61EAA" w:rsidRPr="00743FA8" w:rsidRDefault="00B61EAA" w:rsidP="00B61EAA">
      <w:pPr>
        <w:spacing w:before="0" w:line="280" w:lineRule="exact"/>
        <w:jc w:val="left"/>
        <w:rPr>
          <w:rFonts w:eastAsia="Times New Roman" w:cs="Times New Roman"/>
        </w:rPr>
      </w:pPr>
      <w:r w:rsidRPr="00743FA8">
        <w:t xml:space="preserve">Níže podepsaná osoba zastupující následující organizaci: </w:t>
      </w:r>
    </w:p>
    <w:p w:rsidR="00B61EAA" w:rsidRPr="00743FA8" w:rsidRDefault="00B61EAA" w:rsidP="00B61EAA">
      <w:pPr>
        <w:spacing w:before="0" w:line="280" w:lineRule="exact"/>
        <w:jc w:val="left"/>
        <w:rPr>
          <w:rFonts w:eastAsia="Times New Roman" w:cs="Tahoma"/>
          <w:i/>
          <w:iCs/>
        </w:rPr>
      </w:pPr>
      <w:r w:rsidRPr="00743FA8">
        <w:t>&lt;</w:t>
      </w:r>
      <w:r w:rsidR="00725485">
        <w:rPr>
          <w:b/>
          <w:i/>
        </w:rPr>
        <w:t>Liberecký kraj</w:t>
      </w:r>
      <w:r w:rsidR="00F204DF">
        <w:rPr>
          <w:b/>
          <w:i/>
        </w:rPr>
        <w:t>, U Jezu 642/2a, 461 80, Liberec 2</w:t>
      </w:r>
      <w:r w:rsidR="00F204DF" w:rsidRPr="00743FA8">
        <w:t xml:space="preserve"> </w:t>
      </w:r>
      <w:r w:rsidRPr="00743FA8">
        <w:t>&gt;</w:t>
      </w:r>
      <w:r w:rsidRPr="00743FA8">
        <w:rPr>
          <w:i/>
        </w:rPr>
        <w:t>,</w:t>
      </w:r>
    </w:p>
    <w:p w:rsidR="00B61EAA" w:rsidRPr="00743FA8" w:rsidRDefault="00B61EAA" w:rsidP="00B61EAA">
      <w:pPr>
        <w:spacing w:before="0" w:line="280" w:lineRule="exact"/>
        <w:jc w:val="center"/>
        <w:rPr>
          <w:rFonts w:eastAsia="Times New Roman" w:cs="Times New Roman"/>
        </w:rPr>
      </w:pPr>
      <w:r w:rsidRPr="00743FA8">
        <w:t>prohlašuje, že:</w:t>
      </w:r>
    </w:p>
    <w:p w:rsidR="00B61EAA" w:rsidRPr="00743FA8" w:rsidRDefault="00B61EAA" w:rsidP="00B61EAA">
      <w:pPr>
        <w:spacing w:before="0" w:line="280" w:lineRule="exact"/>
        <w:jc w:val="left"/>
        <w:rPr>
          <w:rFonts w:eastAsia="Times New Roman" w:cs="Times New Roman"/>
        </w:rPr>
      </w:pPr>
      <w:r w:rsidRPr="00743FA8">
        <w:t xml:space="preserve">1. V rámci dané oblasti státní pomoci se instituce, kterou zastupuji, </w:t>
      </w:r>
      <w:r w:rsidRPr="00725485">
        <w:rPr>
          <w:i/>
          <w:strike/>
        </w:rPr>
        <w:t>považuje</w:t>
      </w:r>
      <w:r w:rsidRPr="00743FA8">
        <w:rPr>
          <w:i/>
        </w:rPr>
        <w:t>/nepovažuje za podnik</w:t>
      </w:r>
      <w:r w:rsidRPr="00743FA8">
        <w:rPr>
          <w:i/>
          <w:vertAlign w:val="superscript"/>
        </w:rPr>
        <w:footnoteReference w:id="1"/>
      </w:r>
      <w:r w:rsidRPr="00743FA8">
        <w:rPr>
          <w:i/>
        </w:rPr>
        <w:t>.</w:t>
      </w:r>
    </w:p>
    <w:p w:rsidR="00B61EAA" w:rsidRPr="00743FA8" w:rsidRDefault="00B61EAA" w:rsidP="00B61EAA">
      <w:pPr>
        <w:spacing w:before="0" w:line="280" w:lineRule="exact"/>
        <w:rPr>
          <w:rFonts w:eastAsia="Times New Roman" w:cs="Times New Roman"/>
        </w:rPr>
      </w:pPr>
      <w:r w:rsidRPr="00743FA8">
        <w:t>2. V návrhu projektu v rámci prog</w:t>
      </w:r>
      <w:r w:rsidR="00422C6A">
        <w:t>ramu nadnárodní spolupráce Danube</w:t>
      </w:r>
      <w:r w:rsidRPr="00743FA8">
        <w:t xml:space="preserve"> se v souvislosti s danými činnostmi instituce, kterou zastupuji, </w:t>
      </w:r>
      <w:r w:rsidRPr="00422C6A">
        <w:rPr>
          <w:strike/>
        </w:rPr>
        <w:t>považuje</w:t>
      </w:r>
      <w:r w:rsidRPr="00743FA8">
        <w:rPr>
          <w:i/>
        </w:rPr>
        <w:t>/nepovažuje za podnik</w:t>
      </w:r>
      <w:r w:rsidRPr="00743FA8">
        <w:rPr>
          <w:i/>
          <w:vertAlign w:val="superscript"/>
        </w:rPr>
        <w:footnoteReference w:id="2"/>
      </w:r>
      <w:r w:rsidRPr="00743FA8">
        <w:t>:</w:t>
      </w:r>
    </w:p>
    <w:p w:rsidR="00B61EAA" w:rsidRPr="00743FA8" w:rsidRDefault="00B61EAA" w:rsidP="00B61EAA">
      <w:pPr>
        <w:tabs>
          <w:tab w:val="left" w:pos="5625"/>
          <w:tab w:val="right" w:pos="9072"/>
        </w:tabs>
        <w:spacing w:before="0" w:line="280" w:lineRule="exact"/>
        <w:rPr>
          <w:rFonts w:eastAsia="Times New Roman" w:cs="Times New Roman"/>
        </w:rPr>
      </w:pPr>
      <w:r w:rsidRPr="00743FA8">
        <w:t xml:space="preserve">3. Činnosti popsané v návrhu projektu </w:t>
      </w:r>
      <w:r w:rsidRPr="00725485">
        <w:rPr>
          <w:i/>
          <w:strike/>
        </w:rPr>
        <w:t>jsou</w:t>
      </w:r>
      <w:r w:rsidRPr="00743FA8">
        <w:rPr>
          <w:i/>
        </w:rPr>
        <w:t>/nejsou</w:t>
      </w:r>
      <w:r w:rsidRPr="00743FA8">
        <w:rPr>
          <w:i/>
          <w:vertAlign w:val="superscript"/>
        </w:rPr>
        <w:footnoteReference w:id="3"/>
      </w:r>
      <w:r w:rsidRPr="00743FA8">
        <w:t xml:space="preserve"> tržně orientovány. </w:t>
      </w:r>
    </w:p>
    <w:p w:rsidR="00B61EAA" w:rsidRPr="00743FA8" w:rsidRDefault="00B61EAA" w:rsidP="00B61EAA">
      <w:pPr>
        <w:tabs>
          <w:tab w:val="left" w:pos="5625"/>
          <w:tab w:val="right" w:pos="9072"/>
        </w:tabs>
        <w:spacing w:before="0" w:line="280" w:lineRule="exact"/>
        <w:rPr>
          <w:rFonts w:eastAsia="Times New Roman" w:cs="Times New Roman"/>
          <w:sz w:val="20"/>
          <w:szCs w:val="20"/>
        </w:rPr>
      </w:pPr>
      <w:r w:rsidRPr="00743FA8">
        <w:rPr>
          <w:sz w:val="20"/>
        </w:rPr>
        <w:t xml:space="preserve">V tomto oddílu by měl být uveden komplexní přehled tržně orientovaných činností v případě každého pracovního souboru činností. Stručně odůvodněte, proč se domníváte, že dané činnosti jsou nebo nejsou tržně orientovány. V případě tržně orientovaných činností uveďte rozpočet příslušné činnosti v rámci projektu. </w:t>
      </w:r>
    </w:p>
    <w:p w:rsidR="00B61EAA" w:rsidRPr="00743FA8" w:rsidRDefault="00C215C2" w:rsidP="00B61EAA">
      <w:pPr>
        <w:tabs>
          <w:tab w:val="left" w:pos="5625"/>
          <w:tab w:val="right" w:pos="9072"/>
        </w:tabs>
        <w:spacing w:before="0" w:line="280" w:lineRule="exact"/>
        <w:rPr>
          <w:rFonts w:eastAsia="Times New Roman" w:cs="Tahoma"/>
          <w:bCs/>
          <w:iCs/>
        </w:rPr>
      </w:pPr>
      <w:r w:rsidRPr="00743FA8">
        <w:rPr>
          <w:rFonts w:eastAsia="Times New Roman" w:cs="Tahoma"/>
          <w:bCs/>
          <w:iCs/>
          <w:highlight w:val="lightGray"/>
        </w:rPr>
        <w:fldChar w:fldCharType="begin">
          <w:ffData>
            <w:name w:val="Text1"/>
            <w:enabled/>
            <w:calcOnExit w:val="0"/>
            <w:textInput/>
          </w:ffData>
        </w:fldChar>
      </w:r>
      <w:r w:rsidR="00B61EAA" w:rsidRPr="00743FA8">
        <w:rPr>
          <w:rFonts w:eastAsia="Times New Roman" w:cs="Tahoma"/>
          <w:bCs/>
          <w:iCs/>
          <w:highlight w:val="lightGray"/>
        </w:rPr>
        <w:instrText xml:space="preserve"> FORMTEXT </w:instrText>
      </w:r>
      <w:r w:rsidRPr="00743FA8">
        <w:rPr>
          <w:rFonts w:eastAsia="Times New Roman" w:cs="Tahoma"/>
          <w:bCs/>
          <w:iCs/>
          <w:highlight w:val="lightGray"/>
        </w:rPr>
      </w:r>
      <w:r w:rsidRPr="00743FA8">
        <w:rPr>
          <w:rFonts w:eastAsia="Times New Roman" w:cs="Tahoma"/>
          <w:bCs/>
          <w:iCs/>
          <w:highlight w:val="lightGray"/>
        </w:rPr>
        <w:fldChar w:fldCharType="separate"/>
      </w:r>
      <w:r w:rsidR="000F2656" w:rsidRPr="00743FA8">
        <w:rPr>
          <w:noProof/>
          <w:highlight w:val="lightGray"/>
        </w:rPr>
        <w:t>     </w:t>
      </w:r>
      <w:r w:rsidRPr="00743FA8">
        <w:fldChar w:fldCharType="end"/>
      </w:r>
    </w:p>
    <w:p w:rsidR="00B61EAA" w:rsidRPr="00743FA8" w:rsidRDefault="00B61EAA" w:rsidP="00B61EAA">
      <w:pPr>
        <w:tabs>
          <w:tab w:val="left" w:pos="5625"/>
          <w:tab w:val="right" w:pos="9072"/>
        </w:tabs>
        <w:spacing w:before="0" w:line="280" w:lineRule="exact"/>
        <w:rPr>
          <w:rFonts w:eastAsia="Times New Roman" w:cs="Tahoma"/>
          <w:bCs/>
          <w:iCs/>
        </w:rPr>
      </w:pPr>
      <w:r w:rsidRPr="00743FA8">
        <w:t>4. Je-li odpověď na všechny výše uvedené otázky (1-3) kladná, poskytuje tato podpora selektivně danému podniku hospodářskou výhodu (přínos)</w:t>
      </w:r>
      <w:r w:rsidRPr="00743FA8">
        <w:rPr>
          <w:vertAlign w:val="superscript"/>
        </w:rPr>
        <w:footnoteReference w:id="4"/>
      </w:r>
      <w:r w:rsidRPr="00743FA8">
        <w:t>, kterou by tento podnik za běžných tržních podmínek neměl? (</w:t>
      </w:r>
      <w:r w:rsidRPr="00F204DF">
        <w:rPr>
          <w:strike/>
        </w:rPr>
        <w:t>Ano</w:t>
      </w:r>
      <w:r w:rsidRPr="00743FA8">
        <w:t>/ne)</w:t>
      </w:r>
    </w:p>
    <w:p w:rsidR="00B61EAA" w:rsidRPr="00743FA8" w:rsidRDefault="00B61EAA" w:rsidP="00B61EAA">
      <w:pPr>
        <w:tabs>
          <w:tab w:val="left" w:pos="5625"/>
          <w:tab w:val="right" w:pos="9072"/>
        </w:tabs>
        <w:spacing w:before="0" w:line="280" w:lineRule="exact"/>
        <w:rPr>
          <w:rFonts w:eastAsia="Times New Roman" w:cs="Times New Roman"/>
        </w:rPr>
      </w:pPr>
      <w:r w:rsidRPr="00743FA8">
        <w:t xml:space="preserve">5. Činnosti popsané v návrhu projektu z následujících důvodů </w:t>
      </w:r>
      <w:r w:rsidRPr="00725485">
        <w:rPr>
          <w:i/>
          <w:strike/>
        </w:rPr>
        <w:t>mají/</w:t>
      </w:r>
      <w:r w:rsidRPr="00743FA8">
        <w:rPr>
          <w:i/>
        </w:rPr>
        <w:t xml:space="preserve">nemají </w:t>
      </w:r>
      <w:r w:rsidRPr="00743FA8">
        <w:t xml:space="preserve">vliv na obchod mezi členskými státy. </w:t>
      </w:r>
    </w:p>
    <w:p w:rsidR="00B61EAA" w:rsidRPr="00743FA8" w:rsidRDefault="00B61EAA" w:rsidP="00B61EAA">
      <w:pPr>
        <w:tabs>
          <w:tab w:val="left" w:pos="5625"/>
          <w:tab w:val="right" w:pos="9072"/>
        </w:tabs>
        <w:spacing w:before="0" w:line="280" w:lineRule="exact"/>
        <w:rPr>
          <w:rFonts w:eastAsia="Times New Roman" w:cs="Times New Roman"/>
          <w:sz w:val="20"/>
          <w:szCs w:val="20"/>
        </w:rPr>
      </w:pPr>
      <w:r w:rsidRPr="00743FA8">
        <w:rPr>
          <w:sz w:val="20"/>
        </w:rPr>
        <w:t xml:space="preserve">V případě, že některé činnosti mají vliv na obchod mezi členskými a jiné jej nemají, uveďte příslušné důvody zvlášť.  </w:t>
      </w:r>
    </w:p>
    <w:p w:rsidR="00B61EAA" w:rsidRPr="00743FA8" w:rsidRDefault="00B61EAA" w:rsidP="00B61EAA">
      <w:pPr>
        <w:tabs>
          <w:tab w:val="left" w:pos="5625"/>
          <w:tab w:val="right" w:pos="9072"/>
        </w:tabs>
        <w:spacing w:before="0" w:line="280" w:lineRule="exact"/>
        <w:rPr>
          <w:rFonts w:eastAsia="Times New Roman" w:cs="Times New Roman"/>
        </w:rPr>
      </w:pPr>
      <w:r w:rsidRPr="00743FA8">
        <w:rPr>
          <w:b/>
          <w:i/>
          <w:highlight w:val="lightGray"/>
        </w:rPr>
        <w:t xml:space="preserve"> </w:t>
      </w:r>
      <w:r w:rsidR="00C215C2" w:rsidRPr="00743FA8">
        <w:rPr>
          <w:rFonts w:eastAsia="Times New Roman" w:cs="Tahoma"/>
          <w:bCs/>
          <w:iCs/>
          <w:highlight w:val="lightGray"/>
        </w:rPr>
        <w:fldChar w:fldCharType="begin">
          <w:ffData>
            <w:name w:val="Text1"/>
            <w:enabled/>
            <w:calcOnExit w:val="0"/>
            <w:textInput/>
          </w:ffData>
        </w:fldChar>
      </w:r>
      <w:r w:rsidRPr="00743FA8">
        <w:rPr>
          <w:rFonts w:eastAsia="Times New Roman" w:cs="Tahoma"/>
          <w:bCs/>
          <w:iCs/>
          <w:highlight w:val="lightGray"/>
        </w:rPr>
        <w:instrText xml:space="preserve"> FORMTEXT </w:instrText>
      </w:r>
      <w:r w:rsidR="00C215C2" w:rsidRPr="00743FA8">
        <w:rPr>
          <w:rFonts w:eastAsia="Times New Roman" w:cs="Tahoma"/>
          <w:bCs/>
          <w:iCs/>
          <w:highlight w:val="lightGray"/>
        </w:rPr>
      </w:r>
      <w:r w:rsidR="00C215C2" w:rsidRPr="00743FA8">
        <w:rPr>
          <w:rFonts w:eastAsia="Times New Roman" w:cs="Tahoma"/>
          <w:bCs/>
          <w:iCs/>
          <w:highlight w:val="lightGray"/>
        </w:rPr>
        <w:fldChar w:fldCharType="separate"/>
      </w:r>
      <w:bookmarkStart w:id="1" w:name="Text1"/>
      <w:r w:rsidRPr="00743FA8">
        <w:rPr>
          <w:noProof/>
          <w:highlight w:val="lightGray"/>
        </w:rPr>
        <w:t>     </w:t>
      </w:r>
      <w:r w:rsidR="00C215C2" w:rsidRPr="00743FA8">
        <w:fldChar w:fldCharType="end"/>
      </w:r>
      <w:bookmarkEnd w:id="1"/>
    </w:p>
    <w:p w:rsidR="00B61EAA" w:rsidRPr="00743FA8" w:rsidRDefault="00F46DAB" w:rsidP="00F204DF">
      <w:pPr>
        <w:tabs>
          <w:tab w:val="left" w:pos="3990"/>
        </w:tabs>
        <w:spacing w:before="0" w:line="280" w:lineRule="exact"/>
        <w:rPr>
          <w:rFonts w:eastAsia="Times New Roman" w:cs="Times New Roman"/>
        </w:rPr>
      </w:pPr>
      <w:r w:rsidRPr="00E931DC">
        <w:t xml:space="preserve">6. Instituce, kterou zastupuji, </w:t>
      </w:r>
      <w:r w:rsidRPr="00E931DC">
        <w:rPr>
          <w:i/>
        </w:rPr>
        <w:t>bude/</w:t>
      </w:r>
      <w:r w:rsidRPr="00E931DC">
        <w:rPr>
          <w:i/>
          <w:strike/>
        </w:rPr>
        <w:t>nebude</w:t>
      </w:r>
      <w:r w:rsidRPr="00E931DC">
        <w:rPr>
          <w:i/>
          <w:strike/>
          <w:vertAlign w:val="superscript"/>
        </w:rPr>
        <w:footnoteReference w:id="5"/>
      </w:r>
      <w:r w:rsidRPr="00E931DC">
        <w:rPr>
          <w:i/>
        </w:rPr>
        <w:t xml:space="preserve"> </w:t>
      </w:r>
      <w:r w:rsidRPr="00E931DC">
        <w:t>koncovým uživatelem příspěvku ERDF (tj. zapojí své vlastní zaměstnance nebo pověří provedením jednu z institucí, které ovládá</w:t>
      </w:r>
      <w:r w:rsidRPr="00E931DC">
        <w:rPr>
          <w:b/>
        </w:rPr>
        <w:t xml:space="preserve">). </w:t>
      </w:r>
    </w:p>
    <w:p w:rsidR="00B61EAA" w:rsidRPr="00743FA8" w:rsidRDefault="00B61EAA" w:rsidP="00B61EAA">
      <w:pPr>
        <w:spacing w:before="0" w:line="280" w:lineRule="exact"/>
        <w:rPr>
          <w:rFonts w:eastAsia="Times New Roman" w:cs="Times New Roman"/>
        </w:rPr>
      </w:pPr>
      <w:r w:rsidRPr="00743FA8">
        <w:lastRenderedPageBreak/>
        <w:t>Prohlašuji, že poskytnutá podpora, s výjimkou případů ve smyslu čl. 1 odst. 2 nařízení o podpoře de minimis, nebude použita ve výjimečných případech vymezených v čl. 1 odst. 1 nařízení o podpoře de minimis a podle čl. 3 odst. 2 pro pořízení vozidel silniční nákladní dopravy.</w:t>
      </w:r>
    </w:p>
    <w:p w:rsidR="00B61EAA" w:rsidRPr="00743FA8" w:rsidRDefault="00B61EAA" w:rsidP="00B61EAA">
      <w:pPr>
        <w:spacing w:before="0" w:line="280" w:lineRule="exact"/>
        <w:rPr>
          <w:rFonts w:eastAsia="Times New Roman" w:cs="Times New Roman"/>
        </w:rPr>
      </w:pPr>
      <w:r w:rsidRPr="00743FA8">
        <w:t>Beru na vědomí, že nepravdivá/falešná prohlášení mohou mít kromě správních sankcí a žádosti o vrácení neoprávněně přijatého příspěvku navýšeného o příslušný úrok, za následek i stíhání podle trestního zákoníku.</w:t>
      </w:r>
    </w:p>
    <w:p w:rsidR="00B61EAA" w:rsidRPr="00743FA8" w:rsidRDefault="00B61EAA" w:rsidP="00B61EAA">
      <w:pPr>
        <w:spacing w:before="0" w:line="280" w:lineRule="exact"/>
        <w:rPr>
          <w:rFonts w:eastAsia="Times New Roman" w:cs="Times New Roman"/>
        </w:rPr>
      </w:pPr>
    </w:p>
    <w:p w:rsidR="00B61EAA" w:rsidRPr="00743FA8" w:rsidRDefault="00B61EAA" w:rsidP="00725485">
      <w:pPr>
        <w:spacing w:before="0" w:line="280" w:lineRule="exact"/>
        <w:rPr>
          <w:rFonts w:eastAsia="Times New Roman" w:cs="Times New Roman"/>
        </w:rPr>
      </w:pPr>
      <w:r w:rsidRPr="00743FA8">
        <w:t xml:space="preserve"> ………………………………………                   </w:t>
      </w:r>
      <w:r w:rsidRPr="00743FA8">
        <w:tab/>
      </w:r>
      <w:r w:rsidRPr="00743FA8">
        <w:tab/>
      </w:r>
      <w:r w:rsidR="00725485">
        <w:t xml:space="preserve">                  ………………………………………</w:t>
      </w:r>
    </w:p>
    <w:p w:rsidR="00B61EAA" w:rsidRPr="00743FA8" w:rsidRDefault="008F047B" w:rsidP="00B61EAA">
      <w:pPr>
        <w:spacing w:before="0" w:line="280" w:lineRule="exact"/>
        <w:rPr>
          <w:rFonts w:eastAsia="Times New Roman" w:cs="Times New Roman"/>
        </w:rPr>
      </w:pPr>
      <w:r>
        <w:rPr>
          <w:rFonts w:eastAsia="Times New Roman" w:cs="Times New Roman"/>
          <w:noProof/>
          <w:lang w:val="cs-CZ" w:eastAsia="cs-CZ"/>
        </w:rPr>
        <mc:AlternateContent>
          <mc:Choice Requires="wps">
            <w:drawing>
              <wp:anchor distT="0" distB="0" distL="114300" distR="114300" simplePos="0" relativeHeight="251659264" behindDoc="0" locked="0" layoutInCell="1" allowOverlap="1">
                <wp:simplePos x="0" y="0"/>
                <wp:positionH relativeFrom="column">
                  <wp:posOffset>3256807</wp:posOffset>
                </wp:positionH>
                <wp:positionV relativeFrom="paragraph">
                  <wp:posOffset>189230</wp:posOffset>
                </wp:positionV>
                <wp:extent cx="1924050" cy="676275"/>
                <wp:effectExtent l="0" t="0" r="19050" b="2857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4050" cy="676275"/>
                        </a:xfrm>
                        <a:prstGeom prst="rect">
                          <a:avLst/>
                        </a:prstGeom>
                        <a:solidFill>
                          <a:srgbClr val="FFFFFF"/>
                        </a:solidFill>
                        <a:ln w="9525">
                          <a:solidFill>
                            <a:srgbClr val="548DD4"/>
                          </a:solidFill>
                          <a:miter lim="800000"/>
                          <a:headEnd/>
                          <a:tailEnd/>
                        </a:ln>
                      </wps:spPr>
                      <wps:txbx>
                        <w:txbxContent>
                          <w:p w:rsidR="00B61EAA" w:rsidRDefault="00B61EAA" w:rsidP="00B61EA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256.45pt;margin-top:14.9pt;width:151.5pt;height:53.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" strokecolor="#548dd4">
                <v:textbox>
                  <w:txbxContent>
                    <w:p w:rsidR="00B61EAA" w:rsidRDefault="00B61EAA" w:rsidP="00B61EAA"/>
                  </w:txbxContent>
                </v:textbox>
              </v:shape>
            </w:pict>
          </mc:Fallback>
        </mc:AlternateContent>
      </w:r>
      <w:r w:rsidR="000F2656" w:rsidRPr="00743FA8">
        <w:t xml:space="preserve">                 Podpis </w:t>
      </w:r>
      <w:r w:rsidR="000F2656" w:rsidRPr="00743FA8">
        <w:tab/>
      </w:r>
      <w:r w:rsidR="000F2656" w:rsidRPr="00743FA8">
        <w:tab/>
      </w:r>
      <w:r w:rsidR="00725485">
        <w:tab/>
        <w:t xml:space="preserve">                                                  </w:t>
      </w:r>
      <w:r w:rsidR="000F2656" w:rsidRPr="00743FA8">
        <w:t>Datum</w:t>
      </w:r>
    </w:p>
    <w:p w:rsidR="00B61EAA" w:rsidRPr="00743FA8" w:rsidRDefault="00B61EAA" w:rsidP="00B61EAA">
      <w:pPr>
        <w:spacing w:before="0" w:line="280" w:lineRule="exact"/>
        <w:rPr>
          <w:rFonts w:eastAsia="Times New Roman" w:cs="Times New Roman"/>
        </w:rPr>
      </w:pPr>
    </w:p>
    <w:p w:rsidR="00725485" w:rsidRDefault="00725485" w:rsidP="00B61EAA">
      <w:pPr>
        <w:spacing w:before="0" w:line="280" w:lineRule="exact"/>
      </w:pPr>
      <w:r>
        <w:t xml:space="preserve">Martin Půta </w:t>
      </w:r>
    </w:p>
    <w:p w:rsidR="00B61EAA" w:rsidRPr="00743FA8" w:rsidRDefault="00725485" w:rsidP="00725485">
      <w:pPr>
        <w:spacing w:before="0" w:line="280" w:lineRule="exact"/>
        <w:rPr>
          <w:rFonts w:eastAsia="Times New Roman" w:cs="Times New Roman"/>
        </w:rPr>
      </w:pPr>
      <w:r>
        <w:t>Hejtman Libereckého kraje</w:t>
      </w:r>
      <w:r w:rsidR="00B61EAA" w:rsidRPr="00743FA8">
        <w:t xml:space="preserve">             </w:t>
      </w:r>
      <w:r w:rsidR="00B61EAA" w:rsidRPr="00743FA8">
        <w:tab/>
      </w:r>
      <w:r>
        <w:t xml:space="preserve">           </w:t>
      </w:r>
      <w:r w:rsidR="00B61EAA" w:rsidRPr="00743FA8">
        <w:tab/>
      </w:r>
      <w:r w:rsidR="00B61EAA" w:rsidRPr="00743FA8">
        <w:tab/>
      </w:r>
      <w:r w:rsidR="006C34C8" w:rsidRPr="00743FA8">
        <w:t xml:space="preserve">(Úřední razítko partnerské instituce) </w:t>
      </w:r>
    </w:p>
    <w:p w:rsidR="00B61EAA" w:rsidRPr="00743FA8" w:rsidRDefault="00B61EAA">
      <w:r w:rsidRPr="00743FA8">
        <w:br w:type="page"/>
      </w:r>
    </w:p>
    <w:p w:rsidR="00B61EAA" w:rsidRPr="00743FA8" w:rsidRDefault="00B61EAA" w:rsidP="00B61EAA">
      <w:pPr>
        <w:spacing w:before="0" w:line="280" w:lineRule="exact"/>
        <w:jc w:val="center"/>
        <w:rPr>
          <w:rFonts w:eastAsia="Times New Roman" w:cs="Times New Roman"/>
          <w:b/>
          <w:color w:val="17365D"/>
          <w:sz w:val="24"/>
          <w:szCs w:val="24"/>
        </w:rPr>
      </w:pPr>
      <w:r w:rsidRPr="00743FA8">
        <w:rPr>
          <w:b/>
          <w:color w:val="17365D"/>
          <w:sz w:val="24"/>
        </w:rPr>
        <w:lastRenderedPageBreak/>
        <w:t>Oblast státní podpory</w:t>
      </w:r>
    </w:p>
    <w:p w:rsidR="00B61EAA" w:rsidRPr="00743FA8" w:rsidRDefault="00B61EAA" w:rsidP="00B61EAA">
      <w:pPr>
        <w:spacing w:before="0" w:line="280" w:lineRule="exact"/>
        <w:rPr>
          <w:rFonts w:eastAsia="Times New Roman" w:cs="Times New Roman"/>
          <w:b/>
          <w:color w:val="17365D"/>
        </w:rPr>
      </w:pPr>
      <w:r w:rsidRPr="00743FA8">
        <w:rPr>
          <w:color w:val="17365D"/>
        </w:rPr>
        <w:t xml:space="preserve">Podle článku 107 Smlouvy o fungování Evropské unie (dále jen smlouva) a čl. 2 odst. 13 nařízení (ES) č. 1303/2013 </w:t>
      </w:r>
      <w:r w:rsidRPr="00743FA8">
        <w:rPr>
          <w:b/>
          <w:color w:val="17365D"/>
        </w:rPr>
        <w:t>nerozhoduje o tom, zda je, či není nutno respektovat oblast státní podpory, právní hledisko (veřejné či soukromé), nýbrž povaha činností, které žadatel hodlá provést.</w:t>
      </w:r>
    </w:p>
    <w:p w:rsidR="00B61EAA" w:rsidRPr="00743FA8" w:rsidRDefault="00B61EAA" w:rsidP="00B61EAA">
      <w:pPr>
        <w:spacing w:before="0" w:line="280" w:lineRule="exact"/>
        <w:rPr>
          <w:rFonts w:eastAsia="Times New Roman" w:cs="Times New Roman"/>
          <w:color w:val="17365D"/>
        </w:rPr>
      </w:pPr>
      <w:r w:rsidRPr="00743FA8">
        <w:rPr>
          <w:color w:val="17365D"/>
        </w:rPr>
        <w:t>Ustanovení čl. 107 odst. 1 smlouvy konkrétně stanoví, že:</w:t>
      </w:r>
    </w:p>
    <w:p w:rsidR="00B61EAA" w:rsidRPr="00743FA8" w:rsidRDefault="00B61EAA" w:rsidP="00B61EAA">
      <w:pPr>
        <w:spacing w:before="0" w:line="280" w:lineRule="exact"/>
        <w:ind w:left="284"/>
        <w:rPr>
          <w:rFonts w:eastAsia="Times New Roman" w:cs="Arial"/>
          <w:i/>
          <w:color w:val="17365D"/>
        </w:rPr>
      </w:pPr>
      <w:r w:rsidRPr="00743FA8">
        <w:rPr>
          <w:i/>
          <w:color w:val="17365D"/>
        </w:rPr>
        <w:t>„(…) podpory poskytované v jakékoli formě státem nebo ze státních prostředků, které narušují nebo mohou narušit hospodářskou soutěž tím, že zvýhodňují určité podniky nebo určitá odvětví výroby, jsou, pokud ovlivňují obchod mezi členskými státy, neslučitelné s vnitřním trhem.”</w:t>
      </w:r>
    </w:p>
    <w:p w:rsidR="00B61EAA" w:rsidRPr="00743FA8" w:rsidRDefault="00B61EAA" w:rsidP="00B61EAA">
      <w:pPr>
        <w:spacing w:before="0" w:line="280" w:lineRule="exact"/>
        <w:rPr>
          <w:rFonts w:eastAsia="Times New Roman" w:cs="Arial"/>
          <w:color w:val="17365D"/>
        </w:rPr>
      </w:pPr>
      <w:r w:rsidRPr="00743FA8">
        <w:rPr>
          <w:color w:val="17365D"/>
        </w:rPr>
        <w:t>V praxi platí, že jde o státní podporu, pokud jsou splněna všechna níže uvedená kritéria:</w:t>
      </w:r>
    </w:p>
    <w:p w:rsidR="00B61EAA" w:rsidRPr="00743FA8" w:rsidRDefault="00B61EAA" w:rsidP="00B61EAA">
      <w:pPr>
        <w:numPr>
          <w:ilvl w:val="0"/>
          <w:numId w:val="1"/>
        </w:numPr>
        <w:spacing w:before="0" w:line="280" w:lineRule="exact"/>
        <w:rPr>
          <w:rFonts w:eastAsia="Times New Roman" w:cs="Arial"/>
          <w:color w:val="17365D"/>
        </w:rPr>
      </w:pPr>
      <w:r w:rsidRPr="00743FA8">
        <w:rPr>
          <w:color w:val="17365D"/>
        </w:rPr>
        <w:t>Příjemcem podpory je „podnik”, tj. subjekt vykonávající hospodářskou činnost (tj. nabízení zboží a služeb na trhu), nezávisle na jeho právním postavení a na tom, zda je jeho cílem dosažení zisku, či nikoli. Podnikem může být veřejný orgán, charita, nevládní organizace, sdružení, univerzita, soukromá společnost atd.</w:t>
      </w:r>
    </w:p>
    <w:p w:rsidR="00B61EAA" w:rsidRPr="00743FA8" w:rsidRDefault="00B61EAA" w:rsidP="00B61EAA">
      <w:pPr>
        <w:numPr>
          <w:ilvl w:val="0"/>
          <w:numId w:val="1"/>
        </w:numPr>
        <w:spacing w:before="0" w:line="280" w:lineRule="exact"/>
        <w:rPr>
          <w:rFonts w:eastAsia="Times New Roman" w:cs="Arial"/>
          <w:color w:val="17365D"/>
        </w:rPr>
      </w:pPr>
      <w:r w:rsidRPr="00743FA8">
        <w:rPr>
          <w:color w:val="17365D"/>
        </w:rPr>
        <w:t>Tato podpora pochází od státu, což u programů Interreg platí bez výjimky.</w:t>
      </w:r>
    </w:p>
    <w:p w:rsidR="00B61EAA" w:rsidRPr="00743FA8" w:rsidRDefault="00B61EAA" w:rsidP="00B61EAA">
      <w:pPr>
        <w:numPr>
          <w:ilvl w:val="0"/>
          <w:numId w:val="1"/>
        </w:numPr>
        <w:spacing w:before="0" w:line="280" w:lineRule="exact"/>
        <w:rPr>
          <w:rFonts w:eastAsia="Times New Roman" w:cs="Arial"/>
          <w:color w:val="17365D"/>
        </w:rPr>
      </w:pPr>
      <w:r w:rsidRPr="00743FA8">
        <w:rPr>
          <w:color w:val="17365D"/>
        </w:rPr>
        <w:t>Tato podpora přináší ekonomickou výhodu (přínos), kterou by daný podnik za obvyklých tržních podmínek neměl.</w:t>
      </w:r>
    </w:p>
    <w:p w:rsidR="00B61EAA" w:rsidRPr="00743FA8" w:rsidRDefault="00B61EAA" w:rsidP="00B61EAA">
      <w:pPr>
        <w:numPr>
          <w:ilvl w:val="0"/>
          <w:numId w:val="1"/>
        </w:numPr>
        <w:spacing w:before="0" w:line="280" w:lineRule="exact"/>
        <w:rPr>
          <w:rFonts w:eastAsia="Times New Roman" w:cs="Times New Roman"/>
          <w:color w:val="17365D"/>
        </w:rPr>
      </w:pPr>
      <w:r w:rsidRPr="00743FA8">
        <w:rPr>
          <w:color w:val="17365D"/>
        </w:rPr>
        <w:t>Podpora selektivně zvýhodňuje některé podniky nebo výrobu určitých výrobků a narušuje nebo (hrozí narušením) hospodářské soutěže a obchodu mezi členskými státy.</w:t>
      </w:r>
    </w:p>
    <w:p w:rsidR="00B61EAA" w:rsidRPr="00743FA8" w:rsidRDefault="00B61EAA" w:rsidP="00B61EAA">
      <w:pPr>
        <w:spacing w:before="0" w:line="280" w:lineRule="exact"/>
        <w:rPr>
          <w:rFonts w:eastAsia="Times New Roman" w:cs="Arial"/>
          <w:b/>
          <w:i/>
          <w:color w:val="17365D"/>
        </w:rPr>
      </w:pPr>
      <w:r w:rsidRPr="00743FA8">
        <w:rPr>
          <w:b/>
          <w:i/>
          <w:color w:val="17365D"/>
        </w:rPr>
        <w:t>Poskytnutí podpory ze strany veřejného orgánu</w:t>
      </w:r>
    </w:p>
    <w:p w:rsidR="00B61EAA" w:rsidRPr="00743FA8" w:rsidRDefault="00B61EAA" w:rsidP="00B61EAA">
      <w:pPr>
        <w:spacing w:before="0" w:line="280" w:lineRule="exact"/>
        <w:rPr>
          <w:rFonts w:eastAsia="Times New Roman" w:cs="Arial"/>
          <w:color w:val="17365D"/>
        </w:rPr>
      </w:pPr>
      <w:r w:rsidRPr="00743FA8">
        <w:rPr>
          <w:color w:val="17365D"/>
        </w:rPr>
        <w:t xml:space="preserve">Vzhledem k tomu, že finanční prostředky, které mají být poskytnuty v rámci nadnárodního programu </w:t>
      </w:r>
      <w:r w:rsidR="00422C6A">
        <w:rPr>
          <w:color w:val="17365D"/>
        </w:rPr>
        <w:t>Danube</w:t>
      </w:r>
      <w:r w:rsidRPr="00743FA8">
        <w:rPr>
          <w:color w:val="17365D"/>
        </w:rPr>
        <w:t>, jsou veřejného charakteru, je nutno vycházet z toho, že „de facto“ nastává situace popsaná v bodě 2 výše.</w:t>
      </w:r>
    </w:p>
    <w:p w:rsidR="00B61EAA" w:rsidRPr="00743FA8" w:rsidRDefault="00B61EAA" w:rsidP="00B61EAA">
      <w:pPr>
        <w:spacing w:before="0" w:line="280" w:lineRule="exact"/>
        <w:rPr>
          <w:rFonts w:eastAsia="Times New Roman" w:cs="Arial"/>
          <w:b/>
          <w:i/>
          <w:color w:val="17365D"/>
        </w:rPr>
      </w:pPr>
      <w:r w:rsidRPr="00743FA8">
        <w:rPr>
          <w:b/>
          <w:i/>
          <w:color w:val="17365D"/>
        </w:rPr>
        <w:t>Vymezení pojmu „podnik“</w:t>
      </w:r>
    </w:p>
    <w:p w:rsidR="00B61EAA" w:rsidRPr="00743FA8" w:rsidRDefault="00B61EAA" w:rsidP="00B61EAA">
      <w:pPr>
        <w:suppressAutoHyphens/>
        <w:spacing w:before="0" w:line="280" w:lineRule="exact"/>
        <w:rPr>
          <w:rFonts w:eastAsia="Times New Roman" w:cs="Arial"/>
          <w:bCs/>
          <w:color w:val="17365D"/>
        </w:rPr>
      </w:pPr>
      <w:r w:rsidRPr="00743FA8">
        <w:rPr>
          <w:color w:val="17365D"/>
        </w:rPr>
        <w:t xml:space="preserve">Ve smyslu právních předpisů o hospodářské soutěži se podnikem rozumí jakýkoli subjekt, který vykonává činnost hospodářské povahy a který nabízí zboží a služby v prostředí (skutečné nebo potenciální) hospodářské soutěže s dalšími hospodářskými subjekty působícími na trhu, které provádějí činnosti hospodářské povahy zabývající se výrobou a uváděním zboží a služeb na trh. </w:t>
      </w:r>
    </w:p>
    <w:p w:rsidR="00B61EAA" w:rsidRPr="00743FA8" w:rsidRDefault="00B61EAA" w:rsidP="00B61EAA">
      <w:pPr>
        <w:spacing w:before="0" w:line="280" w:lineRule="exact"/>
        <w:rPr>
          <w:rFonts w:eastAsia="Times New Roman" w:cs="Arial"/>
          <w:color w:val="17365D"/>
        </w:rPr>
      </w:pPr>
      <w:r w:rsidRPr="00743FA8">
        <w:rPr>
          <w:color w:val="17365D"/>
        </w:rPr>
        <w:t>Toto velmi široké pojetí podniku rovněž zahrnuje všechny soukromé a veřejné firmy a veškerou jejich produkci. Činnosti prováděné v rámci statutárních úkolů obvykle prováděných veřejnými orgány, nespadají do pojetí podniku vzhledem k jejich neobchodním účelům a postupům.</w:t>
      </w:r>
    </w:p>
    <w:p w:rsidR="00B61EAA" w:rsidRPr="00743FA8" w:rsidRDefault="00B61EAA" w:rsidP="00B61EAA">
      <w:pPr>
        <w:spacing w:before="0" w:line="280" w:lineRule="exact"/>
        <w:rPr>
          <w:rFonts w:eastAsia="Times New Roman" w:cs="Arial"/>
          <w:color w:val="17365D"/>
        </w:rPr>
      </w:pPr>
      <w:r w:rsidRPr="00743FA8">
        <w:rPr>
          <w:color w:val="17365D"/>
        </w:rPr>
        <w:t>V mnoha případech ale lze místní veřejné nebo správní orgány považovat za subjekty podobné podnikům. V tomto ohledu podotýká Komise následující:</w:t>
      </w:r>
    </w:p>
    <w:p w:rsidR="00B61EAA" w:rsidRPr="00743FA8" w:rsidRDefault="00B61EAA" w:rsidP="00B61EAA">
      <w:pPr>
        <w:spacing w:before="0" w:line="280" w:lineRule="exact"/>
        <w:ind w:left="284"/>
        <w:rPr>
          <w:rFonts w:eastAsia="Times New Roman" w:cs="Arial"/>
          <w:i/>
          <w:color w:val="17365D"/>
        </w:rPr>
      </w:pPr>
      <w:r w:rsidRPr="00743FA8">
        <w:rPr>
          <w:i/>
          <w:color w:val="17365D"/>
        </w:rPr>
        <w:t>„Je pravda, že obce a sdružení místních orgánů nejsou obvykle považovány za podniky. Ale i když provádějí řadu veřejných úkolů a vykonávají veřejné pravomoci, podle rozsudku Soudního dvora Evropských společenství ze dne 16. června 1987 ve věci 118/85 (Komise v. Itálie) je lze považovat za podniky, pokud provádějí hospodářskou činnost na trhu. Zde se bude předpokládat, že tomu tak je, a to zejména v případech, kdy obce působí prostřednictvím obecního podniku provozovaného majitelem”:</w:t>
      </w:r>
    </w:p>
    <w:p w:rsidR="00B61EAA" w:rsidRPr="00743FA8" w:rsidRDefault="00B61EAA" w:rsidP="00B61EAA">
      <w:pPr>
        <w:spacing w:before="0" w:line="280" w:lineRule="exact"/>
        <w:rPr>
          <w:rFonts w:eastAsia="Times New Roman" w:cs="Arial"/>
          <w:color w:val="17365D"/>
        </w:rPr>
      </w:pPr>
      <w:r w:rsidRPr="00743FA8">
        <w:rPr>
          <w:color w:val="17365D"/>
        </w:rPr>
        <w:lastRenderedPageBreak/>
        <w:t>Při posuzování celé řady činností těchto orgánů je zapotřebí pragmatického přístupu, který zohledňuje činnosti, které budou na trhu prováděny. Likvidace nebo zpracování odpadu, které byly v minulosti pravomocí místních správních úřadů nebo které místní správní úřady poskytovaly mimo rámec tržní logiky, se nyní v podstatě považují za podnikatelskou činnost. Obecně tyto činnosti často provádějí subjekty, které jsou z velké části nebo zcela ovládány veřejnými orgány a vzhledem k jejich orientaci na zajištění veřejného zájmu jsou považovány za podnikatelské činnosti</w:t>
      </w:r>
    </w:p>
    <w:p w:rsidR="00B61EAA" w:rsidRPr="00743FA8" w:rsidRDefault="00B61EAA" w:rsidP="00B61EAA">
      <w:pPr>
        <w:spacing w:before="0" w:line="280" w:lineRule="exact"/>
        <w:rPr>
          <w:rFonts w:eastAsia="Times New Roman" w:cs="Arial"/>
          <w:b/>
          <w:i/>
          <w:color w:val="17365D"/>
        </w:rPr>
      </w:pPr>
      <w:r w:rsidRPr="00743FA8">
        <w:rPr>
          <w:b/>
          <w:i/>
          <w:color w:val="17365D"/>
        </w:rPr>
        <w:t>Narušení trhu</w:t>
      </w:r>
    </w:p>
    <w:p w:rsidR="00B61EAA" w:rsidRPr="00743FA8" w:rsidRDefault="00B61EAA" w:rsidP="00B61EAA">
      <w:pPr>
        <w:spacing w:before="0" w:line="280" w:lineRule="exact"/>
        <w:rPr>
          <w:rFonts w:eastAsia="Times New Roman" w:cs="Arial"/>
          <w:color w:val="17365D"/>
        </w:rPr>
      </w:pPr>
      <w:r w:rsidRPr="00743FA8">
        <w:rPr>
          <w:color w:val="17365D"/>
        </w:rPr>
        <w:t>Třetí bod, který je nutný pro uplatnění oblasti státní podpory, nastává, pokud dojde k narušení hospodářské soutěže, a to má dopad na obchod mezi členskými státy. Existují dvě výjimky: pokud je podpora poskytována ve vztahu k činnostem, které lze považovat za místní, a pokud je výše poskytované podpory omezená (</w:t>
      </w:r>
      <w:r w:rsidRPr="00743FA8">
        <w:rPr>
          <w:i/>
          <w:color w:val="17365D"/>
        </w:rPr>
        <w:t>de minimis</w:t>
      </w:r>
      <w:r w:rsidRPr="00743FA8">
        <w:rPr>
          <w:color w:val="17365D"/>
        </w:rPr>
        <w:t>).</w:t>
      </w:r>
    </w:p>
    <w:p w:rsidR="00B61EAA" w:rsidRPr="00743FA8" w:rsidRDefault="00B61EAA" w:rsidP="00B61EAA">
      <w:pPr>
        <w:spacing w:before="0" w:line="280" w:lineRule="exact"/>
        <w:rPr>
          <w:rFonts w:eastAsia="Times New Roman" w:cs="Arial"/>
          <w:color w:val="17365D"/>
        </w:rPr>
      </w:pPr>
      <w:r w:rsidRPr="00743FA8">
        <w:rPr>
          <w:color w:val="17365D"/>
        </w:rPr>
        <w:t>Pokud jde o první výjimku, Komise v bodě 2.1 pokynů Společenství ke státní podpoře malých a středních podniků z roku 1996 uvádí následující:</w:t>
      </w:r>
    </w:p>
    <w:p w:rsidR="00B61EAA" w:rsidRPr="00743FA8" w:rsidRDefault="00B61EAA" w:rsidP="00B61EAA">
      <w:pPr>
        <w:spacing w:before="0" w:line="280" w:lineRule="exact"/>
        <w:ind w:left="284"/>
        <w:rPr>
          <w:rFonts w:eastAsia="Times New Roman" w:cs="Arial"/>
          <w:i/>
          <w:color w:val="17365D"/>
        </w:rPr>
      </w:pPr>
      <w:r w:rsidRPr="00743FA8">
        <w:rPr>
          <w:i/>
          <w:color w:val="17365D"/>
        </w:rPr>
        <w:t>„Nicméně některé malé a střední podniky a zejména některé mikropodniky provozují podnikání, u něhož nedochází k žádnému obchodu mezi členskými státy… Podpora, která je jím poskytována ve vztahu k činnostem tohoto druhu, nespadá do rozsahu působnosti čl. 92 (nyní 87) odst. 1”</w:t>
      </w:r>
    </w:p>
    <w:p w:rsidR="00B61EAA" w:rsidRPr="00743FA8" w:rsidRDefault="00B61EAA" w:rsidP="00B61EAA">
      <w:pPr>
        <w:spacing w:before="0" w:line="280" w:lineRule="exact"/>
        <w:rPr>
          <w:rFonts w:eastAsia="Times New Roman" w:cs="Arial"/>
          <w:color w:val="17365D"/>
        </w:rPr>
      </w:pPr>
      <w:r w:rsidRPr="00743FA8">
        <w:rPr>
          <w:color w:val="17365D"/>
        </w:rPr>
        <w:t>Důležitá není velikost podniku, ale činnosti, které tento podnik vykonává</w:t>
      </w:r>
      <w:r w:rsidR="00422C6A">
        <w:rPr>
          <w:color w:val="17365D"/>
        </w:rPr>
        <w:t>,</w:t>
      </w:r>
      <w:r w:rsidRPr="00743FA8">
        <w:rPr>
          <w:color w:val="17365D"/>
        </w:rPr>
        <w:t xml:space="preserve"> a které se ze své povahy nenacházejí na konkurenčním mezinárodním trhu. V důsledku toho nemá jakákoli veřejná podpora ve prospěch takového podniku možnost ovlivnit obchod mezi členskými státy.</w:t>
      </w:r>
    </w:p>
    <w:p w:rsidR="00B61EAA" w:rsidRPr="00743FA8" w:rsidRDefault="00B61EAA" w:rsidP="00B61EAA">
      <w:pPr>
        <w:spacing w:before="0" w:line="280" w:lineRule="exact"/>
        <w:rPr>
          <w:rFonts w:eastAsia="Times New Roman" w:cs="Arial"/>
          <w:color w:val="17365D"/>
        </w:rPr>
      </w:pPr>
      <w:r w:rsidRPr="00743FA8">
        <w:rPr>
          <w:color w:val="17365D"/>
        </w:rPr>
        <w:t>Tato zásada byla následně potvrzena v „pokynech k státní podpoře podniků v znevýhodněných městských oblastech" z roku 1997, v nichž Komise uvedla příklady činností, které lze označit za „místní", mezi nimiž uvedla mimo jiné maloobchod a opravy předmětů v domácnosti, taxislužbu, společenské a osobní činnosti, prodej a opravy motorových vozidel; a dokonce dospěla až ke zvážení hotelů a restaurací a stavebních společností, když uvedla, že tyto spadají do do rozsahu působnosti čl. 92 (nyní 107) odst, 1 „pokud nemají příslušné činnosti nadnárodní povahu". Souhrnem je třeba poznamenat, že výše uvedené činnosti musí být prováděny malými podniky působícími v místních, a zejména pak znevýhodněných podmínkách, jako je tomu v případě znevýhodněných městských oblastí.</w:t>
      </w:r>
    </w:p>
    <w:p w:rsidR="00B61EAA" w:rsidRPr="00743FA8" w:rsidRDefault="00B61EAA" w:rsidP="00B61EAA">
      <w:pPr>
        <w:spacing w:before="120" w:line="280" w:lineRule="exact"/>
        <w:rPr>
          <w:rFonts w:eastAsia="Calibri" w:cs="Times New Roman"/>
          <w:i/>
          <w:color w:val="auto"/>
        </w:rPr>
      </w:pPr>
      <w:r w:rsidRPr="00743FA8">
        <w:rPr>
          <w:b/>
          <w:i/>
        </w:rPr>
        <w:t>Veřejná podpora poskytovaná v rámci programu podnikům bude poskytována podle nařízení o podpoře de minimis.</w:t>
      </w:r>
      <w:r w:rsidRPr="00743FA8">
        <w:rPr>
          <w:i/>
          <w:color w:val="17365D"/>
        </w:rPr>
        <w:t xml:space="preserve"> Z toho vyplývá, že podniky získají dotace v rámci programu nadnárodní spolupráce </w:t>
      </w:r>
      <w:r w:rsidR="00422C6A">
        <w:rPr>
          <w:i/>
          <w:color w:val="17365D"/>
        </w:rPr>
        <w:t>Danube</w:t>
      </w:r>
      <w:r w:rsidRPr="00743FA8">
        <w:rPr>
          <w:i/>
          <w:color w:val="17365D"/>
        </w:rPr>
        <w:t xml:space="preserve">, </w:t>
      </w:r>
      <w:r w:rsidRPr="00743FA8">
        <w:rPr>
          <w:i/>
          <w:color w:val="17365D"/>
          <w:u w:val="single"/>
        </w:rPr>
        <w:t xml:space="preserve">pouze pokud neobdržely veřejnou podporu ve smyslu pravidla o podpoře de minimis v celkové výši přesahující </w:t>
      </w:r>
      <w:r w:rsidRPr="00743FA8">
        <w:rPr>
          <w:b/>
          <w:i/>
          <w:color w:val="17365D"/>
          <w:u w:val="single"/>
        </w:rPr>
        <w:t xml:space="preserve">200 000 EUR </w:t>
      </w:r>
      <w:r w:rsidRPr="00743FA8">
        <w:rPr>
          <w:i/>
          <w:color w:val="17365D"/>
          <w:u w:val="single"/>
        </w:rPr>
        <w:t>v průběhu třech fiskálních let od data poskytnutí podpory</w:t>
      </w:r>
      <w:r w:rsidRPr="00743FA8">
        <w:rPr>
          <w:i/>
          <w:color w:val="17365D"/>
        </w:rPr>
        <w:t xml:space="preserve">. Tato mezní hodnota se snižuje na </w:t>
      </w:r>
      <w:r w:rsidRPr="00743FA8">
        <w:rPr>
          <w:b/>
          <w:i/>
          <w:color w:val="17365D"/>
        </w:rPr>
        <w:t xml:space="preserve">100 000 EUR </w:t>
      </w:r>
      <w:r w:rsidRPr="00743FA8">
        <w:rPr>
          <w:i/>
          <w:color w:val="17365D"/>
        </w:rPr>
        <w:t xml:space="preserve">v odvětví silniční dopravy, zatímco v ostatních odvětvích, jako jsou zemědělství, akvakultura a rybolov, platí nižší mezní hodnoty. Veřejná podpora, na kterou se vztahuje příslušná mezní hodnota pro podporu de minimis, zahrnuje veškerou podporu poskytovanou vnitrostátními, regionálními nebo místními orgány bez ohledu na to, zda jsou dané prostředky poskytovány z domácích zdrojů nebo jsou částečně financovány Evropskou unií. Nijak to však neovlivňuje možnost podniku přijmout veřejnou podporu v rámci jiných programů státní podpory. Při výpočtu podpory de minimis je nutno zohlednit i ustanovení čl. 3 odst. 8-9  nařízení o podpoře de minimis. </w:t>
      </w:r>
    </w:p>
    <w:p w:rsidR="00B61EAA" w:rsidRPr="00743FA8" w:rsidRDefault="00B61EAA" w:rsidP="00B61EAA">
      <w:pPr>
        <w:spacing w:before="120" w:after="0" w:line="240" w:lineRule="auto"/>
        <w:rPr>
          <w:rFonts w:eastAsia="Times New Roman" w:cs="Arial"/>
          <w:color w:val="17365D"/>
        </w:rPr>
      </w:pPr>
    </w:p>
    <w:p w:rsidR="00B61EAA" w:rsidRPr="00743FA8" w:rsidRDefault="00B61EAA" w:rsidP="00B61EAA">
      <w:pPr>
        <w:spacing w:before="0" w:line="280" w:lineRule="exact"/>
        <w:rPr>
          <w:rFonts w:eastAsia="Times New Roman" w:cs="Arial"/>
          <w:color w:val="17365D"/>
        </w:rPr>
      </w:pPr>
      <w:r w:rsidRPr="00743FA8">
        <w:rPr>
          <w:color w:val="17365D"/>
        </w:rPr>
        <w:t xml:space="preserve">V případě fúzí nebo akvizic budou při posuzování toho, zda případná další podpora </w:t>
      </w:r>
      <w:r w:rsidRPr="00743FA8">
        <w:rPr>
          <w:i/>
          <w:color w:val="17365D"/>
        </w:rPr>
        <w:t>de minimis</w:t>
      </w:r>
      <w:r w:rsidRPr="00743FA8">
        <w:rPr>
          <w:color w:val="17365D"/>
        </w:rPr>
        <w:t xml:space="preserve"> novému nebo nabývajícímu podniku přesahuje příslušnou mezní hodnotu, zohledněny veškeré podpory </w:t>
      </w:r>
      <w:r w:rsidRPr="00743FA8">
        <w:rPr>
          <w:i/>
          <w:color w:val="17365D"/>
        </w:rPr>
        <w:t>de minimis</w:t>
      </w:r>
      <w:r w:rsidRPr="00743FA8">
        <w:rPr>
          <w:color w:val="17365D"/>
        </w:rPr>
        <w:t xml:space="preserve"> poskytnuté před touto fúzí nebo akvizicí kterémukoli z fúzujících podniků. Podpora </w:t>
      </w:r>
      <w:r w:rsidRPr="00743FA8">
        <w:rPr>
          <w:i/>
          <w:color w:val="17365D"/>
        </w:rPr>
        <w:t>de minimis</w:t>
      </w:r>
      <w:r w:rsidRPr="00743FA8">
        <w:rPr>
          <w:color w:val="17365D"/>
        </w:rPr>
        <w:t xml:space="preserve"> zákonně poskytnutá před fúzí nebo akvizicí zůstane zákonnou i po ní.</w:t>
      </w:r>
    </w:p>
    <w:p w:rsidR="00B61EAA" w:rsidRPr="00743FA8" w:rsidRDefault="00B61EAA" w:rsidP="00B61EAA">
      <w:pPr>
        <w:spacing w:before="0" w:line="280" w:lineRule="exact"/>
        <w:rPr>
          <w:rFonts w:eastAsia="Times New Roman" w:cs="Arial"/>
          <w:color w:val="17365D"/>
        </w:rPr>
      </w:pPr>
      <w:r w:rsidRPr="00743FA8">
        <w:rPr>
          <w:color w:val="17365D"/>
        </w:rPr>
        <w:t xml:space="preserve">Pokud se jeden podnik rozdělí na dva nebo více samostatných podniků, podpora </w:t>
      </w:r>
      <w:r w:rsidRPr="00743FA8">
        <w:rPr>
          <w:i/>
          <w:color w:val="17365D"/>
        </w:rPr>
        <w:t>de minimis</w:t>
      </w:r>
      <w:r w:rsidRPr="00743FA8">
        <w:rPr>
          <w:color w:val="17365D"/>
        </w:rPr>
        <w:t xml:space="preserve"> poskytnutá před rozdělením bude přiřazena k podniku, který z ní získal prospěch, což je zpravidla podnik, který přebírá činnosti, ve vztahu k nimž byla příslušná podpora </w:t>
      </w:r>
      <w:r w:rsidRPr="00743FA8">
        <w:rPr>
          <w:i/>
          <w:color w:val="17365D"/>
        </w:rPr>
        <w:t>de minimis</w:t>
      </w:r>
      <w:r w:rsidRPr="00743FA8">
        <w:rPr>
          <w:color w:val="17365D"/>
        </w:rPr>
        <w:t xml:space="preserve"> použita. Pokud toto přiřazení není možné, bude podpora </w:t>
      </w:r>
      <w:r w:rsidRPr="00743FA8">
        <w:rPr>
          <w:i/>
          <w:color w:val="17365D"/>
        </w:rPr>
        <w:t>de minimis</w:t>
      </w:r>
      <w:r w:rsidRPr="00743FA8">
        <w:rPr>
          <w:color w:val="17365D"/>
        </w:rPr>
        <w:t xml:space="preserve"> rozdělena  úměrně na základě účetní hodnoty vlastního kapitálu nových podniků k datu účinnosti tohoto rozdělení.</w:t>
      </w:r>
    </w:p>
    <w:p w:rsidR="00B61EAA" w:rsidRPr="00743FA8" w:rsidRDefault="00B61EAA" w:rsidP="00B61EAA">
      <w:pPr>
        <w:spacing w:before="0" w:line="280" w:lineRule="exact"/>
        <w:rPr>
          <w:rFonts w:eastAsia="Times New Roman" w:cs="Arial"/>
          <w:color w:val="17365D"/>
        </w:rPr>
      </w:pPr>
      <w:r w:rsidRPr="00743FA8">
        <w:t xml:space="preserve">Podporu </w:t>
      </w:r>
      <w:r w:rsidRPr="00743FA8">
        <w:rPr>
          <w:i/>
        </w:rPr>
        <w:t>de minimis</w:t>
      </w:r>
      <w:r w:rsidRPr="00743FA8">
        <w:t xml:space="preserve"> poskytnutou v souladu s nařízením o podpoře de minimis lze kumulovat s podporou </w:t>
      </w:r>
      <w:r w:rsidRPr="00743FA8">
        <w:rPr>
          <w:i/>
        </w:rPr>
        <w:t>de minimis</w:t>
      </w:r>
      <w:r w:rsidRPr="00743FA8">
        <w:t xml:space="preserve"> poskytovanou v souladu s nařízením Komise (EU) č. 360/2012 až do dosažení mezní hodnoty stanovené v nařízení o podpoře </w:t>
      </w:r>
      <w:r w:rsidRPr="00743FA8">
        <w:rPr>
          <w:i/>
        </w:rPr>
        <w:t>de minimis</w:t>
      </w:r>
      <w:r w:rsidRPr="00743FA8">
        <w:t>.</w:t>
      </w:r>
      <w:r w:rsidRPr="00743FA8">
        <w:rPr>
          <w:color w:val="17365D"/>
        </w:rPr>
        <w:t xml:space="preserve"> Může být kumulována s podporou </w:t>
      </w:r>
      <w:r w:rsidRPr="00743FA8">
        <w:rPr>
          <w:i/>
          <w:color w:val="17365D"/>
        </w:rPr>
        <w:t>de minimis</w:t>
      </w:r>
      <w:r w:rsidRPr="00743FA8">
        <w:rPr>
          <w:color w:val="17365D"/>
        </w:rPr>
        <w:t xml:space="preserve"> poskytnutou v souladu s ostatními nařízeními o podpoře </w:t>
      </w:r>
      <w:r w:rsidRPr="00743FA8">
        <w:rPr>
          <w:i/>
          <w:color w:val="17365D"/>
        </w:rPr>
        <w:t>de minimis</w:t>
      </w:r>
      <w:r w:rsidRPr="00743FA8">
        <w:rPr>
          <w:color w:val="17365D"/>
        </w:rPr>
        <w:t xml:space="preserve"> až do dosažení příslušné mezní hodnoty stanovené v čl. 3 odst. 2 nařízení o podpoře </w:t>
      </w:r>
      <w:r w:rsidRPr="00743FA8">
        <w:rPr>
          <w:i/>
          <w:color w:val="17365D"/>
        </w:rPr>
        <w:t>de minimis</w:t>
      </w:r>
      <w:r w:rsidRPr="00743FA8">
        <w:rPr>
          <w:color w:val="17365D"/>
        </w:rPr>
        <w:t>.</w:t>
      </w:r>
    </w:p>
    <w:p w:rsidR="00B61EAA" w:rsidRPr="00743FA8" w:rsidRDefault="00B61EAA" w:rsidP="00B61EAA">
      <w:pPr>
        <w:spacing w:before="0" w:line="280" w:lineRule="exact"/>
        <w:rPr>
          <w:rFonts w:eastAsia="Times New Roman" w:cs="Arial"/>
          <w:color w:val="17365D"/>
        </w:rPr>
      </w:pPr>
      <w:r w:rsidRPr="00743FA8">
        <w:t xml:space="preserve">Podporu </w:t>
      </w:r>
      <w:r w:rsidRPr="00743FA8">
        <w:rPr>
          <w:i/>
        </w:rPr>
        <w:t>de minimis</w:t>
      </w:r>
      <w:r w:rsidRPr="00743FA8">
        <w:t xml:space="preserve"> není možné kumulovat se státní podporou ve vztahu ke stejným způsobilým nákladům nebo se státní podporou pro stejné opatření k financování rizik, jestliže by tato kumulace překročila nejvyšší míru podpory nebo výši podpory stanovenou pro jednotlivé případy za zvláštních okolností na základě nařízení o blokové výjimce nebo rozhodnutí přijatého Komisí.</w:t>
      </w:r>
      <w:r w:rsidRPr="00743FA8">
        <w:rPr>
          <w:color w:val="17365D"/>
        </w:rPr>
        <w:t xml:space="preserve"> Podporu </w:t>
      </w:r>
      <w:r w:rsidRPr="00743FA8">
        <w:rPr>
          <w:i/>
          <w:color w:val="17365D"/>
        </w:rPr>
        <w:t>de minimis</w:t>
      </w:r>
      <w:r w:rsidRPr="00743FA8">
        <w:rPr>
          <w:color w:val="17365D"/>
        </w:rPr>
        <w:t>, která není poskytována, ani ji nelze přiřadit ke konkrétním způsobilým nákladům, lze kumulovat s jinou státní podporou poskytnutou na základě nařízení o blokové výjimce nebo rozhodnutí přijatého Komisí.</w:t>
      </w:r>
    </w:p>
    <w:p w:rsidR="00B61EAA" w:rsidRPr="00743FA8" w:rsidRDefault="00B61EAA" w:rsidP="00B61EAA">
      <w:pPr>
        <w:spacing w:before="120" w:after="0" w:line="240" w:lineRule="auto"/>
        <w:rPr>
          <w:rFonts w:eastAsia="Times New Roman" w:cs="Arial"/>
          <w:color w:val="17365D"/>
        </w:rPr>
      </w:pPr>
      <w:r w:rsidRPr="00743FA8">
        <w:t xml:space="preserve">Nařízení o podpoře </w:t>
      </w:r>
      <w:r w:rsidRPr="00743FA8">
        <w:rPr>
          <w:i/>
        </w:rPr>
        <w:t>de minimis</w:t>
      </w:r>
      <w:r w:rsidRPr="00743FA8">
        <w:t xml:space="preserve"> platí pro podporu poskytovanou podnikům ve všech odvětvích, s výjimkou:</w:t>
      </w:r>
    </w:p>
    <w:tbl>
      <w:tblPr>
        <w:tblW w:w="5000" w:type="pct"/>
        <w:tblCellSpacing w:w="0" w:type="dxa"/>
        <w:tblCellMar>
          <w:left w:w="0" w:type="dxa"/>
          <w:right w:w="0" w:type="dxa"/>
        </w:tblCellMar>
        <w:tblLook w:val="04A0" w:firstRow="1" w:lastRow="0" w:firstColumn="1" w:lastColumn="0" w:noHBand="0" w:noVBand="1"/>
      </w:tblPr>
      <w:tblGrid>
        <w:gridCol w:w="300"/>
        <w:gridCol w:w="8915"/>
      </w:tblGrid>
      <w:tr w:rsidR="00B61EAA" w:rsidRPr="00743FA8" w:rsidTr="00A545DF">
        <w:trPr>
          <w:tblCellSpacing w:w="0" w:type="dxa"/>
        </w:trPr>
        <w:tc>
          <w:tcPr>
            <w:tcW w:w="163" w:type="pct"/>
            <w:hideMark/>
          </w:tcPr>
          <w:p w:rsidR="00B61EAA" w:rsidRPr="00743FA8" w:rsidRDefault="00B61EAA" w:rsidP="00B61EAA">
            <w:pPr>
              <w:spacing w:before="120" w:after="0" w:line="240" w:lineRule="auto"/>
              <w:rPr>
                <w:rFonts w:eastAsia="Times New Roman" w:cs="Arial"/>
                <w:color w:val="17365D"/>
              </w:rPr>
            </w:pPr>
            <w:r w:rsidRPr="00743FA8">
              <w:rPr>
                <w:color w:val="17365D"/>
              </w:rPr>
              <w:t>(a)</w:t>
            </w:r>
          </w:p>
        </w:tc>
        <w:tc>
          <w:tcPr>
            <w:tcW w:w="4837" w:type="pct"/>
            <w:hideMark/>
          </w:tcPr>
          <w:p w:rsidR="00B61EAA" w:rsidRPr="00743FA8" w:rsidRDefault="00B61EAA" w:rsidP="00B61EAA">
            <w:pPr>
              <w:spacing w:before="120" w:after="0" w:line="240" w:lineRule="auto"/>
              <w:rPr>
                <w:rFonts w:eastAsia="Times New Roman" w:cs="Arial"/>
                <w:color w:val="17365D"/>
              </w:rPr>
            </w:pPr>
            <w:r w:rsidRPr="00743FA8">
              <w:rPr>
                <w:color w:val="17365D"/>
              </w:rPr>
              <w:t>podpory poskytované podnikům působícím v odvětví rybolovu a akvakultury, na které se vztahuje nařízení Rady (ES) č. 1379/2013;</w:t>
            </w:r>
          </w:p>
        </w:tc>
      </w:tr>
      <w:tr w:rsidR="00B61EAA" w:rsidRPr="00743FA8" w:rsidTr="00A545DF">
        <w:trPr>
          <w:tblCellSpacing w:w="0" w:type="dxa"/>
        </w:trPr>
        <w:tc>
          <w:tcPr>
            <w:tcW w:w="163" w:type="pct"/>
            <w:hideMark/>
          </w:tcPr>
          <w:p w:rsidR="00B61EAA" w:rsidRPr="00743FA8" w:rsidRDefault="00B61EAA" w:rsidP="00B61EAA">
            <w:pPr>
              <w:spacing w:before="120" w:after="0" w:line="240" w:lineRule="auto"/>
              <w:rPr>
                <w:rFonts w:eastAsia="Times New Roman" w:cs="Arial"/>
                <w:color w:val="17365D"/>
              </w:rPr>
            </w:pPr>
            <w:r w:rsidRPr="00743FA8">
              <w:rPr>
                <w:color w:val="17365D"/>
              </w:rPr>
              <w:t>(b)</w:t>
            </w:r>
          </w:p>
        </w:tc>
        <w:tc>
          <w:tcPr>
            <w:tcW w:w="4837" w:type="pct"/>
            <w:hideMark/>
          </w:tcPr>
          <w:p w:rsidR="00B61EAA" w:rsidRPr="00743FA8" w:rsidRDefault="00B61EAA" w:rsidP="00B61EAA">
            <w:pPr>
              <w:spacing w:before="120" w:after="0" w:line="240" w:lineRule="auto"/>
              <w:rPr>
                <w:rFonts w:eastAsia="Times New Roman" w:cs="Arial"/>
                <w:color w:val="17365D"/>
              </w:rPr>
            </w:pPr>
            <w:r w:rsidRPr="00743FA8">
              <w:rPr>
                <w:color w:val="17365D"/>
              </w:rPr>
              <w:t>podpory poskytované podnikům působícím v prvovýrobě zemědělských výrobků;</w:t>
            </w:r>
          </w:p>
        </w:tc>
      </w:tr>
      <w:tr w:rsidR="00B61EAA" w:rsidRPr="00743FA8" w:rsidTr="00A545DF">
        <w:trPr>
          <w:tblCellSpacing w:w="0" w:type="dxa"/>
        </w:trPr>
        <w:tc>
          <w:tcPr>
            <w:tcW w:w="163" w:type="pct"/>
            <w:hideMark/>
          </w:tcPr>
          <w:p w:rsidR="00B61EAA" w:rsidRPr="00743FA8" w:rsidRDefault="00B61EAA" w:rsidP="00B61EAA">
            <w:pPr>
              <w:spacing w:before="120" w:after="0" w:line="240" w:lineRule="auto"/>
              <w:rPr>
                <w:rFonts w:eastAsia="Times New Roman" w:cs="Arial"/>
                <w:color w:val="17365D"/>
              </w:rPr>
            </w:pPr>
            <w:r w:rsidRPr="00743FA8">
              <w:rPr>
                <w:color w:val="17365D"/>
              </w:rPr>
              <w:t>(c)</w:t>
            </w:r>
          </w:p>
        </w:tc>
        <w:tc>
          <w:tcPr>
            <w:tcW w:w="4837" w:type="pct"/>
            <w:hideMark/>
          </w:tcPr>
          <w:p w:rsidR="00B61EAA" w:rsidRPr="00743FA8" w:rsidRDefault="00B61EAA" w:rsidP="00B61EAA">
            <w:pPr>
              <w:spacing w:before="120" w:after="0" w:line="240" w:lineRule="auto"/>
              <w:rPr>
                <w:rFonts w:eastAsia="Times New Roman" w:cs="Arial"/>
                <w:color w:val="17365D"/>
              </w:rPr>
            </w:pPr>
            <w:r w:rsidRPr="00743FA8">
              <w:rPr>
                <w:color w:val="17365D"/>
              </w:rPr>
              <w:t>podpory poskytované podnikům působícím v odvětví zpracování a uvádění zemědělských výrobků na trh v následujících případech:</w:t>
            </w:r>
          </w:p>
          <w:tbl>
            <w:tblPr>
              <w:tblW w:w="5000" w:type="pct"/>
              <w:tblCellSpacing w:w="0" w:type="dxa"/>
              <w:tblCellMar>
                <w:left w:w="0" w:type="dxa"/>
                <w:right w:w="0" w:type="dxa"/>
              </w:tblCellMar>
              <w:tblLook w:val="04A0" w:firstRow="1" w:lastRow="0" w:firstColumn="1" w:lastColumn="0" w:noHBand="0" w:noVBand="1"/>
            </w:tblPr>
            <w:tblGrid>
              <w:gridCol w:w="291"/>
              <w:gridCol w:w="8624"/>
            </w:tblGrid>
            <w:tr w:rsidR="00B61EAA" w:rsidRPr="00743FA8" w:rsidTr="00A545DF">
              <w:trPr>
                <w:tblCellSpacing w:w="0" w:type="dxa"/>
              </w:trPr>
              <w:tc>
                <w:tcPr>
                  <w:tcW w:w="0" w:type="auto"/>
                  <w:hideMark/>
                </w:tcPr>
                <w:p w:rsidR="00B61EAA" w:rsidRPr="00743FA8" w:rsidRDefault="00B61EAA" w:rsidP="00B61EAA">
                  <w:pPr>
                    <w:spacing w:before="120" w:after="0" w:line="240" w:lineRule="auto"/>
                    <w:rPr>
                      <w:rFonts w:eastAsia="Times New Roman" w:cs="Arial"/>
                      <w:color w:val="17365D"/>
                    </w:rPr>
                  </w:pPr>
                  <w:r w:rsidRPr="00743FA8">
                    <w:rPr>
                      <w:color w:val="17365D"/>
                    </w:rPr>
                    <w:t>(i)</w:t>
                  </w:r>
                </w:p>
              </w:tc>
              <w:tc>
                <w:tcPr>
                  <w:tcW w:w="0" w:type="auto"/>
                  <w:hideMark/>
                </w:tcPr>
                <w:p w:rsidR="00B61EAA" w:rsidRPr="00743FA8" w:rsidRDefault="00B61EAA" w:rsidP="00B61EAA">
                  <w:pPr>
                    <w:spacing w:before="120" w:after="0" w:line="240" w:lineRule="auto"/>
                    <w:rPr>
                      <w:rFonts w:eastAsia="Times New Roman" w:cs="Arial"/>
                      <w:color w:val="17365D"/>
                    </w:rPr>
                  </w:pPr>
                  <w:r w:rsidRPr="00743FA8">
                    <w:rPr>
                      <w:color w:val="17365D"/>
                    </w:rPr>
                    <w:t>pokud je výše podpory stanovena na základě ceny nebo množství těchto výrobků kupovaných od prvovýrobců nebo uváděných na trh dotčenými podniky;</w:t>
                  </w:r>
                </w:p>
              </w:tc>
            </w:tr>
            <w:tr w:rsidR="00B61EAA" w:rsidRPr="00743FA8" w:rsidTr="00A545DF">
              <w:trPr>
                <w:tblCellSpacing w:w="0" w:type="dxa"/>
              </w:trPr>
              <w:tc>
                <w:tcPr>
                  <w:tcW w:w="0" w:type="auto"/>
                  <w:hideMark/>
                </w:tcPr>
                <w:p w:rsidR="00B61EAA" w:rsidRPr="00743FA8" w:rsidRDefault="00B61EAA" w:rsidP="00B61EAA">
                  <w:pPr>
                    <w:spacing w:before="120" w:after="0" w:line="240" w:lineRule="auto"/>
                    <w:rPr>
                      <w:rFonts w:eastAsia="Times New Roman" w:cs="Arial"/>
                      <w:color w:val="17365D"/>
                    </w:rPr>
                  </w:pPr>
                  <w:r w:rsidRPr="00743FA8">
                    <w:rPr>
                      <w:color w:val="17365D"/>
                    </w:rPr>
                    <w:t>(ii)</w:t>
                  </w:r>
                </w:p>
              </w:tc>
              <w:tc>
                <w:tcPr>
                  <w:tcW w:w="0" w:type="auto"/>
                  <w:hideMark/>
                </w:tcPr>
                <w:p w:rsidR="00B61EAA" w:rsidRPr="00743FA8" w:rsidRDefault="00B61EAA" w:rsidP="00B61EAA">
                  <w:pPr>
                    <w:spacing w:before="120" w:after="0" w:line="240" w:lineRule="auto"/>
                    <w:rPr>
                      <w:rFonts w:eastAsia="Times New Roman" w:cs="Arial"/>
                      <w:color w:val="17365D"/>
                    </w:rPr>
                  </w:pPr>
                  <w:r w:rsidRPr="00743FA8">
                    <w:rPr>
                      <w:color w:val="17365D"/>
                    </w:rPr>
                    <w:t>pokud je příslušná podpora podmíněna jejím úplným nebo částečným převedením na prvovýrobce;</w:t>
                  </w:r>
                </w:p>
              </w:tc>
            </w:tr>
          </w:tbl>
          <w:p w:rsidR="00B61EAA" w:rsidRPr="00743FA8" w:rsidRDefault="00B61EAA" w:rsidP="00B61EAA">
            <w:pPr>
              <w:spacing w:before="0" w:after="0" w:line="280" w:lineRule="exact"/>
              <w:rPr>
                <w:rFonts w:eastAsia="Times New Roman" w:cs="Arial"/>
                <w:color w:val="17365D"/>
              </w:rPr>
            </w:pPr>
          </w:p>
        </w:tc>
      </w:tr>
      <w:tr w:rsidR="00B61EAA" w:rsidRPr="00743FA8" w:rsidTr="00A545DF">
        <w:trPr>
          <w:tblCellSpacing w:w="0" w:type="dxa"/>
        </w:trPr>
        <w:tc>
          <w:tcPr>
            <w:tcW w:w="163" w:type="pct"/>
            <w:hideMark/>
          </w:tcPr>
          <w:p w:rsidR="00B61EAA" w:rsidRPr="00743FA8" w:rsidRDefault="00B61EAA" w:rsidP="00B61EAA">
            <w:pPr>
              <w:spacing w:before="120" w:after="0" w:line="240" w:lineRule="auto"/>
              <w:rPr>
                <w:rFonts w:eastAsia="Times New Roman" w:cs="Arial"/>
                <w:color w:val="17365D"/>
              </w:rPr>
            </w:pPr>
            <w:r w:rsidRPr="00743FA8">
              <w:rPr>
                <w:color w:val="17365D"/>
              </w:rPr>
              <w:t>(d)</w:t>
            </w:r>
          </w:p>
        </w:tc>
        <w:tc>
          <w:tcPr>
            <w:tcW w:w="4837" w:type="pct"/>
            <w:hideMark/>
          </w:tcPr>
          <w:p w:rsidR="00B61EAA" w:rsidRPr="00743FA8" w:rsidRDefault="00B61EAA" w:rsidP="00B61EAA">
            <w:pPr>
              <w:spacing w:before="120" w:after="0" w:line="240" w:lineRule="auto"/>
              <w:rPr>
                <w:rFonts w:eastAsia="Times New Roman" w:cs="Arial"/>
                <w:color w:val="17365D"/>
              </w:rPr>
            </w:pPr>
            <w:r w:rsidRPr="00743FA8">
              <w:rPr>
                <w:color w:val="17365D"/>
              </w:rPr>
              <w:t>podpora pro činnosti související s vývozem ve vztahu k třetím zemím nebo členským státům, zejména podpora přímo vázaná na množství vývozu, zřízení a provozování distribuční sítě nebo jiné běžné výdaje související s vývozní činností;</w:t>
            </w:r>
          </w:p>
        </w:tc>
      </w:tr>
      <w:tr w:rsidR="00B61EAA" w:rsidRPr="00743FA8" w:rsidTr="00A545DF">
        <w:trPr>
          <w:tblCellSpacing w:w="0" w:type="dxa"/>
        </w:trPr>
        <w:tc>
          <w:tcPr>
            <w:tcW w:w="163" w:type="pct"/>
            <w:hideMark/>
          </w:tcPr>
          <w:p w:rsidR="00B61EAA" w:rsidRPr="00743FA8" w:rsidRDefault="00B61EAA" w:rsidP="00B61EAA">
            <w:pPr>
              <w:spacing w:before="120" w:after="0" w:line="240" w:lineRule="auto"/>
              <w:rPr>
                <w:rFonts w:eastAsia="Times New Roman" w:cs="Arial"/>
                <w:color w:val="17365D"/>
              </w:rPr>
            </w:pPr>
            <w:r w:rsidRPr="00743FA8">
              <w:rPr>
                <w:color w:val="17365D"/>
              </w:rPr>
              <w:t>(e)</w:t>
            </w:r>
          </w:p>
        </w:tc>
        <w:tc>
          <w:tcPr>
            <w:tcW w:w="4837" w:type="pct"/>
            <w:hideMark/>
          </w:tcPr>
          <w:p w:rsidR="00B61EAA" w:rsidRPr="00743FA8" w:rsidRDefault="00B61EAA" w:rsidP="00B61EAA">
            <w:pPr>
              <w:spacing w:before="120" w:after="0" w:line="240" w:lineRule="auto"/>
              <w:rPr>
                <w:rFonts w:eastAsia="Times New Roman" w:cs="Arial"/>
                <w:color w:val="17365D"/>
              </w:rPr>
            </w:pPr>
            <w:r w:rsidRPr="00743FA8">
              <w:rPr>
                <w:color w:val="17365D"/>
              </w:rPr>
              <w:t xml:space="preserve">podpora závislá na upřednostnění používání domácích před dovezenými výrobky; </w:t>
            </w:r>
          </w:p>
        </w:tc>
      </w:tr>
    </w:tbl>
    <w:p w:rsidR="00B61EAA" w:rsidRPr="00743FA8" w:rsidRDefault="00B61EAA" w:rsidP="00B61EAA">
      <w:pPr>
        <w:spacing w:before="120" w:after="0" w:line="240" w:lineRule="auto"/>
        <w:ind w:left="284" w:hanging="284"/>
        <w:rPr>
          <w:rFonts w:eastAsia="Times New Roman" w:cs="Arial"/>
          <w:color w:val="17365D"/>
        </w:rPr>
      </w:pPr>
      <w:r w:rsidRPr="00743FA8">
        <w:rPr>
          <w:color w:val="17365D"/>
        </w:rPr>
        <w:t xml:space="preserve">(f) u podpory </w:t>
      </w:r>
      <w:r w:rsidRPr="00743FA8">
        <w:rPr>
          <w:i/>
          <w:color w:val="17365D"/>
        </w:rPr>
        <w:t>de minimis</w:t>
      </w:r>
      <w:r w:rsidRPr="00743FA8">
        <w:rPr>
          <w:color w:val="17365D"/>
        </w:rPr>
        <w:t xml:space="preserve"> poskytované ve vztahu ke každému členskému státu jednomu podniku zabývajícímu se silniční nákladní dopravou tato podpora </w:t>
      </w:r>
      <w:r w:rsidRPr="00743FA8">
        <w:rPr>
          <w:i/>
          <w:color w:val="17365D"/>
        </w:rPr>
        <w:t>de minimis</w:t>
      </w:r>
      <w:r w:rsidRPr="00743FA8">
        <w:rPr>
          <w:color w:val="17365D"/>
        </w:rPr>
        <w:t xml:space="preserve"> nebude použita na pořízení vozidel silniční nákladní dopravy</w:t>
      </w:r>
    </w:p>
    <w:p w:rsidR="00B61EAA" w:rsidRPr="00743FA8" w:rsidRDefault="00B61EAA" w:rsidP="00B61EAA">
      <w:pPr>
        <w:spacing w:before="0" w:line="280" w:lineRule="exact"/>
        <w:rPr>
          <w:rFonts w:eastAsia="Times New Roman" w:cs="Arial"/>
          <w:color w:val="17365D"/>
        </w:rPr>
      </w:pPr>
      <w:r w:rsidRPr="00743FA8">
        <w:rPr>
          <w:color w:val="17365D"/>
        </w:rPr>
        <w:t xml:space="preserve">V případě, že podnik působí v odvětvích uvedených v bodech a), b) nebo c) výše a zároveň působí v jednom nebo několika dalších odvětvích nebo provozuje jiné činnosti, které spadají do rozsahu působnosti nařízení o podpoře </w:t>
      </w:r>
      <w:r w:rsidRPr="00743FA8">
        <w:rPr>
          <w:i/>
          <w:color w:val="17365D"/>
        </w:rPr>
        <w:t>de minimi</w:t>
      </w:r>
      <w:r w:rsidRPr="00743FA8">
        <w:rPr>
          <w:color w:val="17365D"/>
        </w:rPr>
        <w:t xml:space="preserve">s, bude pro tyto podpory poskytnuté ve vztahu k těmito posledně jmenovaným odvětvím nebo činnostem platit nařízení o podpoře </w:t>
      </w:r>
      <w:r w:rsidRPr="00743FA8">
        <w:rPr>
          <w:i/>
          <w:color w:val="17365D"/>
        </w:rPr>
        <w:t>de minimis</w:t>
      </w:r>
      <w:r w:rsidRPr="00743FA8">
        <w:rPr>
          <w:color w:val="17365D"/>
        </w:rPr>
        <w:t xml:space="preserve"> za předpokladu, že příslušný členský stát vhodnými prostředky, jako např. oddělením činností nebo rozlišením nákladů, zajistí, aby činnosti v odvětvích, které jsou jsou vyloučeny z rozsahu působnosti nařízení o podpoře </w:t>
      </w:r>
      <w:r w:rsidRPr="00743FA8">
        <w:rPr>
          <w:i/>
          <w:color w:val="17365D"/>
        </w:rPr>
        <w:t>de minimis</w:t>
      </w:r>
      <w:r w:rsidRPr="00743FA8">
        <w:rPr>
          <w:color w:val="17365D"/>
        </w:rPr>
        <w:t xml:space="preserve"> netěžily z podpory </w:t>
      </w:r>
      <w:r w:rsidRPr="00743FA8">
        <w:rPr>
          <w:i/>
          <w:color w:val="17365D"/>
        </w:rPr>
        <w:t>de minimis</w:t>
      </w:r>
      <w:r w:rsidRPr="00743FA8">
        <w:rPr>
          <w:color w:val="17365D"/>
        </w:rPr>
        <w:t xml:space="preserve"> poskytnuté v souladu s nařízením o podpoře </w:t>
      </w:r>
      <w:r w:rsidRPr="00743FA8">
        <w:rPr>
          <w:i/>
          <w:color w:val="17365D"/>
        </w:rPr>
        <w:t>de minimis</w:t>
      </w:r>
      <w:r w:rsidRPr="00743FA8">
        <w:rPr>
          <w:color w:val="17365D"/>
        </w:rPr>
        <w:t>.</w:t>
      </w:r>
    </w:p>
    <w:p w:rsidR="00B61EAA" w:rsidRPr="00743FA8" w:rsidRDefault="00B61EAA" w:rsidP="00B61EAA">
      <w:pPr>
        <w:spacing w:before="0" w:line="280" w:lineRule="exact"/>
        <w:rPr>
          <w:rFonts w:eastAsia="Times New Roman" w:cs="Arial"/>
          <w:color w:val="17365D"/>
        </w:rPr>
      </w:pPr>
      <w:r w:rsidRPr="00743FA8">
        <w:rPr>
          <w:color w:val="17365D"/>
        </w:rPr>
        <w:t xml:space="preserve">Záznamy vztahující se k jednotlivým podporám </w:t>
      </w:r>
      <w:r w:rsidRPr="00743FA8">
        <w:rPr>
          <w:i/>
          <w:color w:val="17365D"/>
        </w:rPr>
        <w:t>de minimis</w:t>
      </w:r>
      <w:r w:rsidRPr="00743FA8">
        <w:rPr>
          <w:color w:val="17365D"/>
        </w:rPr>
        <w:t xml:space="preserve"> se uchovávají po dobu 10 fiskálních let od data poskytnutí podpory.</w:t>
      </w:r>
    </w:p>
    <w:p w:rsidR="00746ADE" w:rsidRPr="00743FA8" w:rsidRDefault="00746ADE" w:rsidP="00B61EAA"/>
    <w:sectPr w:rsidR="00746ADE" w:rsidRPr="00743FA8" w:rsidSect="00B61EAA">
      <w:headerReference w:type="default" r:id="rId8"/>
      <w:pgSz w:w="11906" w:h="16838"/>
      <w:pgMar w:top="1417" w:right="1274" w:bottom="1276"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718CD" w:rsidRDefault="00E718CD" w:rsidP="00B61EAA">
      <w:pPr>
        <w:spacing w:before="0" w:after="0" w:line="240" w:lineRule="auto"/>
      </w:pPr>
      <w:r>
        <w:separator/>
      </w:r>
    </w:p>
  </w:endnote>
  <w:endnote w:type="continuationSeparator" w:id="0">
    <w:p w:rsidR="00E718CD" w:rsidRDefault="00E718CD" w:rsidP="00B61EAA">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718CD" w:rsidRDefault="00E718CD" w:rsidP="00B61EAA">
      <w:pPr>
        <w:spacing w:before="0" w:after="0" w:line="240" w:lineRule="auto"/>
      </w:pPr>
      <w:r>
        <w:separator/>
      </w:r>
    </w:p>
  </w:footnote>
  <w:footnote w:type="continuationSeparator" w:id="0">
    <w:p w:rsidR="00E718CD" w:rsidRDefault="00E718CD" w:rsidP="00B61EAA">
      <w:pPr>
        <w:spacing w:before="0" w:after="0" w:line="240" w:lineRule="auto"/>
      </w:pPr>
      <w:r>
        <w:continuationSeparator/>
      </w:r>
    </w:p>
  </w:footnote>
  <w:footnote w:id="1">
    <w:p w:rsidR="00B61EAA" w:rsidRPr="007A432E" w:rsidRDefault="00B61EAA" w:rsidP="00B61EAA">
      <w:pPr>
        <w:pStyle w:val="Textpoznpodarou"/>
        <w:spacing w:after="120" w:line="240" w:lineRule="auto"/>
        <w:rPr>
          <w:lang w:val="hu-HU"/>
        </w:rPr>
      </w:pPr>
      <w:r>
        <w:rPr>
          <w:rStyle w:val="Znakapoznpodarou"/>
        </w:rPr>
        <w:footnoteRef/>
      </w:r>
      <w:r>
        <w:t xml:space="preserve"> </w:t>
      </w:r>
      <w:r>
        <w:rPr>
          <w:rFonts w:ascii="Cambria" w:hAnsi="Cambria"/>
          <w:color w:val="17365D"/>
          <w:sz w:val="16"/>
        </w:rPr>
        <w:t>Nehodící se škrtněte (např. jsou/nejsou….)</w:t>
      </w:r>
    </w:p>
  </w:footnote>
  <w:footnote w:id="2">
    <w:p w:rsidR="00B61EAA" w:rsidRPr="007A432E" w:rsidRDefault="00B61EAA" w:rsidP="00B61EAA">
      <w:pPr>
        <w:pStyle w:val="Textpoznpodarou"/>
        <w:spacing w:after="120" w:line="240" w:lineRule="auto"/>
        <w:rPr>
          <w:lang w:val="hu-HU"/>
        </w:rPr>
      </w:pPr>
      <w:r>
        <w:rPr>
          <w:rStyle w:val="Znakapoznpodarou"/>
        </w:rPr>
        <w:footnoteRef/>
      </w:r>
      <w:r>
        <w:t xml:space="preserve"> </w:t>
      </w:r>
      <w:r>
        <w:rPr>
          <w:rFonts w:ascii="Cambria" w:hAnsi="Cambria"/>
          <w:color w:val="17365D"/>
          <w:sz w:val="16"/>
        </w:rPr>
        <w:t>Nehodící se škrtněte (např. jsou/nejsou….)</w:t>
      </w:r>
    </w:p>
  </w:footnote>
  <w:footnote w:id="3">
    <w:p w:rsidR="00B61EAA" w:rsidRPr="007A432E" w:rsidRDefault="00B61EAA" w:rsidP="00B61EAA">
      <w:pPr>
        <w:pStyle w:val="Textpoznpodarou"/>
        <w:spacing w:after="120" w:line="240" w:lineRule="auto"/>
        <w:rPr>
          <w:lang w:val="hu-HU"/>
        </w:rPr>
      </w:pPr>
      <w:r>
        <w:rPr>
          <w:rStyle w:val="Znakapoznpodarou"/>
        </w:rPr>
        <w:footnoteRef/>
      </w:r>
      <w:r>
        <w:t xml:space="preserve"> </w:t>
      </w:r>
      <w:r>
        <w:rPr>
          <w:rFonts w:ascii="Cambria" w:hAnsi="Cambria"/>
          <w:color w:val="17365D"/>
          <w:sz w:val="16"/>
        </w:rPr>
        <w:t>Nehodící se škrtněte (např. jsou/nejsou….)</w:t>
      </w:r>
    </w:p>
  </w:footnote>
  <w:footnote w:id="4">
    <w:p w:rsidR="00B61EAA" w:rsidRPr="00255D03" w:rsidRDefault="00B61EAA" w:rsidP="00B61EAA">
      <w:pPr>
        <w:pStyle w:val="Textpoznpodarou"/>
        <w:spacing w:after="120" w:line="240" w:lineRule="auto"/>
        <w:rPr>
          <w:rFonts w:ascii="Cambria" w:hAnsi="Cambria"/>
          <w:color w:val="17365D"/>
          <w:sz w:val="16"/>
          <w:szCs w:val="16"/>
        </w:rPr>
      </w:pPr>
      <w:r>
        <w:rPr>
          <w:rStyle w:val="Znakapoznpodarou"/>
        </w:rPr>
        <w:footnoteRef/>
      </w:r>
      <w:r>
        <w:t xml:space="preserve"> </w:t>
      </w:r>
      <w:r>
        <w:rPr>
          <w:rFonts w:ascii="Cambria" w:hAnsi="Cambria"/>
          <w:color w:val="17365D"/>
          <w:sz w:val="16"/>
        </w:rPr>
        <w:t xml:space="preserve">Tato výhoda se poskytuje konkrétním společnostem nebo průmyslovým odvětvím, nebo společnostem nacházejícím se v konkrétních oblastech. </w:t>
      </w:r>
    </w:p>
  </w:footnote>
  <w:footnote w:id="5">
    <w:p w:rsidR="00B61EAA" w:rsidRPr="00D9059C" w:rsidRDefault="00B61EAA" w:rsidP="00B61EAA">
      <w:pPr>
        <w:pStyle w:val="Textpoznpodarou"/>
        <w:spacing w:after="120" w:line="240" w:lineRule="auto"/>
        <w:rPr>
          <w:lang w:val="hu-HU"/>
        </w:rPr>
      </w:pPr>
      <w:r>
        <w:rPr>
          <w:rStyle w:val="Znakapoznpodarou"/>
        </w:rPr>
        <w:footnoteRef/>
      </w:r>
      <w:r>
        <w:t xml:space="preserve"> </w:t>
      </w:r>
      <w:r>
        <w:rPr>
          <w:rFonts w:ascii="Cambria" w:hAnsi="Cambria"/>
          <w:color w:val="17365D"/>
          <w:sz w:val="16"/>
        </w:rPr>
        <w:t>Nehodící se škrtněte (např. jsou/nejsou….)</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1EAA" w:rsidRPr="00B61EAA" w:rsidRDefault="00B61EAA" w:rsidP="00B61EAA">
    <w:pPr>
      <w:spacing w:before="0" w:line="280" w:lineRule="exact"/>
      <w:jc w:val="center"/>
      <w:rPr>
        <w:rFonts w:eastAsia="Times New Roman" w:cs="Tahoma"/>
        <w:color w:val="17365D"/>
        <w:sz w:val="20"/>
        <w:szCs w:val="20"/>
      </w:rPr>
    </w:pPr>
    <w:r>
      <w:rPr>
        <w:color w:val="17365D"/>
        <w:sz w:val="20"/>
      </w:rPr>
      <w:t>&lt;</w:t>
    </w:r>
    <w:r>
      <w:rPr>
        <w:color w:val="17365D"/>
        <w:sz w:val="20"/>
        <w:highlight w:val="lightGray"/>
      </w:rPr>
      <w:t>Vytisknout na oficiálním hlavičkovém papíře partnerské instituce</w:t>
    </w:r>
    <w:r>
      <w:rPr>
        <w:color w:val="17365D"/>
        <w:sz w:val="20"/>
      </w:rPr>
      <w:t>&gt;</w:t>
    </w:r>
  </w:p>
  <w:p w:rsidR="00B61EAA" w:rsidRDefault="00B61EAA">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72027A7"/>
    <w:multiLevelType w:val="hybridMultilevel"/>
    <w:tmpl w:val="576408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1EAA"/>
    <w:rsid w:val="000F2656"/>
    <w:rsid w:val="001D44DB"/>
    <w:rsid w:val="001F5604"/>
    <w:rsid w:val="00422C6A"/>
    <w:rsid w:val="00443BA7"/>
    <w:rsid w:val="00505E46"/>
    <w:rsid w:val="006C34C8"/>
    <w:rsid w:val="00725485"/>
    <w:rsid w:val="00743FA8"/>
    <w:rsid w:val="00746ADE"/>
    <w:rsid w:val="008144DF"/>
    <w:rsid w:val="008F047B"/>
    <w:rsid w:val="00B61EAA"/>
    <w:rsid w:val="00C215C2"/>
    <w:rsid w:val="00C76387"/>
    <w:rsid w:val="00CF6D02"/>
    <w:rsid w:val="00E718CD"/>
    <w:rsid w:val="00E931DC"/>
    <w:rsid w:val="00F204DF"/>
    <w:rsid w:val="00F46DAB"/>
    <w:rsid w:val="00FA2BA8"/>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Theme="minorHAnsi" w:hAnsi="Cambria" w:cstheme="minorBidi"/>
        <w:color w:val="17365D" w:themeColor="text2" w:themeShade="BF"/>
        <w:sz w:val="22"/>
        <w:szCs w:val="22"/>
        <w:lang w:val="en-GB" w:eastAsia="en-US" w:bidi="ar-SA"/>
      </w:rPr>
    </w:rPrDefault>
    <w:pPrDefault>
      <w:pPr>
        <w:spacing w:before="200"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poznpodarou">
    <w:name w:val="footnote text"/>
    <w:basedOn w:val="Normln"/>
    <w:link w:val="TextpoznpodarouChar"/>
    <w:semiHidden/>
    <w:rsid w:val="00B61EAA"/>
    <w:pPr>
      <w:spacing w:before="0" w:line="280" w:lineRule="exact"/>
    </w:pPr>
    <w:rPr>
      <w:rFonts w:ascii="Arial" w:eastAsia="Times New Roman" w:hAnsi="Arial" w:cs="Times New Roman"/>
      <w:color w:val="auto"/>
      <w:sz w:val="20"/>
      <w:szCs w:val="20"/>
      <w:lang w:eastAsia="de-DE"/>
    </w:rPr>
  </w:style>
  <w:style w:type="character" w:customStyle="1" w:styleId="TextpoznpodarouChar">
    <w:name w:val="Text pozn. pod čarou Char"/>
    <w:basedOn w:val="Standardnpsmoodstavce"/>
    <w:link w:val="Textpoznpodarou"/>
    <w:semiHidden/>
    <w:rsid w:val="00B61EAA"/>
    <w:rPr>
      <w:rFonts w:ascii="Arial" w:eastAsia="Times New Roman" w:hAnsi="Arial" w:cs="Times New Roman"/>
      <w:color w:val="auto"/>
      <w:sz w:val="20"/>
      <w:szCs w:val="20"/>
      <w:lang w:eastAsia="de-DE"/>
    </w:rPr>
  </w:style>
  <w:style w:type="character" w:styleId="Znakapoznpodarou">
    <w:name w:val="footnote reference"/>
    <w:semiHidden/>
    <w:rsid w:val="00B61EAA"/>
    <w:rPr>
      <w:vertAlign w:val="superscript"/>
    </w:rPr>
  </w:style>
  <w:style w:type="paragraph" w:styleId="Zhlav">
    <w:name w:val="header"/>
    <w:basedOn w:val="Normln"/>
    <w:link w:val="ZhlavChar"/>
    <w:uiPriority w:val="99"/>
    <w:unhideWhenUsed/>
    <w:rsid w:val="00B61EAA"/>
    <w:pPr>
      <w:tabs>
        <w:tab w:val="center" w:pos="4536"/>
        <w:tab w:val="right" w:pos="9072"/>
      </w:tabs>
      <w:spacing w:before="0" w:after="0" w:line="240" w:lineRule="auto"/>
    </w:pPr>
  </w:style>
  <w:style w:type="character" w:customStyle="1" w:styleId="ZhlavChar">
    <w:name w:val="Záhlaví Char"/>
    <w:basedOn w:val="Standardnpsmoodstavce"/>
    <w:link w:val="Zhlav"/>
    <w:uiPriority w:val="99"/>
    <w:rsid w:val="00B61EAA"/>
  </w:style>
  <w:style w:type="paragraph" w:styleId="Zpat">
    <w:name w:val="footer"/>
    <w:basedOn w:val="Normln"/>
    <w:link w:val="ZpatChar"/>
    <w:uiPriority w:val="99"/>
    <w:unhideWhenUsed/>
    <w:rsid w:val="00B61EAA"/>
    <w:pPr>
      <w:tabs>
        <w:tab w:val="center" w:pos="4536"/>
        <w:tab w:val="right" w:pos="9072"/>
      </w:tabs>
      <w:spacing w:before="0" w:after="0" w:line="240" w:lineRule="auto"/>
    </w:pPr>
  </w:style>
  <w:style w:type="character" w:customStyle="1" w:styleId="ZpatChar">
    <w:name w:val="Zápatí Char"/>
    <w:basedOn w:val="Standardnpsmoodstavce"/>
    <w:link w:val="Zpat"/>
    <w:uiPriority w:val="99"/>
    <w:rsid w:val="00B61EAA"/>
  </w:style>
  <w:style w:type="paragraph" w:styleId="Textbubliny">
    <w:name w:val="Balloon Text"/>
    <w:basedOn w:val="Normln"/>
    <w:link w:val="TextbublinyChar"/>
    <w:uiPriority w:val="99"/>
    <w:semiHidden/>
    <w:unhideWhenUsed/>
    <w:rsid w:val="00E931DC"/>
    <w:pPr>
      <w:spacing w:before="0"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E931D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Theme="minorHAnsi" w:hAnsi="Cambria" w:cstheme="minorBidi"/>
        <w:color w:val="17365D" w:themeColor="text2" w:themeShade="BF"/>
        <w:sz w:val="22"/>
        <w:szCs w:val="22"/>
        <w:lang w:val="en-GB" w:eastAsia="en-US" w:bidi="ar-SA"/>
      </w:rPr>
    </w:rPrDefault>
    <w:pPrDefault>
      <w:pPr>
        <w:spacing w:before="200"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poznpodarou">
    <w:name w:val="footnote text"/>
    <w:basedOn w:val="Normln"/>
    <w:link w:val="TextpoznpodarouChar"/>
    <w:semiHidden/>
    <w:rsid w:val="00B61EAA"/>
    <w:pPr>
      <w:spacing w:before="0" w:line="280" w:lineRule="exact"/>
    </w:pPr>
    <w:rPr>
      <w:rFonts w:ascii="Arial" w:eastAsia="Times New Roman" w:hAnsi="Arial" w:cs="Times New Roman"/>
      <w:color w:val="auto"/>
      <w:sz w:val="20"/>
      <w:szCs w:val="20"/>
      <w:lang w:eastAsia="de-DE"/>
    </w:rPr>
  </w:style>
  <w:style w:type="character" w:customStyle="1" w:styleId="TextpoznpodarouChar">
    <w:name w:val="Text pozn. pod čarou Char"/>
    <w:basedOn w:val="Standardnpsmoodstavce"/>
    <w:link w:val="Textpoznpodarou"/>
    <w:semiHidden/>
    <w:rsid w:val="00B61EAA"/>
    <w:rPr>
      <w:rFonts w:ascii="Arial" w:eastAsia="Times New Roman" w:hAnsi="Arial" w:cs="Times New Roman"/>
      <w:color w:val="auto"/>
      <w:sz w:val="20"/>
      <w:szCs w:val="20"/>
      <w:lang w:eastAsia="de-DE"/>
    </w:rPr>
  </w:style>
  <w:style w:type="character" w:styleId="Znakapoznpodarou">
    <w:name w:val="footnote reference"/>
    <w:semiHidden/>
    <w:rsid w:val="00B61EAA"/>
    <w:rPr>
      <w:vertAlign w:val="superscript"/>
    </w:rPr>
  </w:style>
  <w:style w:type="paragraph" w:styleId="Zhlav">
    <w:name w:val="header"/>
    <w:basedOn w:val="Normln"/>
    <w:link w:val="ZhlavChar"/>
    <w:uiPriority w:val="99"/>
    <w:unhideWhenUsed/>
    <w:rsid w:val="00B61EAA"/>
    <w:pPr>
      <w:tabs>
        <w:tab w:val="center" w:pos="4536"/>
        <w:tab w:val="right" w:pos="9072"/>
      </w:tabs>
      <w:spacing w:before="0" w:after="0" w:line="240" w:lineRule="auto"/>
    </w:pPr>
  </w:style>
  <w:style w:type="character" w:customStyle="1" w:styleId="ZhlavChar">
    <w:name w:val="Záhlaví Char"/>
    <w:basedOn w:val="Standardnpsmoodstavce"/>
    <w:link w:val="Zhlav"/>
    <w:uiPriority w:val="99"/>
    <w:rsid w:val="00B61EAA"/>
  </w:style>
  <w:style w:type="paragraph" w:styleId="Zpat">
    <w:name w:val="footer"/>
    <w:basedOn w:val="Normln"/>
    <w:link w:val="ZpatChar"/>
    <w:uiPriority w:val="99"/>
    <w:unhideWhenUsed/>
    <w:rsid w:val="00B61EAA"/>
    <w:pPr>
      <w:tabs>
        <w:tab w:val="center" w:pos="4536"/>
        <w:tab w:val="right" w:pos="9072"/>
      </w:tabs>
      <w:spacing w:before="0" w:after="0" w:line="240" w:lineRule="auto"/>
    </w:pPr>
  </w:style>
  <w:style w:type="character" w:customStyle="1" w:styleId="ZpatChar">
    <w:name w:val="Zápatí Char"/>
    <w:basedOn w:val="Standardnpsmoodstavce"/>
    <w:link w:val="Zpat"/>
    <w:uiPriority w:val="99"/>
    <w:rsid w:val="00B61EAA"/>
  </w:style>
  <w:style w:type="paragraph" w:styleId="Textbubliny">
    <w:name w:val="Balloon Text"/>
    <w:basedOn w:val="Normln"/>
    <w:link w:val="TextbublinyChar"/>
    <w:uiPriority w:val="99"/>
    <w:semiHidden/>
    <w:unhideWhenUsed/>
    <w:rsid w:val="00E931DC"/>
    <w:pPr>
      <w:spacing w:before="0"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E931D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1819</Words>
  <Characters>10738</Characters>
  <Application>Microsoft Office Word</Application>
  <DocSecurity>0</DocSecurity>
  <Lines>89</Lines>
  <Paragraphs>25</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KD</Company>
  <LinksUpToDate>false</LinksUpToDate>
  <CharactersWithSpaces>12532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Alessandra Pala</dc:creator>
  <cp:lastModifiedBy>Ptackova Ivana</cp:lastModifiedBy>
  <cp:revision>2</cp:revision>
  <cp:lastPrinted>2017-05-10T13:31:00Z</cp:lastPrinted>
  <dcterms:created xsi:type="dcterms:W3CDTF">2017-05-17T07:06:00Z</dcterms:created>
  <dcterms:modified xsi:type="dcterms:W3CDTF">2017-05-17T07:06:00Z</dcterms:modified>
</cp:coreProperties>
</file>