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750593" w:rsidRDefault="004523BC" w:rsidP="00682F6A">
      <w:pPr>
        <w:jc w:val="center"/>
        <w:rPr>
          <w:b/>
          <w:sz w:val="28"/>
        </w:rPr>
      </w:pPr>
      <w:r w:rsidRPr="00750593">
        <w:rPr>
          <w:b/>
          <w:sz w:val="28"/>
        </w:rPr>
        <w:t>č. OLP/</w:t>
      </w:r>
      <w:r w:rsidR="00E12047" w:rsidRPr="00750593">
        <w:rPr>
          <w:b/>
          <w:sz w:val="28"/>
        </w:rPr>
        <w:t>1806</w:t>
      </w:r>
      <w:r w:rsidR="0076567B" w:rsidRPr="00750593">
        <w:rPr>
          <w:b/>
          <w:sz w:val="28"/>
        </w:rPr>
        <w:t>/2017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r>
        <w:t>xxx</w:t>
      </w:r>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4312DE">
        <w:t>na základě zmocnění</w:t>
      </w:r>
      <w:r w:rsidR="0076567B" w:rsidRPr="00773F48">
        <w:t xml:space="preserve">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541CD8" w:rsidP="00682F6A">
      <w:pPr>
        <w:jc w:val="both"/>
        <w:rPr>
          <w:b/>
        </w:rPr>
      </w:pPr>
      <w:r>
        <w:rPr>
          <w:b/>
        </w:rPr>
        <w:t>Město Dubá</w:t>
      </w:r>
    </w:p>
    <w:p w:rsidR="004523BC" w:rsidRPr="00B141AC" w:rsidRDefault="004523BC" w:rsidP="00682F6A">
      <w:pPr>
        <w:jc w:val="both"/>
      </w:pPr>
      <w:r w:rsidRPr="00B141AC">
        <w:t>se sídlem</w:t>
      </w:r>
      <w:r w:rsidR="00B30EAC">
        <w:t>:</w:t>
      </w:r>
      <w:r w:rsidR="00BB779A">
        <w:t xml:space="preserve"> </w:t>
      </w:r>
      <w:r w:rsidR="00541CD8">
        <w:t>Masarykovo náměstí 138, 471 41 Dubá</w:t>
      </w:r>
    </w:p>
    <w:p w:rsidR="00E164C2" w:rsidRDefault="00B15D34" w:rsidP="00682F6A">
      <w:pPr>
        <w:jc w:val="both"/>
      </w:pPr>
      <w:r>
        <w:t>zastoupené</w:t>
      </w:r>
      <w:r w:rsidR="00B30EAC">
        <w:t>:</w:t>
      </w:r>
      <w:r w:rsidR="00BB779A">
        <w:t xml:space="preserve"> st</w:t>
      </w:r>
      <w:r w:rsidR="00541CD8">
        <w:t>arostkou Mgr. Zdeňkou Šepsovou</w:t>
      </w:r>
    </w:p>
    <w:p w:rsidR="004523BC" w:rsidRDefault="004523BC" w:rsidP="00682F6A">
      <w:pPr>
        <w:jc w:val="both"/>
        <w:rPr>
          <w:noProof/>
          <w:szCs w:val="20"/>
        </w:rPr>
      </w:pPr>
      <w:r>
        <w:t>IČ</w:t>
      </w:r>
      <w:r w:rsidR="00B30EAC">
        <w:t>:</w:t>
      </w:r>
      <w:r w:rsidR="00541CD8">
        <w:t xml:space="preserve"> </w:t>
      </w:r>
      <w:r w:rsidR="00541CD8" w:rsidRPr="004A0C1A">
        <w:rPr>
          <w:noProof/>
          <w:szCs w:val="20"/>
        </w:rPr>
        <w:t>00260479</w:t>
      </w:r>
    </w:p>
    <w:p w:rsidR="00541CD8" w:rsidRDefault="00541CD8" w:rsidP="00682F6A">
      <w:pPr>
        <w:jc w:val="both"/>
      </w:pPr>
      <w:r>
        <w:rPr>
          <w:noProof/>
          <w:szCs w:val="20"/>
        </w:rPr>
        <w:t>DIČ:</w:t>
      </w:r>
      <w:r w:rsidRPr="00541CD8">
        <w:t xml:space="preserve"> </w:t>
      </w:r>
      <w:r w:rsidRPr="00541CD8">
        <w:rPr>
          <w:noProof/>
          <w:szCs w:val="20"/>
        </w:rPr>
        <w:t>CZ00260479</w:t>
      </w:r>
    </w:p>
    <w:p w:rsidR="004523BC" w:rsidRDefault="004523BC" w:rsidP="00682F6A">
      <w:pPr>
        <w:jc w:val="both"/>
      </w:pPr>
      <w:r>
        <w:t>Bankovní spojení</w:t>
      </w:r>
      <w:r w:rsidR="00B30EAC">
        <w:t>:</w:t>
      </w:r>
      <w:r w:rsidR="00541CD8">
        <w:t xml:space="preserve"> Česká spořitelna</w:t>
      </w:r>
      <w:r w:rsidR="00BB779A">
        <w:t>, a.s.</w:t>
      </w:r>
    </w:p>
    <w:p w:rsidR="004523BC" w:rsidRDefault="004523BC" w:rsidP="00682F6A">
      <w:pPr>
        <w:jc w:val="both"/>
      </w:pPr>
      <w:r>
        <w:t>Číslo účtu</w:t>
      </w:r>
      <w:r w:rsidR="00B30EAC">
        <w:t>:</w:t>
      </w:r>
      <w:r w:rsidR="00BB779A" w:rsidRPr="00BB779A">
        <w:t xml:space="preserve"> </w:t>
      </w:r>
      <w:r w:rsidR="00541CD8" w:rsidRPr="00541CD8">
        <w:t>0903265309</w:t>
      </w:r>
      <w:r w:rsidR="00541CD8">
        <w:t>/0800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B15D34">
        <w:t xml:space="preserve"> účelové </w:t>
      </w:r>
      <w:r w:rsidR="00196FFA">
        <w:t>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541CD8" w:rsidRPr="00541CD8">
        <w:rPr>
          <w:b/>
        </w:rPr>
        <w:t>Obnova objektu bývalé sušárny chmele v Dubé - I. etapa</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lastRenderedPageBreak/>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541CD8" w:rsidRPr="004A0C1A">
        <w:rPr>
          <w:noProof/>
          <w:szCs w:val="20"/>
        </w:rPr>
        <w:t>Účelem projektu je záchrana, stabilizační opravy, úpravy a korektivní obnova nemovité kulturní památky, která je zároveň unikátem (technickou památkou), a zároveň památníkem na v</w:t>
      </w:r>
      <w:r w:rsidR="00541CD8">
        <w:rPr>
          <w:noProof/>
          <w:szCs w:val="20"/>
        </w:rPr>
        <w:t>ýznamnou etapu historie regionu</w:t>
      </w:r>
      <w:r w:rsidR="00813B71">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2127"/>
        <w:gridCol w:w="2479"/>
      </w:tblGrid>
      <w:tr w:rsidR="004523BC" w:rsidRPr="00813B71" w:rsidTr="00F032B0">
        <w:tc>
          <w:tcPr>
            <w:tcW w:w="4110" w:type="dxa"/>
          </w:tcPr>
          <w:p w:rsidR="004523BC" w:rsidRPr="00813B71" w:rsidRDefault="004523BC" w:rsidP="00F032B0">
            <w:pPr>
              <w:rPr>
                <w:b/>
              </w:rPr>
            </w:pPr>
            <w:r w:rsidRPr="00813B71">
              <w:rPr>
                <w:b/>
              </w:rPr>
              <w:t>Název parametru</w:t>
            </w:r>
          </w:p>
        </w:tc>
        <w:tc>
          <w:tcPr>
            <w:tcW w:w="2127" w:type="dxa"/>
          </w:tcPr>
          <w:p w:rsidR="004523BC" w:rsidRPr="00813B71" w:rsidRDefault="00813B71" w:rsidP="00813B71">
            <w:pPr>
              <w:jc w:val="center"/>
              <w:rPr>
                <w:b/>
              </w:rPr>
            </w:pPr>
            <w:r>
              <w:rPr>
                <w:b/>
              </w:rPr>
              <w:t>Jed</w:t>
            </w:r>
            <w:r w:rsidR="004523BC" w:rsidRPr="00813B71">
              <w:rPr>
                <w:b/>
              </w:rPr>
              <w:t>notka</w:t>
            </w:r>
          </w:p>
        </w:tc>
        <w:tc>
          <w:tcPr>
            <w:tcW w:w="2479" w:type="dxa"/>
          </w:tcPr>
          <w:p w:rsidR="004523BC" w:rsidRPr="00813B71" w:rsidRDefault="0025487F" w:rsidP="00F032B0">
            <w:pPr>
              <w:jc w:val="center"/>
              <w:rPr>
                <w:b/>
              </w:rPr>
            </w:pPr>
            <w:r w:rsidRPr="00813B71">
              <w:rPr>
                <w:b/>
              </w:rPr>
              <w:t>H</w:t>
            </w:r>
            <w:r w:rsidR="004523BC" w:rsidRPr="00813B71">
              <w:rPr>
                <w:b/>
              </w:rPr>
              <w:t>odnota</w:t>
            </w:r>
          </w:p>
        </w:tc>
      </w:tr>
      <w:tr w:rsidR="004523BC" w:rsidRPr="00620AFA" w:rsidTr="00F032B0">
        <w:tc>
          <w:tcPr>
            <w:tcW w:w="4110" w:type="dxa"/>
          </w:tcPr>
          <w:p w:rsidR="004523BC" w:rsidRPr="00620AFA" w:rsidRDefault="00541CD8" w:rsidP="00F032B0">
            <w:r>
              <w:rPr>
                <w:noProof/>
                <w:szCs w:val="20"/>
              </w:rPr>
              <w:t>S</w:t>
            </w:r>
            <w:r w:rsidRPr="004A0C1A">
              <w:rPr>
                <w:noProof/>
                <w:szCs w:val="20"/>
              </w:rPr>
              <w:t xml:space="preserve">tatické zajištění </w:t>
            </w:r>
            <w:r>
              <w:rPr>
                <w:noProof/>
                <w:szCs w:val="20"/>
              </w:rPr>
              <w:t>–</w:t>
            </w:r>
            <w:r w:rsidRPr="004A0C1A">
              <w:rPr>
                <w:noProof/>
                <w:szCs w:val="20"/>
              </w:rPr>
              <w:t xml:space="preserve"> táhla</w:t>
            </w:r>
          </w:p>
        </w:tc>
        <w:tc>
          <w:tcPr>
            <w:tcW w:w="2127" w:type="dxa"/>
          </w:tcPr>
          <w:p w:rsidR="004523BC" w:rsidRPr="00620AFA" w:rsidRDefault="00541CD8" w:rsidP="00541CD8">
            <w:pPr>
              <w:jc w:val="center"/>
            </w:pPr>
            <w:r>
              <w:t>kpl</w:t>
            </w:r>
          </w:p>
        </w:tc>
        <w:tc>
          <w:tcPr>
            <w:tcW w:w="2479" w:type="dxa"/>
          </w:tcPr>
          <w:p w:rsidR="004523BC" w:rsidRPr="00620AFA" w:rsidRDefault="00541CD8" w:rsidP="00813B71">
            <w:pPr>
              <w:jc w:val="center"/>
            </w:pPr>
            <w:r>
              <w:t>1</w:t>
            </w:r>
          </w:p>
        </w:tc>
      </w:tr>
      <w:tr w:rsidR="00813B71" w:rsidRPr="00620AFA" w:rsidTr="00F032B0">
        <w:tc>
          <w:tcPr>
            <w:tcW w:w="4110" w:type="dxa"/>
          </w:tcPr>
          <w:p w:rsidR="00813B71" w:rsidRPr="00FE3B79" w:rsidRDefault="00541CD8" w:rsidP="00F032B0">
            <w:pPr>
              <w:rPr>
                <w:noProof/>
                <w:szCs w:val="20"/>
              </w:rPr>
            </w:pPr>
            <w:r>
              <w:rPr>
                <w:noProof/>
                <w:szCs w:val="20"/>
              </w:rPr>
              <w:t>O</w:t>
            </w:r>
            <w:r w:rsidRPr="004A0C1A">
              <w:rPr>
                <w:noProof/>
                <w:szCs w:val="20"/>
              </w:rPr>
              <w:t>dvodnění objektu</w:t>
            </w:r>
          </w:p>
        </w:tc>
        <w:tc>
          <w:tcPr>
            <w:tcW w:w="2127" w:type="dxa"/>
          </w:tcPr>
          <w:p w:rsidR="00813B71" w:rsidRDefault="00541CD8" w:rsidP="00813B71">
            <w:pPr>
              <w:jc w:val="center"/>
            </w:pPr>
            <w:r>
              <w:t>kpl</w:t>
            </w:r>
          </w:p>
        </w:tc>
        <w:tc>
          <w:tcPr>
            <w:tcW w:w="2479" w:type="dxa"/>
          </w:tcPr>
          <w:p w:rsidR="00813B71" w:rsidRDefault="00541CD8" w:rsidP="00813B71">
            <w:pPr>
              <w:jc w:val="center"/>
            </w:pPr>
            <w:r>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541CD8" w:rsidRPr="00541CD8" w:rsidRDefault="00541CD8" w:rsidP="00541CD8">
      <w:pPr>
        <w:numPr>
          <w:ilvl w:val="0"/>
          <w:numId w:val="38"/>
        </w:numPr>
        <w:spacing w:before="120"/>
        <w:jc w:val="both"/>
      </w:pPr>
      <w:r w:rsidRPr="00541CD8">
        <w:t>pořízení dlouhodobého hmotného majetku do vlastnictví příjemce na projekt uvedený v čl. I. odst. 1</w:t>
      </w:r>
    </w:p>
    <w:p w:rsidR="00541CD8" w:rsidRPr="00541CD8" w:rsidRDefault="00541CD8" w:rsidP="00541CD8">
      <w:pPr>
        <w:numPr>
          <w:ilvl w:val="0"/>
          <w:numId w:val="38"/>
        </w:numPr>
        <w:spacing w:before="120"/>
        <w:jc w:val="both"/>
      </w:pPr>
      <w:r w:rsidRPr="00541CD8">
        <w:t>technické zhodnocení dlouhodobého hmotného majetku ve vlastnictví příjemce na projekt uvedený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813B71">
        <w:t>1.000.000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813B71">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813B71">
            <w:pPr>
              <w:jc w:val="center"/>
              <w:rPr>
                <w:b/>
              </w:rPr>
            </w:pPr>
            <w:r w:rsidRPr="00B37221">
              <w:rPr>
                <w:b/>
              </w:rPr>
              <w:t>Výše finančních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r w:rsidR="004523BC" w:rsidRPr="00B37221">
              <w:rPr>
                <w:b/>
              </w:rPr>
              <w:t>výdajích</w:t>
            </w:r>
          </w:p>
        </w:tc>
      </w:tr>
      <w:tr w:rsidR="004523BC" w:rsidRPr="00643D53" w:rsidTr="00813B71">
        <w:tc>
          <w:tcPr>
            <w:tcW w:w="4748" w:type="dxa"/>
          </w:tcPr>
          <w:p w:rsidR="004523BC" w:rsidRPr="00B37221" w:rsidRDefault="004523BC" w:rsidP="0076567B">
            <w:r w:rsidRPr="00B37221">
              <w:t>Celkové předpokládané způsobilé výdaje projektu</w:t>
            </w:r>
          </w:p>
        </w:tc>
        <w:tc>
          <w:tcPr>
            <w:tcW w:w="1982" w:type="dxa"/>
            <w:vAlign w:val="center"/>
          </w:tcPr>
          <w:p w:rsidR="004523BC" w:rsidRPr="00B37221" w:rsidRDefault="00541CD8" w:rsidP="0076567B">
            <w:pPr>
              <w:jc w:val="center"/>
            </w:pPr>
            <w:r w:rsidRPr="00541CD8">
              <w:t>3</w:t>
            </w:r>
            <w:r>
              <w:t>.</w:t>
            </w:r>
            <w:r w:rsidRPr="00541CD8">
              <w:t>852</w:t>
            </w:r>
            <w:r>
              <w:t>.954,</w:t>
            </w:r>
            <w:r w:rsidRPr="00541CD8">
              <w:t>95</w:t>
            </w:r>
            <w:r>
              <w:t>,-</w:t>
            </w:r>
          </w:p>
        </w:tc>
        <w:tc>
          <w:tcPr>
            <w:tcW w:w="2482" w:type="dxa"/>
            <w:vAlign w:val="center"/>
          </w:tcPr>
          <w:p w:rsidR="004523BC" w:rsidRPr="00B37221" w:rsidRDefault="00813B71" w:rsidP="00504D62">
            <w:pPr>
              <w:jc w:val="center"/>
            </w:pPr>
            <w:r>
              <w:t>100</w:t>
            </w:r>
            <w:r w:rsidR="004523BC" w:rsidRPr="00B37221">
              <w:t xml:space="preserve"> %</w:t>
            </w:r>
          </w:p>
        </w:tc>
      </w:tr>
      <w:tr w:rsidR="004523BC" w:rsidRPr="00643D53" w:rsidTr="00813B71">
        <w:tc>
          <w:tcPr>
            <w:tcW w:w="4748" w:type="dxa"/>
          </w:tcPr>
          <w:p w:rsidR="004523BC" w:rsidRPr="00B37221" w:rsidRDefault="004523BC" w:rsidP="0076567B">
            <w:r w:rsidRPr="00B37221">
              <w:t>Celková výše dotace z rozpočtu Libereckého kraje (max. podíl poskytovatele)</w:t>
            </w:r>
          </w:p>
        </w:tc>
        <w:tc>
          <w:tcPr>
            <w:tcW w:w="1982" w:type="dxa"/>
            <w:vAlign w:val="center"/>
          </w:tcPr>
          <w:p w:rsidR="004523BC" w:rsidRPr="00B37221" w:rsidRDefault="00813B71" w:rsidP="0076567B">
            <w:pPr>
              <w:jc w:val="center"/>
            </w:pPr>
            <w:r>
              <w:t>1.000.000</w:t>
            </w:r>
            <w:r w:rsidR="004523BC" w:rsidRPr="00B37221">
              <w:t>,-</w:t>
            </w:r>
          </w:p>
        </w:tc>
        <w:tc>
          <w:tcPr>
            <w:tcW w:w="2482" w:type="dxa"/>
            <w:vAlign w:val="center"/>
          </w:tcPr>
          <w:p w:rsidR="004523BC" w:rsidRPr="00B37221" w:rsidRDefault="00541CD8" w:rsidP="0076567B">
            <w:pPr>
              <w:jc w:val="center"/>
            </w:pPr>
            <w:r>
              <w:t>25,96</w:t>
            </w:r>
            <w:r w:rsidR="004523BC" w:rsidRPr="00B37221">
              <w:t xml:space="preserve"> %</w:t>
            </w:r>
          </w:p>
        </w:tc>
      </w:tr>
      <w:tr w:rsidR="004523BC" w:rsidRPr="00643D53" w:rsidTr="00813B71">
        <w:tc>
          <w:tcPr>
            <w:tcW w:w="4748"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1982" w:type="dxa"/>
            <w:vAlign w:val="center"/>
          </w:tcPr>
          <w:p w:rsidR="004523BC" w:rsidRPr="00B37221" w:rsidRDefault="00541CD8" w:rsidP="0076567B">
            <w:pPr>
              <w:jc w:val="center"/>
            </w:pPr>
            <w:r>
              <w:t>2.852.954,95</w:t>
            </w:r>
            <w:r w:rsidR="004523BC" w:rsidRPr="00B37221">
              <w:t>,-</w:t>
            </w:r>
          </w:p>
        </w:tc>
        <w:tc>
          <w:tcPr>
            <w:tcW w:w="2482" w:type="dxa"/>
            <w:vAlign w:val="center"/>
          </w:tcPr>
          <w:p w:rsidR="004523BC" w:rsidRPr="00B37221" w:rsidRDefault="00541CD8" w:rsidP="0076567B">
            <w:pPr>
              <w:jc w:val="center"/>
            </w:pPr>
            <w:r>
              <w:t>74,04</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00F032B0">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F032B0">
        <w:rPr>
          <w:snapToGrid w:val="0"/>
        </w:rPr>
        <w:t>7</w:t>
      </w:r>
      <w:r w:rsidR="001E2441">
        <w:rPr>
          <w:snapToGrid w:val="0"/>
        </w:rPr>
        <w:t>00.000</w:t>
      </w:r>
      <w:r w:rsidR="004523BC" w:rsidRPr="00EA2BE6">
        <w:rPr>
          <w:snapToGrid w:val="0"/>
        </w:rPr>
        <w:t xml:space="preserve"> Kč budou </w:t>
      </w:r>
      <w:r w:rsidR="004523BC" w:rsidRPr="00EA2BE6">
        <w:rPr>
          <w:snapToGrid w:val="0"/>
        </w:rPr>
        <w:lastRenderedPageBreak/>
        <w:t xml:space="preserve">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1E2441">
        <w:rPr>
          <w:snapToGrid w:val="0"/>
        </w:rPr>
        <w:t>řevedena na účet příjemce do 15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F978E2" w:rsidRPr="00F978E2">
        <w:rPr>
          <w:b/>
        </w:rPr>
        <w:t>3</w:t>
      </w:r>
      <w:r w:rsidR="001E2441" w:rsidRPr="00F978E2">
        <w:rPr>
          <w:b/>
        </w:rPr>
        <w:t>1</w:t>
      </w:r>
      <w:r w:rsidRPr="006E74CA">
        <w:rPr>
          <w:b/>
        </w:rPr>
        <w:t>.</w:t>
      </w:r>
      <w:r w:rsidR="00F978E2">
        <w:rPr>
          <w:b/>
        </w:rPr>
        <w:t> 3</w:t>
      </w:r>
      <w:r w:rsidR="00111B8F" w:rsidRPr="006E74CA">
        <w:rPr>
          <w:b/>
        </w:rPr>
        <w:t>. 201</w:t>
      </w:r>
      <w:r w:rsidR="00CD70B0" w:rsidRPr="006E74CA">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F978E2" w:rsidRPr="00F978E2">
        <w:rPr>
          <w:b/>
        </w:rPr>
        <w:t>3</w:t>
      </w:r>
      <w:r w:rsidR="00F978E2">
        <w:rPr>
          <w:b/>
        </w:rPr>
        <w:t>1. 3</w:t>
      </w:r>
      <w:r w:rsidR="002640A2" w:rsidRPr="0004229B">
        <w:rPr>
          <w:b/>
        </w:rPr>
        <w:t xml:space="preserve">. </w:t>
      </w:r>
      <w:r w:rsidR="001E2441">
        <w:rPr>
          <w:b/>
        </w:rPr>
        <w:t>2017</w:t>
      </w:r>
      <w:r w:rsidR="00DA61FA">
        <w:t xml:space="preserve"> a </w:t>
      </w:r>
      <w:r w:rsidR="00B631FE">
        <w:t xml:space="preserve">termín </w:t>
      </w:r>
      <w:r w:rsidR="00835FD2">
        <w:t xml:space="preserve">ukončení realizace projektu je </w:t>
      </w:r>
      <w:r>
        <w:t xml:space="preserve">nejpozději </w:t>
      </w:r>
      <w:r w:rsidR="00F978E2">
        <w:rPr>
          <w:b/>
        </w:rPr>
        <w:t>15. 7</w:t>
      </w:r>
      <w:r w:rsidR="00EA21A9">
        <w:rPr>
          <w:b/>
        </w:rPr>
        <w:t>.</w:t>
      </w:r>
      <w:r w:rsidR="00F978E2">
        <w:rPr>
          <w:b/>
        </w:rPr>
        <w:t xml:space="preserve"> 2018</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F978E2">
        <w:rPr>
          <w:b/>
        </w:rPr>
        <w:t>3</w:t>
      </w:r>
      <w:r w:rsidR="00111B8F" w:rsidRPr="006E74CA">
        <w:rPr>
          <w:b/>
        </w:rPr>
        <w:t xml:space="preserve">. </w:t>
      </w:r>
      <w:r w:rsidR="00F978E2">
        <w:rPr>
          <w:b/>
        </w:rPr>
        <w:t>9</w:t>
      </w:r>
      <w:r w:rsidR="00D53E64" w:rsidRPr="006E74CA">
        <w:rPr>
          <w:b/>
        </w:rPr>
        <w:t>.</w:t>
      </w:r>
      <w:r w:rsidR="001E2441">
        <w:rPr>
          <w:b/>
        </w:rPr>
        <w:t xml:space="preserve"> 2018</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w:t>
      </w:r>
      <w:r>
        <w:lastRenderedPageBreak/>
        <w:t xml:space="preserve">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835FD2">
        <w:t>variabilním symbolem č. 0780183</w:t>
      </w:r>
      <w:r w:rsidR="001E244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E2441">
        <w:t>19-7964000</w:t>
      </w:r>
      <w:r w:rsidR="001E2441" w:rsidRPr="00813B71">
        <w:t>277/0100</w:t>
      </w:r>
      <w:r w:rsidRPr="00612775">
        <w:t xml:space="preserve">, </w:t>
      </w:r>
      <w:r w:rsidR="00DB5C73">
        <w:t xml:space="preserve">s </w:t>
      </w:r>
      <w:r w:rsidR="00835FD2">
        <w:t>variabilním symbolem č. 0780183.</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1E2441">
      <w:pPr>
        <w:numPr>
          <w:ilvl w:val="0"/>
          <w:numId w:val="35"/>
        </w:numPr>
        <w:tabs>
          <w:tab w:val="clear" w:pos="644"/>
        </w:tabs>
        <w:spacing w:before="120"/>
        <w:ind w:left="426"/>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3D5D16">
        <w:t>0780183</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916BF9"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3D5D16" w:rsidRPr="003D5D16">
        <w:t>Mgr. Zdeňka Šepsová</w:t>
      </w:r>
      <w:r w:rsidR="00F62198">
        <w:t>, starostka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992BDA"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1;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DA" w:rsidRDefault="00992BDA">
      <w:r>
        <w:separator/>
      </w:r>
    </w:p>
  </w:endnote>
  <w:endnote w:type="continuationSeparator" w:id="0">
    <w:p w:rsidR="00992BDA" w:rsidRDefault="0099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27A0A">
      <w:rPr>
        <w:noProof/>
        <w:sz w:val="20"/>
        <w:szCs w:val="20"/>
      </w:rPr>
      <w:t>3</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DA" w:rsidRDefault="00992BDA">
      <w:r>
        <w:separator/>
      </w:r>
    </w:p>
  </w:footnote>
  <w:footnote w:type="continuationSeparator" w:id="0">
    <w:p w:rsidR="00992BDA" w:rsidRDefault="00992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9A" w:rsidRDefault="00696063" w:rsidP="00BB779A">
    <w:pPr>
      <w:pStyle w:val="Zhlav"/>
      <w:jc w:val="right"/>
    </w:pPr>
    <w:r>
      <w:t>0</w:t>
    </w:r>
    <w:r w:rsidR="00F27A0A">
      <w:t>38</w:t>
    </w:r>
    <w:r w:rsidR="0035411C">
      <w:t>_</w:t>
    </w:r>
    <w:r w:rsidR="00805BC1">
      <w:t>P</w:t>
    </w:r>
    <w:r w:rsidR="00BB779A">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460BA"/>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30B2"/>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3B9"/>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1CD8"/>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6063"/>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0593"/>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24A"/>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92BDA"/>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2B0"/>
    <w:rsid w:val="00F03400"/>
    <w:rsid w:val="00F03835"/>
    <w:rsid w:val="00F06211"/>
    <w:rsid w:val="00F1031D"/>
    <w:rsid w:val="00F13D70"/>
    <w:rsid w:val="00F144D0"/>
    <w:rsid w:val="00F1768B"/>
    <w:rsid w:val="00F2284D"/>
    <w:rsid w:val="00F27804"/>
    <w:rsid w:val="00F27A0A"/>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978E2"/>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DD940-8E52-4A94-8D04-740895A0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3728</Words>
  <Characters>21998</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Štochlová Tereza</cp:lastModifiedBy>
  <cp:revision>43</cp:revision>
  <cp:lastPrinted>2015-11-18T07:25:00Z</cp:lastPrinted>
  <dcterms:created xsi:type="dcterms:W3CDTF">2015-11-23T15:16:00Z</dcterms:created>
  <dcterms:modified xsi:type="dcterms:W3CDTF">2017-06-12T11:07:00Z</dcterms:modified>
</cp:coreProperties>
</file>