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9A" w:rsidRPr="001E060B" w:rsidRDefault="00A43FF8" w:rsidP="00195DF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1E060B">
        <w:rPr>
          <w:rFonts w:ascii="Times New Roman" w:hAnsi="Times New Roman" w:cs="Times New Roman"/>
          <w:b/>
          <w:caps/>
          <w:sz w:val="24"/>
          <w:szCs w:val="24"/>
        </w:rPr>
        <w:t>Přehled předjednané spolupráce mezi jednotlivými odbory LBK a ARR s.r.o.</w:t>
      </w:r>
    </w:p>
    <w:p w:rsidR="007E3937" w:rsidRPr="00195DF7" w:rsidRDefault="007E3937" w:rsidP="002C529A">
      <w:pPr>
        <w:rPr>
          <w:rFonts w:ascii="Times New Roman" w:hAnsi="Times New Roman" w:cs="Times New Roman"/>
          <w:sz w:val="16"/>
          <w:szCs w:val="16"/>
        </w:rPr>
      </w:pPr>
    </w:p>
    <w:p w:rsidR="00BD1FAF" w:rsidRPr="00195DF7" w:rsidRDefault="00BD1FAF" w:rsidP="00BD1FAF">
      <w:pPr>
        <w:rPr>
          <w:rFonts w:ascii="Times New Roman" w:hAnsi="Times New Roman" w:cs="Times New Roman"/>
          <w:sz w:val="22"/>
        </w:rPr>
      </w:pPr>
      <w:r w:rsidRPr="00195DF7">
        <w:rPr>
          <w:rFonts w:ascii="Times New Roman" w:hAnsi="Times New Roman" w:cs="Times New Roman"/>
          <w:sz w:val="22"/>
        </w:rPr>
        <w:t xml:space="preserve">Vertikální spolupráce dle výjimky ze zákona o zadávání veřejných zakázek č. 134/2016 Sb. klade za jednu z podmínek, aby obrat služeb poskytovaných vlastníku společnosti (Libereckému kraji) a ostatním subjektům byl minimálně v poměru 80 : 20. Cílem tohoto materiálu je prokázat, </w:t>
      </w:r>
      <w:r w:rsidR="0060555C" w:rsidRPr="00195DF7">
        <w:rPr>
          <w:rFonts w:ascii="Times New Roman" w:hAnsi="Times New Roman" w:cs="Times New Roman"/>
          <w:sz w:val="22"/>
        </w:rPr>
        <w:t>zda</w:t>
      </w:r>
      <w:r w:rsidRPr="00195DF7">
        <w:rPr>
          <w:rFonts w:ascii="Times New Roman" w:hAnsi="Times New Roman" w:cs="Times New Roman"/>
          <w:sz w:val="22"/>
        </w:rPr>
        <w:t xml:space="preserve"> uvažovaná vertikální spolupráce je reálná, tedy že tento poměr je reálné dodržet.</w:t>
      </w:r>
    </w:p>
    <w:p w:rsidR="00195DF7" w:rsidRPr="00195DF7" w:rsidRDefault="00195DF7" w:rsidP="002C529A">
      <w:pPr>
        <w:rPr>
          <w:rFonts w:ascii="Times New Roman" w:hAnsi="Times New Roman" w:cs="Times New Roman"/>
          <w:sz w:val="16"/>
          <w:szCs w:val="16"/>
        </w:rPr>
      </w:pPr>
    </w:p>
    <w:p w:rsidR="00195DF7" w:rsidRDefault="00D35797" w:rsidP="002C529A">
      <w:pPr>
        <w:rPr>
          <w:rFonts w:ascii="Times New Roman" w:hAnsi="Times New Roman" w:cs="Times New Roman"/>
          <w:sz w:val="22"/>
        </w:rPr>
      </w:pPr>
      <w:r w:rsidRPr="00195DF7">
        <w:rPr>
          <w:rFonts w:ascii="Times New Roman" w:hAnsi="Times New Roman" w:cs="Times New Roman"/>
          <w:sz w:val="22"/>
        </w:rPr>
        <w:t xml:space="preserve">Během dubna 2017 proběhla jednání mezi jednotlivými odbory Libereckého kraje a ARR s.r.o. o možnosti navázání přímé </w:t>
      </w:r>
      <w:r w:rsidR="008A18E5" w:rsidRPr="00195DF7">
        <w:rPr>
          <w:rFonts w:ascii="Times New Roman" w:hAnsi="Times New Roman" w:cs="Times New Roman"/>
          <w:sz w:val="22"/>
        </w:rPr>
        <w:t xml:space="preserve">spolupráce. Níže jsou </w:t>
      </w:r>
      <w:r w:rsidR="00E10F25" w:rsidRPr="00195DF7">
        <w:rPr>
          <w:rFonts w:ascii="Times New Roman" w:hAnsi="Times New Roman" w:cs="Times New Roman"/>
          <w:sz w:val="22"/>
        </w:rPr>
        <w:t xml:space="preserve">uvedeny odbory a </w:t>
      </w:r>
      <w:r w:rsidR="008A18E5" w:rsidRPr="00195DF7">
        <w:rPr>
          <w:rFonts w:ascii="Times New Roman" w:hAnsi="Times New Roman" w:cs="Times New Roman"/>
          <w:sz w:val="22"/>
        </w:rPr>
        <w:t>vyspecifikovány činnosti</w:t>
      </w:r>
      <w:r w:rsidR="006A7CD9" w:rsidRPr="00195DF7">
        <w:rPr>
          <w:rFonts w:ascii="Times New Roman" w:hAnsi="Times New Roman" w:cs="Times New Roman"/>
          <w:sz w:val="22"/>
        </w:rPr>
        <w:t xml:space="preserve">, které byly </w:t>
      </w:r>
      <w:r w:rsidR="0060555C" w:rsidRPr="00195DF7">
        <w:rPr>
          <w:rFonts w:ascii="Times New Roman" w:hAnsi="Times New Roman" w:cs="Times New Roman"/>
          <w:sz w:val="22"/>
        </w:rPr>
        <w:t xml:space="preserve">v současné době </w:t>
      </w:r>
      <w:r w:rsidR="006A7CD9" w:rsidRPr="00195DF7">
        <w:rPr>
          <w:rFonts w:ascii="Times New Roman" w:hAnsi="Times New Roman" w:cs="Times New Roman"/>
          <w:sz w:val="22"/>
        </w:rPr>
        <w:t>obo</w:t>
      </w:r>
      <w:r w:rsidR="003D097C" w:rsidRPr="00195DF7">
        <w:rPr>
          <w:rFonts w:ascii="Times New Roman" w:hAnsi="Times New Roman" w:cs="Times New Roman"/>
          <w:sz w:val="22"/>
        </w:rPr>
        <w:t>ustra</w:t>
      </w:r>
      <w:r w:rsidR="006A7CD9" w:rsidRPr="00195DF7">
        <w:rPr>
          <w:rFonts w:ascii="Times New Roman" w:hAnsi="Times New Roman" w:cs="Times New Roman"/>
          <w:sz w:val="22"/>
        </w:rPr>
        <w:t>n</w:t>
      </w:r>
      <w:r w:rsidR="003D097C" w:rsidRPr="00195DF7">
        <w:rPr>
          <w:rFonts w:ascii="Times New Roman" w:hAnsi="Times New Roman" w:cs="Times New Roman"/>
          <w:sz w:val="22"/>
        </w:rPr>
        <w:t xml:space="preserve">ně vydefinovány jako předmět budoucí vzájemné spolupráce. </w:t>
      </w:r>
      <w:r w:rsidRPr="00195DF7">
        <w:rPr>
          <w:rFonts w:ascii="Times New Roman" w:hAnsi="Times New Roman" w:cs="Times New Roman"/>
          <w:sz w:val="22"/>
        </w:rPr>
        <w:t xml:space="preserve">Tato spolupráce vychází ze skutečných potřeb odborů, tzn. že se jedná o činnosti, které jednotlivé odbory potřebují </w:t>
      </w:r>
      <w:r w:rsidR="007D3749" w:rsidRPr="00195DF7">
        <w:rPr>
          <w:rFonts w:ascii="Times New Roman" w:hAnsi="Times New Roman" w:cs="Times New Roman"/>
          <w:sz w:val="22"/>
        </w:rPr>
        <w:t xml:space="preserve">a plánují </w:t>
      </w:r>
      <w:r w:rsidRPr="00195DF7">
        <w:rPr>
          <w:rFonts w:ascii="Times New Roman" w:hAnsi="Times New Roman" w:cs="Times New Roman"/>
          <w:sz w:val="22"/>
        </w:rPr>
        <w:t xml:space="preserve">v každém </w:t>
      </w:r>
      <w:r w:rsidR="007D3749" w:rsidRPr="00195DF7">
        <w:rPr>
          <w:rFonts w:ascii="Times New Roman" w:hAnsi="Times New Roman" w:cs="Times New Roman"/>
          <w:sz w:val="22"/>
        </w:rPr>
        <w:t xml:space="preserve">případě </w:t>
      </w:r>
      <w:r w:rsidRPr="00195DF7">
        <w:rPr>
          <w:rFonts w:ascii="Times New Roman" w:hAnsi="Times New Roman" w:cs="Times New Roman"/>
          <w:sz w:val="22"/>
        </w:rPr>
        <w:t>realizovat.</w:t>
      </w:r>
      <w:r w:rsidR="00C514EF" w:rsidRPr="00195DF7">
        <w:rPr>
          <w:rFonts w:ascii="Times New Roman" w:hAnsi="Times New Roman" w:cs="Times New Roman"/>
          <w:sz w:val="22"/>
        </w:rPr>
        <w:t xml:space="preserve"> </w:t>
      </w:r>
    </w:p>
    <w:p w:rsidR="00195DF7" w:rsidRPr="00195DF7" w:rsidRDefault="00195DF7" w:rsidP="002C529A">
      <w:pPr>
        <w:rPr>
          <w:rFonts w:ascii="Times New Roman" w:hAnsi="Times New Roman" w:cs="Times New Roman"/>
          <w:sz w:val="16"/>
          <w:szCs w:val="16"/>
        </w:rPr>
      </w:pPr>
    </w:p>
    <w:p w:rsidR="006622B6" w:rsidRPr="00195DF7" w:rsidRDefault="006622B6" w:rsidP="002C529A">
      <w:pPr>
        <w:rPr>
          <w:rFonts w:ascii="Times New Roman" w:hAnsi="Times New Roman" w:cs="Times New Roman"/>
          <w:sz w:val="22"/>
        </w:rPr>
      </w:pPr>
      <w:r w:rsidRPr="00195DF7">
        <w:rPr>
          <w:rFonts w:ascii="Times New Roman" w:hAnsi="Times New Roman" w:cs="Times New Roman"/>
          <w:sz w:val="22"/>
        </w:rPr>
        <w:t>Zajištění činností bylo rozděleno na období do konce roku 2017 (finanční potřeby odpovídají možnostem jednotlivých odborů) a dále na období od ledna do května 2018 (předpoklad nárokování částek na rozpočet 2018 jednotlivými odbory)</w:t>
      </w:r>
      <w:r w:rsidR="007D3749" w:rsidRPr="00195DF7">
        <w:rPr>
          <w:rFonts w:ascii="Times New Roman" w:hAnsi="Times New Roman" w:cs="Times New Roman"/>
          <w:sz w:val="22"/>
        </w:rPr>
        <w:t xml:space="preserve">. Důvodem </w:t>
      </w:r>
      <w:r w:rsidR="00585863" w:rsidRPr="00195DF7">
        <w:rPr>
          <w:rFonts w:ascii="Times New Roman" w:hAnsi="Times New Roman" w:cs="Times New Roman"/>
          <w:sz w:val="22"/>
        </w:rPr>
        <w:t>pro takto zvolené časové období je fakt</w:t>
      </w:r>
      <w:r w:rsidR="007D3749" w:rsidRPr="00195DF7">
        <w:rPr>
          <w:rFonts w:ascii="Times New Roman" w:hAnsi="Times New Roman" w:cs="Times New Roman"/>
          <w:sz w:val="22"/>
        </w:rPr>
        <w:t>, že ARR s.r.o. má posunutý hospodářský rok (1.6. – 31.5.)</w:t>
      </w:r>
      <w:r w:rsidR="00195DF7">
        <w:rPr>
          <w:rFonts w:ascii="Times New Roman" w:hAnsi="Times New Roman" w:cs="Times New Roman"/>
          <w:sz w:val="22"/>
        </w:rPr>
        <w:t xml:space="preserve">. </w:t>
      </w:r>
      <w:r w:rsidR="008A18E5" w:rsidRPr="00195DF7">
        <w:rPr>
          <w:rFonts w:ascii="Times New Roman" w:hAnsi="Times New Roman" w:cs="Times New Roman"/>
          <w:sz w:val="22"/>
        </w:rPr>
        <w:t xml:space="preserve">V některých případech je </w:t>
      </w:r>
      <w:r w:rsidR="00E12483" w:rsidRPr="00195DF7">
        <w:rPr>
          <w:rFonts w:ascii="Times New Roman" w:hAnsi="Times New Roman" w:cs="Times New Roman"/>
          <w:sz w:val="22"/>
        </w:rPr>
        <w:t xml:space="preserve">u definovaných témat </w:t>
      </w:r>
      <w:r w:rsidR="008A18E5" w:rsidRPr="00195DF7">
        <w:rPr>
          <w:rFonts w:ascii="Times New Roman" w:hAnsi="Times New Roman" w:cs="Times New Roman"/>
          <w:sz w:val="22"/>
        </w:rPr>
        <w:t>uvedeno, že s</w:t>
      </w:r>
      <w:r w:rsidRPr="00195DF7">
        <w:rPr>
          <w:rFonts w:ascii="Times New Roman" w:hAnsi="Times New Roman" w:cs="Times New Roman"/>
          <w:sz w:val="22"/>
        </w:rPr>
        <w:t>polupráce je v</w:t>
      </w:r>
      <w:r w:rsidR="008A18E5" w:rsidRPr="00195DF7">
        <w:rPr>
          <w:rFonts w:ascii="Times New Roman" w:hAnsi="Times New Roman" w:cs="Times New Roman"/>
          <w:sz w:val="22"/>
        </w:rPr>
        <w:t> </w:t>
      </w:r>
      <w:r w:rsidRPr="00195DF7">
        <w:rPr>
          <w:rFonts w:ascii="Times New Roman" w:hAnsi="Times New Roman" w:cs="Times New Roman"/>
          <w:sz w:val="22"/>
        </w:rPr>
        <w:t>jednání</w:t>
      </w:r>
      <w:r w:rsidR="00DE1904" w:rsidRPr="00195DF7">
        <w:rPr>
          <w:rFonts w:ascii="Times New Roman" w:hAnsi="Times New Roman" w:cs="Times New Roman"/>
          <w:sz w:val="22"/>
        </w:rPr>
        <w:t>. T</w:t>
      </w:r>
      <w:r w:rsidR="004A3D90" w:rsidRPr="00195DF7">
        <w:rPr>
          <w:rFonts w:ascii="Times New Roman" w:hAnsi="Times New Roman" w:cs="Times New Roman"/>
          <w:sz w:val="22"/>
        </w:rPr>
        <w:t>o znamená, že existuje</w:t>
      </w:r>
      <w:r w:rsidR="008A18E5" w:rsidRPr="00195DF7">
        <w:rPr>
          <w:rFonts w:ascii="Times New Roman" w:hAnsi="Times New Roman" w:cs="Times New Roman"/>
          <w:sz w:val="22"/>
        </w:rPr>
        <w:t xml:space="preserve"> </w:t>
      </w:r>
      <w:r w:rsidR="00C514EF" w:rsidRPr="00195DF7">
        <w:rPr>
          <w:rFonts w:ascii="Times New Roman" w:hAnsi="Times New Roman" w:cs="Times New Roman"/>
          <w:sz w:val="22"/>
        </w:rPr>
        <w:t>poptávka odborů směřující ke spolupráci s ARR</w:t>
      </w:r>
      <w:r w:rsidR="008A18E5" w:rsidRPr="00195DF7">
        <w:rPr>
          <w:rFonts w:ascii="Times New Roman" w:hAnsi="Times New Roman" w:cs="Times New Roman"/>
          <w:sz w:val="22"/>
        </w:rPr>
        <w:t>, nicméně v tuto chvíli odbor nemá příslušné prostředky k dispozici, případně že je třeba víc</w:t>
      </w:r>
      <w:r w:rsidR="00E12483" w:rsidRPr="00195DF7">
        <w:rPr>
          <w:rFonts w:ascii="Times New Roman" w:hAnsi="Times New Roman" w:cs="Times New Roman"/>
          <w:sz w:val="22"/>
        </w:rPr>
        <w:t>e projednat a připravit detail této</w:t>
      </w:r>
      <w:r w:rsidR="00CB0576" w:rsidRPr="00195DF7">
        <w:rPr>
          <w:rFonts w:ascii="Times New Roman" w:hAnsi="Times New Roman" w:cs="Times New Roman"/>
          <w:sz w:val="22"/>
        </w:rPr>
        <w:t xml:space="preserve"> spolupráce</w:t>
      </w:r>
      <w:r w:rsidR="008A18E5" w:rsidRPr="00195DF7">
        <w:rPr>
          <w:rFonts w:ascii="Times New Roman" w:hAnsi="Times New Roman" w:cs="Times New Roman"/>
          <w:sz w:val="22"/>
        </w:rPr>
        <w:t xml:space="preserve">. </w:t>
      </w:r>
      <w:r w:rsidR="0060555C" w:rsidRPr="00195DF7">
        <w:rPr>
          <w:rFonts w:ascii="Times New Roman" w:hAnsi="Times New Roman" w:cs="Times New Roman"/>
          <w:sz w:val="22"/>
        </w:rPr>
        <w:t>Výčet předmětů spolupráce odpovídá období projednání, lze samozřejmě předvídat změny v rozsahu i předmětu poptávky.</w:t>
      </w:r>
    </w:p>
    <w:p w:rsidR="00D74DF1" w:rsidRPr="00195DF7" w:rsidRDefault="00D74DF1" w:rsidP="002C529A">
      <w:pPr>
        <w:rPr>
          <w:rFonts w:ascii="Times New Roman" w:hAnsi="Times New Roman" w:cs="Times New Roman"/>
          <w:sz w:val="16"/>
          <w:szCs w:val="16"/>
        </w:rPr>
      </w:pPr>
    </w:p>
    <w:p w:rsidR="009675C1" w:rsidRPr="00195DF7" w:rsidRDefault="009675C1" w:rsidP="002C529A">
      <w:pPr>
        <w:rPr>
          <w:rFonts w:ascii="Times New Roman" w:hAnsi="Times New Roman" w:cs="Times New Roman"/>
          <w:sz w:val="22"/>
        </w:rPr>
      </w:pPr>
      <w:r w:rsidRPr="00195DF7">
        <w:rPr>
          <w:rFonts w:ascii="Times New Roman" w:hAnsi="Times New Roman" w:cs="Times New Roman"/>
          <w:sz w:val="22"/>
        </w:rPr>
        <w:t>U definovaných témat spolupráce je dále uvedeno, o jaký převažující charakter z hlediska dlouhodobosti se jedná:</w:t>
      </w:r>
    </w:p>
    <w:p w:rsidR="002C529A" w:rsidRPr="00195DF7" w:rsidRDefault="002C529A" w:rsidP="002C52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95DF7">
        <w:rPr>
          <w:rFonts w:ascii="Times New Roman" w:hAnsi="Times New Roman" w:cs="Times New Roman"/>
        </w:rPr>
        <w:t>Krátkodobá činnost – dle aktuálních potřeb LBK</w:t>
      </w:r>
    </w:p>
    <w:p w:rsidR="002C529A" w:rsidRPr="00195DF7" w:rsidRDefault="002C529A" w:rsidP="002C52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95DF7">
        <w:rPr>
          <w:rFonts w:ascii="Times New Roman" w:hAnsi="Times New Roman" w:cs="Times New Roman"/>
        </w:rPr>
        <w:t>Dlouhodobá činnost – dlouhodobá práce nebo dlouhodobě se opakující typy činností</w:t>
      </w:r>
    </w:p>
    <w:p w:rsidR="002C529A" w:rsidRPr="00195DF7" w:rsidRDefault="002C529A" w:rsidP="002C52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95DF7">
        <w:rPr>
          <w:rFonts w:ascii="Times New Roman" w:hAnsi="Times New Roman" w:cs="Times New Roman"/>
        </w:rPr>
        <w:t>Kontinuální činnost – velmi dlouhodobé, respektive kontinuální služby</w:t>
      </w:r>
    </w:p>
    <w:p w:rsidR="006A4956" w:rsidRPr="00195DF7" w:rsidRDefault="006A4956">
      <w:pPr>
        <w:rPr>
          <w:rFonts w:ascii="Times New Roman" w:hAnsi="Times New Roman" w:cs="Times New Roman"/>
          <w:sz w:val="16"/>
          <w:szCs w:val="16"/>
        </w:rPr>
      </w:pPr>
    </w:p>
    <w:p w:rsidR="00665FE3" w:rsidRPr="00195DF7" w:rsidRDefault="009A5E1A">
      <w:pPr>
        <w:rPr>
          <w:rFonts w:ascii="Times New Roman" w:hAnsi="Times New Roman" w:cs="Times New Roman"/>
          <w:b/>
          <w:sz w:val="22"/>
        </w:rPr>
      </w:pPr>
      <w:r w:rsidRPr="00195DF7">
        <w:rPr>
          <w:rFonts w:ascii="Times New Roman" w:hAnsi="Times New Roman" w:cs="Times New Roman"/>
          <w:b/>
          <w:sz w:val="22"/>
        </w:rPr>
        <w:t xml:space="preserve">Celkový přehled </w:t>
      </w:r>
      <w:r w:rsidR="0060555C" w:rsidRPr="00195DF7">
        <w:rPr>
          <w:rFonts w:ascii="Times New Roman" w:hAnsi="Times New Roman" w:cs="Times New Roman"/>
          <w:b/>
          <w:sz w:val="22"/>
        </w:rPr>
        <w:t xml:space="preserve">předpokládaného </w:t>
      </w:r>
      <w:r w:rsidR="00F85C9A" w:rsidRPr="00195DF7">
        <w:rPr>
          <w:rFonts w:ascii="Times New Roman" w:hAnsi="Times New Roman" w:cs="Times New Roman"/>
          <w:b/>
          <w:sz w:val="22"/>
        </w:rPr>
        <w:t xml:space="preserve">finančního </w:t>
      </w:r>
      <w:r w:rsidRPr="00195DF7">
        <w:rPr>
          <w:rFonts w:ascii="Times New Roman" w:hAnsi="Times New Roman" w:cs="Times New Roman"/>
          <w:b/>
          <w:sz w:val="22"/>
        </w:rPr>
        <w:t xml:space="preserve">objemu spolupráce mezi ARR s.r.o a </w:t>
      </w:r>
      <w:r w:rsidR="00F85C9A" w:rsidRPr="00195DF7">
        <w:rPr>
          <w:rFonts w:ascii="Times New Roman" w:hAnsi="Times New Roman" w:cs="Times New Roman"/>
          <w:b/>
          <w:sz w:val="22"/>
        </w:rPr>
        <w:t xml:space="preserve">jednotlivými </w:t>
      </w:r>
      <w:r w:rsidRPr="00195DF7">
        <w:rPr>
          <w:rFonts w:ascii="Times New Roman" w:hAnsi="Times New Roman" w:cs="Times New Roman"/>
          <w:b/>
          <w:sz w:val="22"/>
        </w:rPr>
        <w:t>odbory Libereckého kraje a p</w:t>
      </w:r>
      <w:r w:rsidR="00665FE3" w:rsidRPr="00195DF7">
        <w:rPr>
          <w:rFonts w:ascii="Times New Roman" w:hAnsi="Times New Roman" w:cs="Times New Roman"/>
          <w:b/>
          <w:sz w:val="22"/>
        </w:rPr>
        <w:t xml:space="preserve">ředpoklad </w:t>
      </w:r>
      <w:r w:rsidR="00133C91" w:rsidRPr="00195DF7">
        <w:rPr>
          <w:rFonts w:ascii="Times New Roman" w:hAnsi="Times New Roman" w:cs="Times New Roman"/>
          <w:b/>
          <w:sz w:val="22"/>
        </w:rPr>
        <w:t xml:space="preserve">poměru </w:t>
      </w:r>
      <w:r w:rsidR="00665FE3" w:rsidRPr="00195DF7">
        <w:rPr>
          <w:rFonts w:ascii="Times New Roman" w:hAnsi="Times New Roman" w:cs="Times New Roman"/>
          <w:b/>
          <w:sz w:val="22"/>
        </w:rPr>
        <w:t>obratu pro první hospodářský rok ARR s.r.o.</w:t>
      </w:r>
      <w:r w:rsidR="00F85C9A" w:rsidRPr="00195DF7">
        <w:rPr>
          <w:rFonts w:ascii="Times New Roman" w:hAnsi="Times New Roman" w:cs="Times New Roman"/>
          <w:b/>
          <w:sz w:val="22"/>
        </w:rPr>
        <w:t xml:space="preserve"> v režimu </w:t>
      </w:r>
      <w:r w:rsidR="0026392D" w:rsidRPr="00195DF7">
        <w:rPr>
          <w:rFonts w:ascii="Times New Roman" w:hAnsi="Times New Roman" w:cs="Times New Roman"/>
          <w:b/>
          <w:sz w:val="22"/>
        </w:rPr>
        <w:t>vert</w:t>
      </w:r>
      <w:r w:rsidR="00CA5DFD">
        <w:rPr>
          <w:rFonts w:ascii="Times New Roman" w:hAnsi="Times New Roman" w:cs="Times New Roman"/>
          <w:b/>
          <w:sz w:val="22"/>
        </w:rPr>
        <w:t>ikální</w:t>
      </w:r>
      <w:r w:rsidR="0026392D" w:rsidRPr="00195DF7">
        <w:rPr>
          <w:rFonts w:ascii="Times New Roman" w:hAnsi="Times New Roman" w:cs="Times New Roman"/>
          <w:b/>
          <w:sz w:val="22"/>
        </w:rPr>
        <w:t xml:space="preserve"> spolupráce</w:t>
      </w:r>
    </w:p>
    <w:p w:rsidR="00665FE3" w:rsidRPr="00D73697" w:rsidRDefault="00665FE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400" w:type="dxa"/>
        <w:tblInd w:w="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540"/>
        <w:gridCol w:w="1540"/>
      </w:tblGrid>
      <w:tr w:rsidR="00503EBB" w:rsidRPr="006A4544" w:rsidTr="00503EBB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F81BD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Předpoklad finanční náročnosti bez DPH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03EBB" w:rsidRPr="006A4544" w:rsidRDefault="004D1675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O</w:t>
            </w:r>
            <w:r w:rsidR="00503EBB" w:rsidRPr="006A454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dbor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6.-12.2017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1.-5.2018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Odbor regionálního rozvoje a evropských projektů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1 410 000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750 000 Kč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Odbor životního prostředí a zemědělství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430 000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100 000 Kč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Odbor dopravy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1 250 000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1 500 000 Kč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Odbor investic a správy nemovitého majetku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kalkulace aktuálně nespecifikována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Odbor školství, mládeže, tělovýchovy a sportu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DA68CB" w:rsidP="00503E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  <w:r w:rsidR="00503EBB"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00 000 Kč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Odbor kultury, památkové péče a cestovního ruchu 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kalkulace aktuálně nespecifikována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Odbor kanceláře hejtmana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kalkulace aktuálně nespecifikována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Odbor sociálních věcí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kalkulace aktuálně nespecifikována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 PRO JEDNOTLIVÉ ROKY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3 090 000 Kč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25782E" w:rsidP="002578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  <w:r w:rsidR="00503EBB"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  <w:r w:rsidR="00503EBB"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50 000 Kč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 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25782E" w:rsidP="002578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="00503EBB"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="00503EBB"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40 000 Kč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výše zakázek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% 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Předpokládaný objem zakázek pro LBK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4B63DD" w:rsidP="004B6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="00503EBB"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="00503EBB"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40 000 Kč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4B63DD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81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Předpokládaný objem zakázek pro ostatní subjekty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4B63DD" w:rsidP="004B6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1 371</w:t>
            </w:r>
            <w:r w:rsidR="00503EBB"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500 Kč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4B63DD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19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na základě zasmluvněných vztahů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03EBB" w:rsidRPr="006A4544" w:rsidTr="00503EBB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3EBB" w:rsidRPr="006A4544" w:rsidRDefault="004B63DD" w:rsidP="004B6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  <w:r w:rsidR="00503EBB"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</w:t>
            </w:r>
            <w:r w:rsidR="00503EBB" w:rsidRPr="006A45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500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EBB" w:rsidRPr="006A4544" w:rsidRDefault="00503EBB" w:rsidP="00503E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A45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503EBB" w:rsidRPr="006A4544" w:rsidRDefault="00503EBB">
      <w:pPr>
        <w:rPr>
          <w:rFonts w:ascii="Times New Roman" w:hAnsi="Times New Roman" w:cs="Times New Roman"/>
          <w:sz w:val="22"/>
        </w:rPr>
      </w:pPr>
    </w:p>
    <w:p w:rsidR="006347A5" w:rsidRPr="0057694F" w:rsidRDefault="0057694F" w:rsidP="00503EBB">
      <w:pPr>
        <w:rPr>
          <w:rFonts w:ascii="Times New Roman" w:hAnsi="Times New Roman" w:cs="Times New Roman"/>
          <w:sz w:val="22"/>
        </w:rPr>
      </w:pPr>
      <w:r w:rsidRPr="0057694F">
        <w:rPr>
          <w:rFonts w:ascii="Times New Roman" w:hAnsi="Times New Roman" w:cs="Times New Roman"/>
          <w:sz w:val="22"/>
        </w:rPr>
        <w:t>Z tohoto přehledu vyplývá, že potřebný poměr obratů ze zakázek je naprosto reálné dosáhnout. Součet objemu zakázek od ostatních subjektů v přehledu reflektuje reálnost fakturace v příštím hospodářském roce. V každém případě je třeba vzít v úvahu určitou nejistotu tohoto odhadu. V případě již uzavřených smluv s ostatními subjekty je plnění některých dílčích prací závislé na schválení akce v dotačních programech, je možné i jejich prodloužení až do dalšího hospodářského roku apod. Dále je třeba i uvažovat fakt, že s některými odbory byla v současné době spolupráce vyjednána zatím bez specifikace finančních nároků a je reálné jejich navýšení.</w:t>
      </w:r>
    </w:p>
    <w:p w:rsidR="006347A5" w:rsidRPr="00D73697" w:rsidRDefault="006347A5" w:rsidP="009227D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7E3937" w:rsidRPr="00D73697" w:rsidRDefault="007E3937" w:rsidP="002C5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697">
        <w:rPr>
          <w:rFonts w:ascii="Times New Roman" w:hAnsi="Times New Roman" w:cs="Times New Roman"/>
          <w:b/>
          <w:sz w:val="28"/>
          <w:szCs w:val="28"/>
        </w:rPr>
        <w:t>PLÁN ČINNOSTÍ PRO LIBERECKÝ KRAJ</w:t>
      </w:r>
    </w:p>
    <w:p w:rsidR="002C529A" w:rsidRPr="00D73697" w:rsidRDefault="002C529A" w:rsidP="002C529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697">
        <w:rPr>
          <w:rFonts w:ascii="Times New Roman" w:hAnsi="Times New Roman" w:cs="Times New Roman"/>
          <w:b/>
          <w:sz w:val="28"/>
          <w:szCs w:val="28"/>
        </w:rPr>
        <w:t xml:space="preserve"> HOSPODÁŘSKÝ ROK ARR</w:t>
      </w:r>
      <w:r w:rsidR="00182C23" w:rsidRPr="00D73697">
        <w:rPr>
          <w:rFonts w:ascii="Times New Roman" w:hAnsi="Times New Roman" w:cs="Times New Roman"/>
          <w:b/>
          <w:sz w:val="28"/>
          <w:szCs w:val="28"/>
        </w:rPr>
        <w:t xml:space="preserve"> s.r.o.</w:t>
      </w:r>
      <w:r w:rsidRPr="00D73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A13" w:rsidRPr="00D73697">
        <w:rPr>
          <w:rFonts w:ascii="Times New Roman" w:hAnsi="Times New Roman" w:cs="Times New Roman"/>
          <w:b/>
          <w:sz w:val="28"/>
          <w:szCs w:val="28"/>
        </w:rPr>
        <w:t xml:space="preserve">2017 </w:t>
      </w:r>
      <w:r w:rsidRPr="00D73697">
        <w:rPr>
          <w:rFonts w:ascii="Times New Roman" w:hAnsi="Times New Roman" w:cs="Times New Roman"/>
          <w:b/>
          <w:sz w:val="28"/>
          <w:szCs w:val="28"/>
        </w:rPr>
        <w:t>(1.6.</w:t>
      </w:r>
      <w:r w:rsidR="00837A13" w:rsidRPr="00D73697">
        <w:rPr>
          <w:rFonts w:ascii="Times New Roman" w:hAnsi="Times New Roman" w:cs="Times New Roman"/>
          <w:b/>
          <w:sz w:val="28"/>
          <w:szCs w:val="28"/>
        </w:rPr>
        <w:t>2017</w:t>
      </w:r>
      <w:r w:rsidRPr="00D73697">
        <w:rPr>
          <w:rFonts w:ascii="Times New Roman" w:hAnsi="Times New Roman" w:cs="Times New Roman"/>
          <w:b/>
          <w:sz w:val="28"/>
          <w:szCs w:val="28"/>
        </w:rPr>
        <w:t xml:space="preserve"> – 31.5.</w:t>
      </w:r>
      <w:r w:rsidR="00837A13" w:rsidRPr="00D73697">
        <w:rPr>
          <w:rFonts w:ascii="Times New Roman" w:hAnsi="Times New Roman" w:cs="Times New Roman"/>
          <w:b/>
          <w:sz w:val="28"/>
          <w:szCs w:val="28"/>
        </w:rPr>
        <w:t>2018</w:t>
      </w:r>
      <w:r w:rsidRPr="00D73697">
        <w:rPr>
          <w:rFonts w:ascii="Times New Roman" w:hAnsi="Times New Roman" w:cs="Times New Roman"/>
          <w:b/>
          <w:sz w:val="28"/>
          <w:szCs w:val="28"/>
        </w:rPr>
        <w:t>)</w:t>
      </w:r>
    </w:p>
    <w:p w:rsidR="002C529A" w:rsidRPr="006A4544" w:rsidRDefault="00503EBB" w:rsidP="00E35129">
      <w:pPr>
        <w:pStyle w:val="Nadpis1"/>
        <w:rPr>
          <w:rFonts w:ascii="Times New Roman" w:hAnsi="Times New Roman" w:cs="Times New Roman"/>
        </w:rPr>
      </w:pPr>
      <w:r w:rsidRPr="006A4544">
        <w:rPr>
          <w:rFonts w:ascii="Times New Roman" w:hAnsi="Times New Roman" w:cs="Times New Roman"/>
        </w:rPr>
        <w:t>1</w:t>
      </w:r>
      <w:r w:rsidR="00CC2D46" w:rsidRPr="006A4544">
        <w:rPr>
          <w:rFonts w:ascii="Times New Roman" w:hAnsi="Times New Roman" w:cs="Times New Roman"/>
        </w:rPr>
        <w:t xml:space="preserve">/ </w:t>
      </w:r>
      <w:r w:rsidR="002C529A" w:rsidRPr="006A4544">
        <w:rPr>
          <w:rFonts w:ascii="Times New Roman" w:hAnsi="Times New Roman" w:cs="Times New Roman"/>
        </w:rPr>
        <w:t>ODBOR REGIONÁLNÍHO ROZVOJE A EVROPSKÝCH PROJEKTŮ</w:t>
      </w:r>
    </w:p>
    <w:p w:rsidR="002C529A" w:rsidRPr="006A4544" w:rsidRDefault="002C529A">
      <w:pPr>
        <w:rPr>
          <w:rFonts w:ascii="Times New Roman" w:hAnsi="Times New Roman" w:cs="Times New Roman"/>
          <w:b/>
          <w:sz w:val="22"/>
        </w:rPr>
      </w:pPr>
    </w:p>
    <w:tbl>
      <w:tblPr>
        <w:tblStyle w:val="Mkatabulky"/>
        <w:tblW w:w="10598" w:type="dxa"/>
        <w:tblInd w:w="-752" w:type="dxa"/>
        <w:tblLook w:val="04A0" w:firstRow="1" w:lastRow="0" w:firstColumn="1" w:lastColumn="0" w:noHBand="0" w:noVBand="1"/>
      </w:tblPr>
      <w:tblGrid>
        <w:gridCol w:w="6447"/>
        <w:gridCol w:w="1397"/>
        <w:gridCol w:w="1260"/>
        <w:gridCol w:w="1494"/>
      </w:tblGrid>
      <w:tr w:rsidR="00503EBB" w:rsidRPr="006A4544" w:rsidTr="005D5B12">
        <w:tc>
          <w:tcPr>
            <w:tcW w:w="6539" w:type="dxa"/>
            <w:vMerge w:val="restart"/>
            <w:shd w:val="clear" w:color="auto" w:fill="595959" w:themeFill="text1" w:themeFillTint="A6"/>
            <w:vAlign w:val="center"/>
          </w:tcPr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ČINNOST</w:t>
            </w:r>
          </w:p>
        </w:tc>
        <w:tc>
          <w:tcPr>
            <w:tcW w:w="2669" w:type="dxa"/>
            <w:gridSpan w:val="2"/>
            <w:shd w:val="clear" w:color="auto" w:fill="595959" w:themeFill="text1" w:themeFillTint="A6"/>
          </w:tcPr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FINANČNÍ RÁMEC </w:t>
            </w: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bez DPH</w:t>
            </w:r>
          </w:p>
        </w:tc>
        <w:tc>
          <w:tcPr>
            <w:tcW w:w="1390" w:type="dxa"/>
            <w:vMerge w:val="restart"/>
            <w:shd w:val="clear" w:color="auto" w:fill="595959" w:themeFill="text1" w:themeFillTint="A6"/>
          </w:tcPr>
          <w:p w:rsidR="00503EBB" w:rsidRPr="006A4544" w:rsidRDefault="00503EBB" w:rsidP="005D5B1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ČASOVÁ NÁROČNOST</w:t>
            </w:r>
          </w:p>
        </w:tc>
      </w:tr>
      <w:tr w:rsidR="00503EBB" w:rsidRPr="006A4544" w:rsidTr="005D5B12">
        <w:tc>
          <w:tcPr>
            <w:tcW w:w="6539" w:type="dxa"/>
            <w:vMerge/>
            <w:shd w:val="clear" w:color="auto" w:fill="595959" w:themeFill="text1" w:themeFillTint="A6"/>
          </w:tcPr>
          <w:p w:rsidR="00503EBB" w:rsidRPr="006A4544" w:rsidRDefault="00503EBB" w:rsidP="005D5B1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  <w:tc>
          <w:tcPr>
            <w:tcW w:w="1403" w:type="dxa"/>
            <w:shd w:val="clear" w:color="auto" w:fill="595959" w:themeFill="text1" w:themeFillTint="A6"/>
            <w:vAlign w:val="center"/>
          </w:tcPr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6-12/2017</w:t>
            </w:r>
          </w:p>
        </w:tc>
        <w:tc>
          <w:tcPr>
            <w:tcW w:w="1266" w:type="dxa"/>
            <w:shd w:val="clear" w:color="auto" w:fill="595959" w:themeFill="text1" w:themeFillTint="A6"/>
            <w:vAlign w:val="center"/>
          </w:tcPr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1-5/2018</w:t>
            </w:r>
          </w:p>
        </w:tc>
        <w:tc>
          <w:tcPr>
            <w:tcW w:w="1390" w:type="dxa"/>
            <w:vMerge/>
            <w:shd w:val="clear" w:color="auto" w:fill="595959" w:themeFill="text1" w:themeFillTint="A6"/>
          </w:tcPr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</w:tr>
      <w:tr w:rsidR="00503EBB" w:rsidRPr="006A4544" w:rsidTr="005D5B12">
        <w:tc>
          <w:tcPr>
            <w:tcW w:w="6539" w:type="dxa"/>
          </w:tcPr>
          <w:p w:rsidR="00503EBB" w:rsidRPr="006A4544" w:rsidRDefault="00503EBB" w:rsidP="005D5B1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Brownfields a greenfields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Aktualizace všech položek lokalit v databázi brownfields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Vyhledání nových lokalit typu brownfield a zařazení těchto lokalit do stávající databáze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Aktualizace všech položek lokalit typu greenfield v databázi rozvojových ploch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Vyhledání nových lokalit typu greenfields určené k průmyslové činnosti a zařazení těchto lokalit do stávající databáze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Grafické zpracování a potisk panelů, které obsahují nově zrevitalizované lokality brownfields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Realizace seminářů na téma brownfields (případně i greenfields) v LK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Zpracování analytických a koncepčních materiálů na vybraná témata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aktualizace lokalit v Národní databázi brownfieldů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Realizace výstav na dané téma</w:t>
            </w:r>
          </w:p>
          <w:p w:rsidR="00503EBB" w:rsidRPr="006A4544" w:rsidRDefault="00503EBB" w:rsidP="00503EBB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700.000,-</w:t>
            </w: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6" w:type="dxa"/>
          </w:tcPr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350.000</w:t>
            </w: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0" w:type="dxa"/>
          </w:tcPr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Dlouhodobá činnost </w:t>
            </w: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3EBB" w:rsidRPr="006A4544" w:rsidTr="005D5B12">
        <w:tc>
          <w:tcPr>
            <w:tcW w:w="6539" w:type="dxa"/>
          </w:tcPr>
          <w:p w:rsidR="00503EBB" w:rsidRPr="006A4544" w:rsidRDefault="00503EBB" w:rsidP="005D5B1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Příprava a realizace evropských projektů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Zpracování žádostí o dotace a studií proveditelnosti k projektům především do IROP a OPŽP</w:t>
            </w:r>
          </w:p>
          <w:p w:rsidR="00503EBB" w:rsidRPr="006A4544" w:rsidRDefault="00503EBB" w:rsidP="00503EBB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cca 310.000,-</w:t>
            </w:r>
          </w:p>
        </w:tc>
        <w:tc>
          <w:tcPr>
            <w:tcW w:w="1266" w:type="dxa"/>
          </w:tcPr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dle potřeby</w:t>
            </w: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0" w:type="dxa"/>
          </w:tcPr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Dlouhodobá činnost </w:t>
            </w:r>
          </w:p>
        </w:tc>
      </w:tr>
      <w:tr w:rsidR="00503EBB" w:rsidRPr="006A4544" w:rsidTr="005D5B12">
        <w:tc>
          <w:tcPr>
            <w:tcW w:w="6539" w:type="dxa"/>
          </w:tcPr>
          <w:p w:rsidR="00503EBB" w:rsidRPr="006A4544" w:rsidRDefault="00503EBB" w:rsidP="005D5B1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Virtuální inkubátor</w:t>
            </w: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Realizace činností souvisejících s nastartováním činnosti virtuálního inkubátoru jako partnera pro podnikatelskou sféru v oblasti podpory podnikání a rozvoje inovací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Mentoring a poradenství v podpoře podnikání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Marketing, propagace a informační podpora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Podpora ochrany know-how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Právní služby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IT služby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Finančně ekonomické služby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Administrativní služby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Řízení projektů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Grantové poradenství a financování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Vzdělávací aktivity</w:t>
            </w:r>
          </w:p>
          <w:p w:rsidR="00503EBB" w:rsidRPr="006A4544" w:rsidRDefault="00503EBB" w:rsidP="00503EBB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Pořádání akcí, seminářů a konferencí</w:t>
            </w:r>
          </w:p>
          <w:p w:rsidR="00503EBB" w:rsidRPr="006A4544" w:rsidRDefault="00503EBB" w:rsidP="00503EBB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400.000,-</w:t>
            </w:r>
          </w:p>
        </w:tc>
        <w:tc>
          <w:tcPr>
            <w:tcW w:w="1266" w:type="dxa"/>
          </w:tcPr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400.000,-</w:t>
            </w:r>
          </w:p>
        </w:tc>
        <w:tc>
          <w:tcPr>
            <w:tcW w:w="1390" w:type="dxa"/>
          </w:tcPr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</w:p>
          <w:p w:rsidR="00503EBB" w:rsidRPr="006A4544" w:rsidRDefault="00503EBB" w:rsidP="005D5B12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Dlouhodobá činnost</w:t>
            </w:r>
          </w:p>
        </w:tc>
      </w:tr>
      <w:tr w:rsidR="00503EBB" w:rsidRPr="006A4544" w:rsidTr="005D5B12">
        <w:tc>
          <w:tcPr>
            <w:tcW w:w="6539" w:type="dxa"/>
          </w:tcPr>
          <w:p w:rsidR="00503EBB" w:rsidRPr="006A4544" w:rsidRDefault="00503EBB" w:rsidP="005D5B1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CELKEM</w:t>
            </w:r>
          </w:p>
        </w:tc>
        <w:tc>
          <w:tcPr>
            <w:tcW w:w="1403" w:type="dxa"/>
          </w:tcPr>
          <w:p w:rsidR="00503EBB" w:rsidRPr="006A4544" w:rsidRDefault="00503EBB" w:rsidP="005D5B1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1.410.000,-</w:t>
            </w:r>
          </w:p>
        </w:tc>
        <w:tc>
          <w:tcPr>
            <w:tcW w:w="1266" w:type="dxa"/>
          </w:tcPr>
          <w:p w:rsidR="00503EBB" w:rsidRPr="006A4544" w:rsidRDefault="00503EBB" w:rsidP="005D5B1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750.000,-</w:t>
            </w:r>
          </w:p>
        </w:tc>
        <w:tc>
          <w:tcPr>
            <w:tcW w:w="1390" w:type="dxa"/>
          </w:tcPr>
          <w:p w:rsidR="00503EBB" w:rsidRPr="006A4544" w:rsidRDefault="00503EBB" w:rsidP="005D5B12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2C529A" w:rsidRPr="006A4544" w:rsidRDefault="002C529A">
      <w:pPr>
        <w:rPr>
          <w:rFonts w:ascii="Times New Roman" w:hAnsi="Times New Roman" w:cs="Times New Roman"/>
          <w:b/>
          <w:sz w:val="22"/>
        </w:rPr>
      </w:pPr>
    </w:p>
    <w:p w:rsidR="002C529A" w:rsidRPr="006A4544" w:rsidRDefault="002C529A" w:rsidP="00E35129">
      <w:pPr>
        <w:pStyle w:val="Nadpis1"/>
        <w:rPr>
          <w:rFonts w:ascii="Times New Roman" w:hAnsi="Times New Roman" w:cs="Times New Roman"/>
        </w:rPr>
      </w:pPr>
      <w:r w:rsidRPr="006A4544">
        <w:rPr>
          <w:rFonts w:ascii="Times New Roman" w:hAnsi="Times New Roman" w:cs="Times New Roman"/>
        </w:rPr>
        <w:lastRenderedPageBreak/>
        <w:t>2/ ODBOR ŽIVOTNÍHO PROSTŘEDÍ A ZEMĚDĚLSTVÍ</w:t>
      </w:r>
    </w:p>
    <w:p w:rsidR="003D406E" w:rsidRPr="006A4544" w:rsidRDefault="003D406E">
      <w:pPr>
        <w:rPr>
          <w:rFonts w:ascii="Times New Roman" w:hAnsi="Times New Roman" w:cs="Times New Roman"/>
          <w:b/>
          <w:sz w:val="22"/>
        </w:rPr>
      </w:pPr>
    </w:p>
    <w:tbl>
      <w:tblPr>
        <w:tblStyle w:val="Mkatabulky"/>
        <w:tblW w:w="10774" w:type="dxa"/>
        <w:tblInd w:w="-743" w:type="dxa"/>
        <w:tblLook w:val="04A0" w:firstRow="1" w:lastRow="0" w:firstColumn="1" w:lastColumn="0" w:noHBand="0" w:noVBand="1"/>
      </w:tblPr>
      <w:tblGrid>
        <w:gridCol w:w="6453"/>
        <w:gridCol w:w="1399"/>
        <w:gridCol w:w="1428"/>
        <w:gridCol w:w="1494"/>
      </w:tblGrid>
      <w:tr w:rsidR="002C529A" w:rsidRPr="006A4544" w:rsidTr="003D406E">
        <w:tc>
          <w:tcPr>
            <w:tcW w:w="6487" w:type="dxa"/>
            <w:vMerge w:val="restart"/>
            <w:shd w:val="clear" w:color="auto" w:fill="595959" w:themeFill="text1" w:themeFillTint="A6"/>
            <w:vAlign w:val="center"/>
          </w:tcPr>
          <w:p w:rsidR="002C529A" w:rsidRPr="006A4544" w:rsidRDefault="002C529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ČINNOST</w:t>
            </w:r>
          </w:p>
        </w:tc>
        <w:tc>
          <w:tcPr>
            <w:tcW w:w="2835" w:type="dxa"/>
            <w:gridSpan w:val="2"/>
            <w:shd w:val="clear" w:color="auto" w:fill="595959" w:themeFill="text1" w:themeFillTint="A6"/>
          </w:tcPr>
          <w:p w:rsidR="002C529A" w:rsidRPr="006A4544" w:rsidRDefault="002C529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FIN. RÁMEC</w:t>
            </w:r>
          </w:p>
          <w:p w:rsidR="002C529A" w:rsidRPr="006A4544" w:rsidRDefault="002C529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bez DPH</w:t>
            </w:r>
          </w:p>
        </w:tc>
        <w:tc>
          <w:tcPr>
            <w:tcW w:w="1452" w:type="dxa"/>
            <w:vMerge w:val="restart"/>
            <w:shd w:val="clear" w:color="auto" w:fill="595959" w:themeFill="text1" w:themeFillTint="A6"/>
          </w:tcPr>
          <w:p w:rsidR="002C529A" w:rsidRPr="006A4544" w:rsidRDefault="002C529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ČASOVÁ NÁROČNOST</w:t>
            </w:r>
          </w:p>
        </w:tc>
      </w:tr>
      <w:tr w:rsidR="002C529A" w:rsidRPr="006A4544" w:rsidTr="003D406E">
        <w:tc>
          <w:tcPr>
            <w:tcW w:w="6487" w:type="dxa"/>
            <w:vMerge/>
            <w:shd w:val="clear" w:color="auto" w:fill="595959" w:themeFill="text1" w:themeFillTint="A6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  <w:tc>
          <w:tcPr>
            <w:tcW w:w="1404" w:type="dxa"/>
            <w:shd w:val="clear" w:color="auto" w:fill="595959" w:themeFill="text1" w:themeFillTint="A6"/>
            <w:vAlign w:val="center"/>
          </w:tcPr>
          <w:p w:rsidR="002C529A" w:rsidRPr="006A4544" w:rsidRDefault="002C529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6-12/2017</w:t>
            </w:r>
          </w:p>
        </w:tc>
        <w:tc>
          <w:tcPr>
            <w:tcW w:w="1431" w:type="dxa"/>
            <w:shd w:val="clear" w:color="auto" w:fill="595959" w:themeFill="text1" w:themeFillTint="A6"/>
            <w:vAlign w:val="center"/>
          </w:tcPr>
          <w:p w:rsidR="002C529A" w:rsidRPr="006A4544" w:rsidRDefault="002C529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1-5/2018</w:t>
            </w:r>
          </w:p>
        </w:tc>
        <w:tc>
          <w:tcPr>
            <w:tcW w:w="1452" w:type="dxa"/>
            <w:vMerge/>
            <w:shd w:val="clear" w:color="auto" w:fill="595959" w:themeFill="text1" w:themeFillTint="A6"/>
          </w:tcPr>
          <w:p w:rsidR="002C529A" w:rsidRPr="006A4544" w:rsidRDefault="002C529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</w:tr>
      <w:tr w:rsidR="002C529A" w:rsidRPr="006A4544" w:rsidTr="003D406E">
        <w:tc>
          <w:tcPr>
            <w:tcW w:w="6487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Naplňování PZKO – zeleň v sídlech (bude upřesněno dle výzvy NPŽP V/2017)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Jednání s obcemi o jejich zájmu a o možnostech řešení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Zpracování analýzy možností řešení – jednoduchá studie jako podklad pro konkrétní PD v prioritních obcích</w:t>
            </w:r>
          </w:p>
          <w:p w:rsidR="002C529A" w:rsidRPr="006A4544" w:rsidRDefault="002C529A" w:rsidP="00A56917">
            <w:pPr>
              <w:pStyle w:val="Odstavecseseznamem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Vytipování vhodných ploch</w:t>
            </w:r>
          </w:p>
          <w:p w:rsidR="002C529A" w:rsidRPr="006A4544" w:rsidRDefault="002C529A" w:rsidP="00A56917">
            <w:pPr>
              <w:pStyle w:val="Odstavecseseznamem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Návrhy řešení, harmonogram ve vazbě na dotační možnosti</w:t>
            </w:r>
          </w:p>
          <w:p w:rsidR="002C529A" w:rsidRPr="006A4544" w:rsidRDefault="002C529A" w:rsidP="00A56917">
            <w:pPr>
              <w:pStyle w:val="Odstavecseseznamem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Odhad nákladů</w:t>
            </w:r>
          </w:p>
          <w:p w:rsidR="002C529A" w:rsidRPr="006A4544" w:rsidRDefault="002C529A" w:rsidP="00A56917">
            <w:pPr>
              <w:pStyle w:val="Odstavecseseznamem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50.000,-</w:t>
            </w:r>
          </w:p>
        </w:tc>
        <w:tc>
          <w:tcPr>
            <w:tcW w:w="1431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2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Dlouhodobá činnost</w:t>
            </w:r>
          </w:p>
        </w:tc>
      </w:tr>
      <w:tr w:rsidR="002C529A" w:rsidRPr="006A4544" w:rsidTr="003D406E">
        <w:tc>
          <w:tcPr>
            <w:tcW w:w="6487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 xml:space="preserve">Zajištění PD Stružnické rybníky </w:t>
            </w:r>
          </w:p>
        </w:tc>
        <w:tc>
          <w:tcPr>
            <w:tcW w:w="1404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1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100 000,-</w:t>
            </w:r>
          </w:p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(zdroj  ORREP)</w:t>
            </w:r>
          </w:p>
        </w:tc>
        <w:tc>
          <w:tcPr>
            <w:tcW w:w="1452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Krátkodobá činnost</w:t>
            </w:r>
          </w:p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C529A" w:rsidRPr="006A4544" w:rsidTr="003D406E">
        <w:tc>
          <w:tcPr>
            <w:tcW w:w="6487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Zajištění kontroly následné péče u projektů podpořených z dotací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 xml:space="preserve">Výkon faktické kontroly v terénu 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Návrh a zajištění případných nezbytných opravných prací či zásahů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Komunikace s kontrolními orgány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Zajištění povinností monitorovacích zpráv</w:t>
            </w:r>
          </w:p>
          <w:p w:rsidR="002C529A" w:rsidRPr="006A4544" w:rsidRDefault="002C529A" w:rsidP="00A56917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4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1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Předpoklad až 2.pol/2018-kontrola 1.etapy Významné aleje Lib.kraje</w:t>
            </w:r>
          </w:p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50 000,-</w:t>
            </w:r>
          </w:p>
        </w:tc>
        <w:tc>
          <w:tcPr>
            <w:tcW w:w="1452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Dlouhodobá činnost</w:t>
            </w:r>
          </w:p>
        </w:tc>
      </w:tr>
      <w:tr w:rsidR="002C529A" w:rsidRPr="006A4544" w:rsidTr="003D406E">
        <w:tc>
          <w:tcPr>
            <w:tcW w:w="6487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Součinnost při péči o ZCHÚ v kompetenci LBK, včetně přípravy vyhlašování nových ZCHÚ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Servisní služby – např. zajištění značení, infocedule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Analytické práce – zjišťování vlastníků, podklady pro plány péče či jejich aktualizaci</w:t>
            </w:r>
          </w:p>
          <w:p w:rsidR="002C529A" w:rsidRPr="006A4544" w:rsidRDefault="002C529A" w:rsidP="00A56917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110 000,-</w:t>
            </w:r>
          </w:p>
        </w:tc>
        <w:tc>
          <w:tcPr>
            <w:tcW w:w="1431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2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Kontinuální činnost</w:t>
            </w:r>
          </w:p>
        </w:tc>
      </w:tr>
      <w:tr w:rsidR="002C529A" w:rsidRPr="006A4544" w:rsidTr="003D406E">
        <w:tc>
          <w:tcPr>
            <w:tcW w:w="6487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Součinnost při péči o vybrané biotopy zvláště chráněných druhů rostlin a živočichů</w:t>
            </w:r>
          </w:p>
          <w:p w:rsidR="002C529A" w:rsidRPr="006A4544" w:rsidRDefault="002C529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04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20 000,-</w:t>
            </w:r>
          </w:p>
        </w:tc>
        <w:tc>
          <w:tcPr>
            <w:tcW w:w="1431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2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Kontinuální činnost</w:t>
            </w:r>
          </w:p>
        </w:tc>
      </w:tr>
      <w:tr w:rsidR="002C529A" w:rsidRPr="006A4544" w:rsidTr="003D406E">
        <w:tc>
          <w:tcPr>
            <w:tcW w:w="6487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Spolupráce při zpracování či aktualizacích koncepčních dokumentů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 xml:space="preserve">Sběr dat, 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 xml:space="preserve">Zpracování textů, 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Grafické práce, fotodokumentace</w:t>
            </w:r>
          </w:p>
          <w:p w:rsidR="002C529A" w:rsidRPr="006A4544" w:rsidRDefault="002C529A" w:rsidP="00A56917">
            <w:pPr>
              <w:pStyle w:val="Odstavecsesezname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1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Potřeba vyplyne z přípravy rozpočtu na rok 2018</w:t>
            </w:r>
          </w:p>
        </w:tc>
        <w:tc>
          <w:tcPr>
            <w:tcW w:w="1452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Kontinuální činnost</w:t>
            </w:r>
          </w:p>
        </w:tc>
      </w:tr>
      <w:tr w:rsidR="002C529A" w:rsidRPr="006A4544" w:rsidTr="003D406E">
        <w:tc>
          <w:tcPr>
            <w:tcW w:w="6487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Publikace Lesnictví a myslivost v Libereckém kraji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Vytvoření grafického návrhu z dodaných podkladů</w:t>
            </w:r>
          </w:p>
          <w:p w:rsidR="002C529A" w:rsidRPr="006A4544" w:rsidRDefault="002C529A" w:rsidP="00A56917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Zajištění tisku (předpoklad 1500 ks)</w:t>
            </w:r>
          </w:p>
          <w:p w:rsidR="002C529A" w:rsidRPr="006A4544" w:rsidRDefault="002C529A" w:rsidP="00A56917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150.000,-</w:t>
            </w:r>
          </w:p>
        </w:tc>
        <w:tc>
          <w:tcPr>
            <w:tcW w:w="1431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2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Krátkodobá činnost</w:t>
            </w:r>
          </w:p>
        </w:tc>
      </w:tr>
      <w:tr w:rsidR="002C529A" w:rsidRPr="006A4544" w:rsidTr="003D406E">
        <w:tc>
          <w:tcPr>
            <w:tcW w:w="6487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Vytipování prioritních oblastí z hlediska sucha a přívalových dešťů a průzkum stavu meliorací na zemědělských půdách v těchto vytipovaných oblastech</w:t>
            </w:r>
          </w:p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4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100 000,-</w:t>
            </w:r>
          </w:p>
        </w:tc>
        <w:tc>
          <w:tcPr>
            <w:tcW w:w="1431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2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Krátkodobá činnost</w:t>
            </w:r>
          </w:p>
        </w:tc>
      </w:tr>
      <w:tr w:rsidR="002C529A" w:rsidRPr="006A4544" w:rsidTr="003D406E">
        <w:tc>
          <w:tcPr>
            <w:tcW w:w="6487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CELKEM</w:t>
            </w:r>
          </w:p>
        </w:tc>
        <w:tc>
          <w:tcPr>
            <w:tcW w:w="1404" w:type="dxa"/>
          </w:tcPr>
          <w:p w:rsidR="002C529A" w:rsidRPr="006A4544" w:rsidRDefault="00800F40" w:rsidP="00800F4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430</w:t>
            </w:r>
            <w:r w:rsidR="002C529A" w:rsidRPr="006A4544">
              <w:rPr>
                <w:rFonts w:ascii="Times New Roman" w:hAnsi="Times New Roman" w:cs="Times New Roman"/>
                <w:b/>
                <w:szCs w:val="20"/>
              </w:rPr>
              <w:t> 000,-</w:t>
            </w:r>
          </w:p>
        </w:tc>
        <w:tc>
          <w:tcPr>
            <w:tcW w:w="1431" w:type="dxa"/>
          </w:tcPr>
          <w:p w:rsidR="002C529A" w:rsidRPr="006A4544" w:rsidRDefault="00800F40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100</w:t>
            </w:r>
            <w:r w:rsidR="002C529A" w:rsidRPr="006A4544">
              <w:rPr>
                <w:rFonts w:ascii="Times New Roman" w:hAnsi="Times New Roman" w:cs="Times New Roman"/>
                <w:b/>
                <w:szCs w:val="20"/>
              </w:rPr>
              <w:t> 000,-</w:t>
            </w:r>
          </w:p>
        </w:tc>
        <w:tc>
          <w:tcPr>
            <w:tcW w:w="1452" w:type="dxa"/>
          </w:tcPr>
          <w:p w:rsidR="002C529A" w:rsidRPr="006A4544" w:rsidRDefault="002C529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503EBB" w:rsidRPr="006A4544" w:rsidRDefault="00503EBB" w:rsidP="00503EBB">
      <w:pPr>
        <w:rPr>
          <w:rFonts w:ascii="Times New Roman" w:hAnsi="Times New Roman" w:cs="Times New Roman"/>
        </w:rPr>
      </w:pPr>
    </w:p>
    <w:p w:rsidR="00503EBB" w:rsidRPr="006A4544" w:rsidRDefault="00503EBB" w:rsidP="00503EBB">
      <w:pPr>
        <w:rPr>
          <w:rFonts w:ascii="Times New Roman" w:hAnsi="Times New Roman" w:cs="Times New Roman"/>
        </w:rPr>
      </w:pPr>
    </w:p>
    <w:p w:rsidR="00CA5DFD" w:rsidRDefault="00CA5DFD">
      <w:pPr>
        <w:spacing w:after="200"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C529A" w:rsidRPr="006A4544" w:rsidRDefault="002C529A" w:rsidP="00E35129">
      <w:pPr>
        <w:pStyle w:val="Nadpis1"/>
        <w:rPr>
          <w:rFonts w:ascii="Times New Roman" w:hAnsi="Times New Roman" w:cs="Times New Roman"/>
        </w:rPr>
      </w:pPr>
      <w:r w:rsidRPr="006A4544">
        <w:rPr>
          <w:rFonts w:ascii="Times New Roman" w:hAnsi="Times New Roman" w:cs="Times New Roman"/>
        </w:rPr>
        <w:t>3/</w:t>
      </w:r>
      <w:r w:rsidR="003D406E" w:rsidRPr="006A4544">
        <w:rPr>
          <w:rFonts w:ascii="Times New Roman" w:hAnsi="Times New Roman" w:cs="Times New Roman"/>
        </w:rPr>
        <w:t xml:space="preserve"> </w:t>
      </w:r>
      <w:r w:rsidRPr="006A4544">
        <w:rPr>
          <w:rFonts w:ascii="Times New Roman" w:hAnsi="Times New Roman" w:cs="Times New Roman"/>
        </w:rPr>
        <w:t>ODBOR DOPRAVY</w:t>
      </w:r>
    </w:p>
    <w:p w:rsidR="002C529A" w:rsidRPr="006A4544" w:rsidRDefault="002C529A">
      <w:pPr>
        <w:rPr>
          <w:rFonts w:ascii="Times New Roman" w:hAnsi="Times New Roman" w:cs="Times New Roman"/>
          <w:b/>
          <w:sz w:val="22"/>
        </w:rPr>
      </w:pPr>
    </w:p>
    <w:tbl>
      <w:tblPr>
        <w:tblStyle w:val="Mkatabulky1"/>
        <w:tblW w:w="10740" w:type="dxa"/>
        <w:jc w:val="center"/>
        <w:tblLook w:val="04A0" w:firstRow="1" w:lastRow="0" w:firstColumn="1" w:lastColumn="0" w:noHBand="0" w:noVBand="1"/>
      </w:tblPr>
      <w:tblGrid>
        <w:gridCol w:w="6539"/>
        <w:gridCol w:w="1403"/>
        <w:gridCol w:w="1266"/>
        <w:gridCol w:w="1532"/>
      </w:tblGrid>
      <w:tr w:rsidR="00D62212" w:rsidRPr="006A4544" w:rsidTr="00A56917">
        <w:trPr>
          <w:jc w:val="center"/>
        </w:trPr>
        <w:tc>
          <w:tcPr>
            <w:tcW w:w="6539" w:type="dxa"/>
            <w:vMerge w:val="restart"/>
            <w:shd w:val="clear" w:color="auto" w:fill="595959" w:themeFill="text1" w:themeFillTint="A6"/>
            <w:vAlign w:val="center"/>
          </w:tcPr>
          <w:p w:rsidR="00D62212" w:rsidRPr="006A4544" w:rsidRDefault="00D62212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ČINNOST</w:t>
            </w:r>
          </w:p>
        </w:tc>
        <w:tc>
          <w:tcPr>
            <w:tcW w:w="2669" w:type="dxa"/>
            <w:gridSpan w:val="2"/>
            <w:shd w:val="clear" w:color="auto" w:fill="595959" w:themeFill="text1" w:themeFillTint="A6"/>
          </w:tcPr>
          <w:p w:rsidR="00D62212" w:rsidRPr="006A4544" w:rsidRDefault="00D62212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FINANČNÍ RÁMEC </w:t>
            </w:r>
          </w:p>
          <w:p w:rsidR="00D62212" w:rsidRPr="006A4544" w:rsidRDefault="00D62212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bez DPH</w:t>
            </w:r>
          </w:p>
        </w:tc>
        <w:tc>
          <w:tcPr>
            <w:tcW w:w="1532" w:type="dxa"/>
            <w:vMerge w:val="restart"/>
            <w:shd w:val="clear" w:color="auto" w:fill="595959" w:themeFill="text1" w:themeFillTint="A6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ČASOVÁ NÁROČNOST</w:t>
            </w:r>
          </w:p>
        </w:tc>
      </w:tr>
      <w:tr w:rsidR="00D62212" w:rsidRPr="006A4544" w:rsidTr="00A56917">
        <w:trPr>
          <w:jc w:val="center"/>
        </w:trPr>
        <w:tc>
          <w:tcPr>
            <w:tcW w:w="6539" w:type="dxa"/>
            <w:vMerge/>
            <w:shd w:val="clear" w:color="auto" w:fill="595959" w:themeFill="text1" w:themeFillTint="A6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  <w:tc>
          <w:tcPr>
            <w:tcW w:w="1403" w:type="dxa"/>
            <w:shd w:val="clear" w:color="auto" w:fill="595959" w:themeFill="text1" w:themeFillTint="A6"/>
            <w:vAlign w:val="center"/>
          </w:tcPr>
          <w:p w:rsidR="00D62212" w:rsidRPr="006A4544" w:rsidRDefault="00D62212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6-12/2017</w:t>
            </w:r>
          </w:p>
        </w:tc>
        <w:tc>
          <w:tcPr>
            <w:tcW w:w="1266" w:type="dxa"/>
            <w:shd w:val="clear" w:color="auto" w:fill="595959" w:themeFill="text1" w:themeFillTint="A6"/>
            <w:vAlign w:val="center"/>
          </w:tcPr>
          <w:p w:rsidR="00D62212" w:rsidRPr="006A4544" w:rsidRDefault="00D62212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1-5/2018</w:t>
            </w:r>
          </w:p>
        </w:tc>
        <w:tc>
          <w:tcPr>
            <w:tcW w:w="1532" w:type="dxa"/>
            <w:vMerge/>
            <w:shd w:val="clear" w:color="auto" w:fill="595959" w:themeFill="text1" w:themeFillTint="A6"/>
          </w:tcPr>
          <w:p w:rsidR="00D62212" w:rsidRPr="006A4544" w:rsidRDefault="00D62212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</w:tr>
      <w:tr w:rsidR="00D62212" w:rsidRPr="006A4544" w:rsidTr="00A56917">
        <w:trPr>
          <w:jc w:val="center"/>
        </w:trPr>
        <w:tc>
          <w:tcPr>
            <w:tcW w:w="6539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 xml:space="preserve">Analýza stavu silniční zeleně na území Libereckého kraje </w:t>
            </w:r>
          </w:p>
          <w:p w:rsidR="0077233A" w:rsidRPr="006A4544" w:rsidRDefault="0077233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Pokračování již zaběhnuté efektivní spolupráce v oblasti péče o silniční zeleň mezi ARR, KSS LK a LBK. </w:t>
            </w:r>
            <w:r w:rsidR="00511E6F" w:rsidRPr="006A4544">
              <w:rPr>
                <w:rFonts w:ascii="Times New Roman" w:hAnsi="Times New Roman" w:cs="Times New Roman"/>
                <w:szCs w:val="20"/>
              </w:rPr>
              <w:t xml:space="preserve">Cílem je provést prvotní analýzu, která pomůže získat základní informace o rozsahu </w:t>
            </w:r>
            <w:r w:rsidR="00D11BD4" w:rsidRPr="006A4544">
              <w:rPr>
                <w:rFonts w:ascii="Times New Roman" w:hAnsi="Times New Roman" w:cs="Times New Roman"/>
                <w:szCs w:val="20"/>
              </w:rPr>
              <w:t xml:space="preserve">a kvalitě </w:t>
            </w:r>
            <w:r w:rsidR="00511E6F" w:rsidRPr="006A4544">
              <w:rPr>
                <w:rFonts w:ascii="Times New Roman" w:hAnsi="Times New Roman" w:cs="Times New Roman"/>
                <w:szCs w:val="20"/>
              </w:rPr>
              <w:t xml:space="preserve">alejí a zeleně na silnicích II. a III. třídy na území Libereckého kraje. </w:t>
            </w:r>
            <w:r w:rsidR="00D11BD4" w:rsidRPr="006A4544">
              <w:rPr>
                <w:rFonts w:ascii="Times New Roman" w:hAnsi="Times New Roman" w:cs="Times New Roman"/>
                <w:szCs w:val="20"/>
              </w:rPr>
              <w:t xml:space="preserve">Analýza bude sloužit k </w:t>
            </w:r>
            <w:r w:rsidR="00511E6F" w:rsidRPr="006A4544">
              <w:rPr>
                <w:rFonts w:ascii="Times New Roman" w:hAnsi="Times New Roman" w:cs="Times New Roman"/>
                <w:szCs w:val="20"/>
              </w:rPr>
              <w:t xml:space="preserve">nastavení </w:t>
            </w:r>
            <w:r w:rsidR="00D11BD4" w:rsidRPr="006A4544">
              <w:rPr>
                <w:rFonts w:ascii="Times New Roman" w:hAnsi="Times New Roman" w:cs="Times New Roman"/>
                <w:szCs w:val="20"/>
              </w:rPr>
              <w:t>systematického postupu při správě</w:t>
            </w:r>
            <w:r w:rsidR="00511E6F" w:rsidRPr="006A4544">
              <w:rPr>
                <w:rFonts w:ascii="Times New Roman" w:hAnsi="Times New Roman" w:cs="Times New Roman"/>
                <w:szCs w:val="20"/>
              </w:rPr>
              <w:t xml:space="preserve"> zeleně podél komunikací</w:t>
            </w:r>
            <w:r w:rsidR="00D11BD4" w:rsidRPr="006A4544">
              <w:rPr>
                <w:rFonts w:ascii="Times New Roman" w:hAnsi="Times New Roman" w:cs="Times New Roman"/>
                <w:szCs w:val="20"/>
              </w:rPr>
              <w:t xml:space="preserve"> jakožto nezbytné činnosti, včetně odhadu finanční náročnosti. </w:t>
            </w:r>
          </w:p>
          <w:p w:rsidR="00D62212" w:rsidRPr="006A4544" w:rsidRDefault="00D62212" w:rsidP="00A5691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vyjma řešených úseků Frýdlantska</w:t>
            </w:r>
          </w:p>
          <w:p w:rsidR="00D62212" w:rsidRPr="006A4544" w:rsidRDefault="00D62212" w:rsidP="00A5691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zjednodušená analýza po komunikací</w:t>
            </w:r>
            <w:r w:rsidR="00511E6F" w:rsidRPr="006A4544">
              <w:rPr>
                <w:rFonts w:ascii="Times New Roman" w:hAnsi="Times New Roman" w:cs="Times New Roman"/>
                <w:szCs w:val="20"/>
              </w:rPr>
              <w:t>ch</w:t>
            </w:r>
            <w:r w:rsidRPr="006A4544">
              <w:rPr>
                <w:rFonts w:ascii="Times New Roman" w:hAnsi="Times New Roman" w:cs="Times New Roman"/>
                <w:szCs w:val="20"/>
              </w:rPr>
              <w:t>, GIS data</w:t>
            </w:r>
          </w:p>
          <w:p w:rsidR="00D62212" w:rsidRPr="006A4544" w:rsidRDefault="00D62212" w:rsidP="00A56917">
            <w:pPr>
              <w:numPr>
                <w:ilvl w:val="1"/>
                <w:numId w:val="10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stav</w:t>
            </w:r>
          </w:p>
          <w:p w:rsidR="00D62212" w:rsidRPr="006A4544" w:rsidRDefault="00D62212" w:rsidP="00A56917">
            <w:pPr>
              <w:numPr>
                <w:ilvl w:val="1"/>
                <w:numId w:val="10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rizikovost </w:t>
            </w:r>
          </w:p>
          <w:p w:rsidR="00D62212" w:rsidRPr="006A4544" w:rsidRDefault="00D62212" w:rsidP="00A56917">
            <w:pPr>
              <w:numPr>
                <w:ilvl w:val="1"/>
                <w:numId w:val="10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výběr priorit</w:t>
            </w: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Řešení konkrétních projektů silniční zeleně na území Libereckého kraje</w:t>
            </w:r>
          </w:p>
          <w:p w:rsidR="00D62212" w:rsidRPr="006A4544" w:rsidRDefault="00D62212" w:rsidP="00A56917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Projekční příprava konkrétních prioritních úseků na základě analýzy viz výše</w:t>
            </w: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3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300 000,-</w:t>
            </w: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6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300 000,-</w:t>
            </w: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511E6F" w:rsidRPr="006A4544" w:rsidRDefault="00511E6F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511E6F" w:rsidRPr="006A4544" w:rsidRDefault="00511E6F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511E6F" w:rsidRPr="006A4544" w:rsidRDefault="00511E6F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C15196" w:rsidRPr="006A4544" w:rsidRDefault="00C15196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C15196" w:rsidRPr="006A4544" w:rsidRDefault="00C15196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C15196" w:rsidRPr="006A4544" w:rsidRDefault="00C15196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500 000,-</w:t>
            </w:r>
          </w:p>
        </w:tc>
        <w:tc>
          <w:tcPr>
            <w:tcW w:w="1532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Krátkodobá činnost</w:t>
            </w:r>
            <w:r w:rsidR="00C15196" w:rsidRPr="006A4544">
              <w:rPr>
                <w:rFonts w:ascii="Times New Roman" w:hAnsi="Times New Roman" w:cs="Times New Roman"/>
                <w:szCs w:val="20"/>
              </w:rPr>
              <w:t>, předpoklad kontinuální spolupráce</w:t>
            </w: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511E6F" w:rsidRPr="006A4544" w:rsidRDefault="00511E6F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511E6F" w:rsidRPr="006A4544" w:rsidRDefault="00511E6F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511E6F" w:rsidRPr="006A4544" w:rsidRDefault="00511E6F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C15196" w:rsidRPr="006A4544" w:rsidRDefault="00C15196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C15196" w:rsidRPr="006A4544" w:rsidRDefault="00C15196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C15196" w:rsidRPr="006A4544" w:rsidRDefault="00C15196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Dlouhodobá činnost</w:t>
            </w:r>
          </w:p>
        </w:tc>
      </w:tr>
      <w:tr w:rsidR="00D62212" w:rsidRPr="006A4544" w:rsidTr="00A56917">
        <w:trPr>
          <w:jc w:val="center"/>
        </w:trPr>
        <w:tc>
          <w:tcPr>
            <w:tcW w:w="6539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Naplňování plánu péče o Frýdlantsko</w:t>
            </w:r>
            <w:r w:rsidR="0077233A" w:rsidRPr="006A4544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BA092A" w:rsidRPr="006A4544">
              <w:rPr>
                <w:rFonts w:ascii="Times New Roman" w:hAnsi="Times New Roman" w:cs="Times New Roman"/>
                <w:b/>
                <w:szCs w:val="20"/>
              </w:rPr>
              <w:t>na základě dosavadní spolupráce</w:t>
            </w:r>
          </w:p>
          <w:p w:rsidR="00D62212" w:rsidRPr="006A4544" w:rsidRDefault="00D62212" w:rsidP="00A5691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Realizace dalších etap dle schváleného Plánu</w:t>
            </w: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Pro rok 2017 </w:t>
            </w:r>
            <w:r w:rsidR="005338BD" w:rsidRPr="006A4544">
              <w:rPr>
                <w:rFonts w:ascii="Times New Roman" w:hAnsi="Times New Roman" w:cs="Times New Roman"/>
                <w:szCs w:val="20"/>
              </w:rPr>
              <w:t>ARR již zasmluvněna</w:t>
            </w:r>
            <w:r w:rsidR="0077233A" w:rsidRPr="006A4544">
              <w:rPr>
                <w:rFonts w:ascii="Times New Roman" w:hAnsi="Times New Roman" w:cs="Times New Roman"/>
                <w:szCs w:val="20"/>
              </w:rPr>
              <w:t>.</w:t>
            </w: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03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850 000,-</w:t>
            </w:r>
          </w:p>
        </w:tc>
        <w:tc>
          <w:tcPr>
            <w:tcW w:w="1266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500 000,- </w:t>
            </w: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2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Dlouhodobá činnost </w:t>
            </w:r>
          </w:p>
        </w:tc>
      </w:tr>
      <w:tr w:rsidR="00D62212" w:rsidRPr="006A4544" w:rsidTr="00A56917">
        <w:trPr>
          <w:jc w:val="center"/>
        </w:trPr>
        <w:tc>
          <w:tcPr>
            <w:tcW w:w="6539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 xml:space="preserve">Průběžná kontrola stavu zeleně </w:t>
            </w:r>
          </w:p>
          <w:p w:rsidR="00D62212" w:rsidRPr="006A4544" w:rsidRDefault="00916616" w:rsidP="00A5691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</w:t>
            </w:r>
            <w:r w:rsidR="00D62212" w:rsidRPr="006A4544">
              <w:rPr>
                <w:rFonts w:ascii="Times New Roman" w:hAnsi="Times New Roman" w:cs="Times New Roman"/>
                <w:szCs w:val="20"/>
              </w:rPr>
              <w:t>ontrola stavu zeleně na krajských silnicích</w:t>
            </w:r>
            <w:r w:rsidRPr="006A4544">
              <w:rPr>
                <w:rFonts w:ascii="Times New Roman" w:hAnsi="Times New Roman" w:cs="Times New Roman"/>
                <w:szCs w:val="20"/>
              </w:rPr>
              <w:t xml:space="preserve"> - posudková činnost</w:t>
            </w:r>
          </w:p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3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6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100 000,-</w:t>
            </w:r>
          </w:p>
        </w:tc>
        <w:tc>
          <w:tcPr>
            <w:tcW w:w="1532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Kontinuální činnost</w:t>
            </w:r>
          </w:p>
        </w:tc>
      </w:tr>
      <w:tr w:rsidR="00D62212" w:rsidRPr="006A4544" w:rsidTr="00A56917">
        <w:trPr>
          <w:jc w:val="center"/>
        </w:trPr>
        <w:tc>
          <w:tcPr>
            <w:tcW w:w="6539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Kontrola stavu zeleně dotovaných akcí</w:t>
            </w:r>
          </w:p>
          <w:p w:rsidR="00D62212" w:rsidRPr="006A4544" w:rsidRDefault="00D62212" w:rsidP="00A5691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Z hlediska požadavků udržitelnosti projektů </w:t>
            </w:r>
          </w:p>
          <w:p w:rsidR="00D62212" w:rsidRPr="006A4544" w:rsidRDefault="00D62212" w:rsidP="00A56917">
            <w:pPr>
              <w:numPr>
                <w:ilvl w:val="1"/>
                <w:numId w:val="11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Spolupráce s dotačními orgány</w:t>
            </w:r>
          </w:p>
          <w:p w:rsidR="00D62212" w:rsidRPr="006A4544" w:rsidRDefault="00D62212" w:rsidP="00A56917">
            <w:pPr>
              <w:numPr>
                <w:ilvl w:val="1"/>
                <w:numId w:val="11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Dokumentace stavu</w:t>
            </w:r>
          </w:p>
          <w:p w:rsidR="00D62212" w:rsidRPr="006A4544" w:rsidRDefault="00D62212" w:rsidP="00A56917">
            <w:pPr>
              <w:numPr>
                <w:ilvl w:val="1"/>
                <w:numId w:val="11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Monitorovací zprávy</w:t>
            </w:r>
          </w:p>
          <w:p w:rsidR="00D62212" w:rsidRPr="006A4544" w:rsidRDefault="00D62212" w:rsidP="00A56917">
            <w:pPr>
              <w:numPr>
                <w:ilvl w:val="1"/>
                <w:numId w:val="11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Zajištění případných dalších potřebných zásahů z důvodu povinnosti udržitelnosti</w:t>
            </w:r>
          </w:p>
          <w:p w:rsidR="00D62212" w:rsidRPr="006A4544" w:rsidRDefault="00D62212" w:rsidP="00A56917">
            <w:pPr>
              <w:ind w:left="1440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3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50 000,-</w:t>
            </w:r>
          </w:p>
        </w:tc>
        <w:tc>
          <w:tcPr>
            <w:tcW w:w="1266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50 000,-</w:t>
            </w:r>
          </w:p>
        </w:tc>
        <w:tc>
          <w:tcPr>
            <w:tcW w:w="1532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Kontinuální činnost</w:t>
            </w:r>
          </w:p>
        </w:tc>
      </w:tr>
      <w:tr w:rsidR="00D62212" w:rsidRPr="006A4544" w:rsidTr="00A56917">
        <w:trPr>
          <w:jc w:val="center"/>
        </w:trPr>
        <w:tc>
          <w:tcPr>
            <w:tcW w:w="6539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Vedení GIS databáze evidovaných prvků zeleně</w:t>
            </w:r>
          </w:p>
          <w:p w:rsidR="00D62212" w:rsidRPr="006A4544" w:rsidRDefault="00D62212" w:rsidP="00A5691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Zpracování dat mimo Frýdlantsko (zde již jsou)</w:t>
            </w:r>
          </w:p>
          <w:p w:rsidR="00D62212" w:rsidRPr="006A4544" w:rsidRDefault="00D62212" w:rsidP="00A5691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Aktualizace dat na základě skutečnosti a realizovaných projektů</w:t>
            </w:r>
          </w:p>
          <w:p w:rsidR="00D62212" w:rsidRPr="006A4544" w:rsidRDefault="00D62212" w:rsidP="00A5691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Data mohou být prezentována na v rámci GIS portálu LBK</w:t>
            </w:r>
          </w:p>
          <w:p w:rsidR="00D62212" w:rsidRPr="006A4544" w:rsidRDefault="00D62212" w:rsidP="00A56917">
            <w:pPr>
              <w:ind w:left="720"/>
              <w:contextualSpacing/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03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50 000,-</w:t>
            </w:r>
          </w:p>
        </w:tc>
        <w:tc>
          <w:tcPr>
            <w:tcW w:w="1266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50 000,-</w:t>
            </w:r>
          </w:p>
        </w:tc>
        <w:tc>
          <w:tcPr>
            <w:tcW w:w="1532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Kontinuální činnost</w:t>
            </w:r>
          </w:p>
        </w:tc>
      </w:tr>
      <w:tr w:rsidR="00D62212" w:rsidRPr="006A4544" w:rsidTr="00A56917">
        <w:trPr>
          <w:jc w:val="center"/>
        </w:trPr>
        <w:tc>
          <w:tcPr>
            <w:tcW w:w="6539" w:type="dxa"/>
          </w:tcPr>
          <w:p w:rsidR="00D62212" w:rsidRPr="006A4544" w:rsidRDefault="00D62212" w:rsidP="00A56917">
            <w:pPr>
              <w:ind w:left="720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03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6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2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212" w:rsidRPr="006A4544" w:rsidTr="00A56917">
        <w:trPr>
          <w:jc w:val="center"/>
        </w:trPr>
        <w:tc>
          <w:tcPr>
            <w:tcW w:w="6539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CELKEM</w:t>
            </w:r>
          </w:p>
        </w:tc>
        <w:tc>
          <w:tcPr>
            <w:tcW w:w="1403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1 250 000,-</w:t>
            </w:r>
          </w:p>
        </w:tc>
        <w:tc>
          <w:tcPr>
            <w:tcW w:w="1266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1 500 000,-</w:t>
            </w:r>
          </w:p>
        </w:tc>
        <w:tc>
          <w:tcPr>
            <w:tcW w:w="1532" w:type="dxa"/>
          </w:tcPr>
          <w:p w:rsidR="00D62212" w:rsidRPr="006A4544" w:rsidRDefault="00D62212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2C529A" w:rsidRPr="006A4544" w:rsidRDefault="002C529A">
      <w:pPr>
        <w:rPr>
          <w:rFonts w:ascii="Times New Roman" w:hAnsi="Times New Roman" w:cs="Times New Roman"/>
          <w:b/>
          <w:sz w:val="22"/>
        </w:rPr>
      </w:pPr>
    </w:p>
    <w:p w:rsidR="002C529A" w:rsidRPr="006A4544" w:rsidRDefault="002C529A">
      <w:pPr>
        <w:rPr>
          <w:rFonts w:ascii="Times New Roman" w:hAnsi="Times New Roman" w:cs="Times New Roman"/>
          <w:b/>
          <w:sz w:val="22"/>
        </w:rPr>
      </w:pPr>
    </w:p>
    <w:p w:rsidR="0033217B" w:rsidRPr="006A4544" w:rsidRDefault="0033217B">
      <w:pPr>
        <w:spacing w:after="200" w:line="276" w:lineRule="auto"/>
        <w:jc w:val="left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2"/>
          <w:szCs w:val="28"/>
        </w:rPr>
      </w:pPr>
      <w:r w:rsidRPr="006A4544">
        <w:rPr>
          <w:rFonts w:ascii="Times New Roman" w:hAnsi="Times New Roman" w:cs="Times New Roman"/>
        </w:rPr>
        <w:br w:type="page"/>
      </w:r>
    </w:p>
    <w:p w:rsidR="00904C6A" w:rsidRPr="006A4544" w:rsidRDefault="00904C6A" w:rsidP="00E35129">
      <w:pPr>
        <w:pStyle w:val="Nadpis1"/>
        <w:rPr>
          <w:rFonts w:ascii="Times New Roman" w:hAnsi="Times New Roman" w:cs="Times New Roman"/>
        </w:rPr>
      </w:pPr>
      <w:r w:rsidRPr="006A4544">
        <w:rPr>
          <w:rFonts w:ascii="Times New Roman" w:hAnsi="Times New Roman" w:cs="Times New Roman"/>
        </w:rPr>
        <w:t>4/</w:t>
      </w:r>
      <w:r w:rsidR="003D406E" w:rsidRPr="006A4544">
        <w:rPr>
          <w:rFonts w:ascii="Times New Roman" w:hAnsi="Times New Roman" w:cs="Times New Roman"/>
        </w:rPr>
        <w:t xml:space="preserve"> </w:t>
      </w:r>
      <w:r w:rsidR="00A56917" w:rsidRPr="006A4544">
        <w:rPr>
          <w:rFonts w:ascii="Times New Roman" w:hAnsi="Times New Roman" w:cs="Times New Roman"/>
        </w:rPr>
        <w:t>ODBOR INVESTIC A SPRÁVY NEMOVITÉHO MAJETKU</w:t>
      </w:r>
    </w:p>
    <w:p w:rsidR="00A56917" w:rsidRPr="006A4544" w:rsidRDefault="00A56917">
      <w:pPr>
        <w:rPr>
          <w:rFonts w:ascii="Times New Roman" w:hAnsi="Times New Roman" w:cs="Times New Roman"/>
          <w:b/>
          <w:sz w:val="22"/>
        </w:rPr>
      </w:pPr>
    </w:p>
    <w:tbl>
      <w:tblPr>
        <w:tblStyle w:val="Mkatabulky"/>
        <w:tblW w:w="10712" w:type="dxa"/>
        <w:jc w:val="center"/>
        <w:tblLook w:val="04A0" w:firstRow="1" w:lastRow="0" w:firstColumn="1" w:lastColumn="0" w:noHBand="0" w:noVBand="1"/>
      </w:tblPr>
      <w:tblGrid>
        <w:gridCol w:w="6453"/>
        <w:gridCol w:w="1394"/>
        <w:gridCol w:w="1371"/>
        <w:gridCol w:w="1494"/>
      </w:tblGrid>
      <w:tr w:rsidR="00904C6A" w:rsidRPr="006A4544" w:rsidTr="00A56917">
        <w:trPr>
          <w:jc w:val="center"/>
        </w:trPr>
        <w:tc>
          <w:tcPr>
            <w:tcW w:w="6539" w:type="dxa"/>
            <w:vMerge w:val="restart"/>
            <w:shd w:val="clear" w:color="auto" w:fill="595959" w:themeFill="text1" w:themeFillTint="A6"/>
            <w:vAlign w:val="center"/>
          </w:tcPr>
          <w:p w:rsidR="00904C6A" w:rsidRPr="006A4544" w:rsidRDefault="00904C6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ČINNOST</w:t>
            </w:r>
          </w:p>
        </w:tc>
        <w:tc>
          <w:tcPr>
            <w:tcW w:w="2783" w:type="dxa"/>
            <w:gridSpan w:val="2"/>
            <w:shd w:val="clear" w:color="auto" w:fill="595959" w:themeFill="text1" w:themeFillTint="A6"/>
          </w:tcPr>
          <w:p w:rsidR="00904C6A" w:rsidRPr="006A4544" w:rsidRDefault="00904C6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FINANČNÍ RÁMEC </w:t>
            </w:r>
          </w:p>
          <w:p w:rsidR="00904C6A" w:rsidRPr="006A4544" w:rsidRDefault="00904C6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bez DPH</w:t>
            </w:r>
          </w:p>
        </w:tc>
        <w:tc>
          <w:tcPr>
            <w:tcW w:w="1390" w:type="dxa"/>
            <w:vMerge w:val="restart"/>
            <w:shd w:val="clear" w:color="auto" w:fill="595959" w:themeFill="text1" w:themeFillTint="A6"/>
          </w:tcPr>
          <w:p w:rsidR="00904C6A" w:rsidRPr="006A4544" w:rsidRDefault="00904C6A" w:rsidP="00A56917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ČASOVÁ NÁROČNOST</w:t>
            </w:r>
          </w:p>
        </w:tc>
      </w:tr>
      <w:tr w:rsidR="00904C6A" w:rsidRPr="006A4544" w:rsidTr="00A56917">
        <w:trPr>
          <w:jc w:val="center"/>
        </w:trPr>
        <w:tc>
          <w:tcPr>
            <w:tcW w:w="6539" w:type="dxa"/>
            <w:vMerge/>
            <w:shd w:val="clear" w:color="auto" w:fill="595959" w:themeFill="text1" w:themeFillTint="A6"/>
          </w:tcPr>
          <w:p w:rsidR="00904C6A" w:rsidRPr="006A4544" w:rsidRDefault="00904C6A" w:rsidP="00A56917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  <w:tc>
          <w:tcPr>
            <w:tcW w:w="1403" w:type="dxa"/>
            <w:shd w:val="clear" w:color="auto" w:fill="595959" w:themeFill="text1" w:themeFillTint="A6"/>
            <w:vAlign w:val="center"/>
          </w:tcPr>
          <w:p w:rsidR="00904C6A" w:rsidRPr="006A4544" w:rsidRDefault="00904C6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6-12/2017</w:t>
            </w:r>
          </w:p>
        </w:tc>
        <w:tc>
          <w:tcPr>
            <w:tcW w:w="1380" w:type="dxa"/>
            <w:shd w:val="clear" w:color="auto" w:fill="595959" w:themeFill="text1" w:themeFillTint="A6"/>
            <w:vAlign w:val="center"/>
          </w:tcPr>
          <w:p w:rsidR="00904C6A" w:rsidRPr="006A4544" w:rsidRDefault="00904C6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1-5/2018</w:t>
            </w:r>
          </w:p>
        </w:tc>
        <w:tc>
          <w:tcPr>
            <w:tcW w:w="1390" w:type="dxa"/>
            <w:vMerge/>
            <w:shd w:val="clear" w:color="auto" w:fill="595959" w:themeFill="text1" w:themeFillTint="A6"/>
          </w:tcPr>
          <w:p w:rsidR="00904C6A" w:rsidRPr="006A4544" w:rsidRDefault="00904C6A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</w:tr>
      <w:tr w:rsidR="00904C6A" w:rsidRPr="006A4544" w:rsidTr="00A56917">
        <w:trPr>
          <w:jc w:val="center"/>
        </w:trPr>
        <w:tc>
          <w:tcPr>
            <w:tcW w:w="6539" w:type="dxa"/>
          </w:tcPr>
          <w:p w:rsidR="00904C6A" w:rsidRPr="006A4544" w:rsidRDefault="00904C6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 xml:space="preserve">Organizace veřejných zakázek </w:t>
            </w:r>
          </w:p>
          <w:p w:rsidR="00904C6A" w:rsidRPr="006A4544" w:rsidRDefault="00904C6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Součinnost při organizaci veřejných zakázek </w:t>
            </w:r>
          </w:p>
          <w:p w:rsidR="00904C6A" w:rsidRPr="006A4544" w:rsidRDefault="00904C6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3" w:type="dxa"/>
          </w:tcPr>
          <w:p w:rsidR="00904C6A" w:rsidRPr="006A4544" w:rsidRDefault="00904C6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V jednání</w:t>
            </w:r>
          </w:p>
        </w:tc>
        <w:tc>
          <w:tcPr>
            <w:tcW w:w="1380" w:type="dxa"/>
          </w:tcPr>
          <w:p w:rsidR="00904C6A" w:rsidRPr="006A4544" w:rsidRDefault="00904C6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V jednání </w:t>
            </w:r>
          </w:p>
        </w:tc>
        <w:tc>
          <w:tcPr>
            <w:tcW w:w="1390" w:type="dxa"/>
          </w:tcPr>
          <w:p w:rsidR="00904C6A" w:rsidRPr="006A4544" w:rsidRDefault="00904C6A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Dlouhodobá činnost</w:t>
            </w:r>
          </w:p>
        </w:tc>
      </w:tr>
      <w:tr w:rsidR="00904C6A" w:rsidRPr="006A4544" w:rsidTr="00A56917">
        <w:trPr>
          <w:jc w:val="center"/>
        </w:trPr>
        <w:tc>
          <w:tcPr>
            <w:tcW w:w="6539" w:type="dxa"/>
          </w:tcPr>
          <w:p w:rsidR="00904C6A" w:rsidRPr="006A4544" w:rsidRDefault="00904C6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3" w:type="dxa"/>
          </w:tcPr>
          <w:p w:rsidR="00904C6A" w:rsidRPr="006A4544" w:rsidRDefault="00904C6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0" w:type="dxa"/>
          </w:tcPr>
          <w:p w:rsidR="00904C6A" w:rsidRPr="006A4544" w:rsidRDefault="00904C6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0" w:type="dxa"/>
          </w:tcPr>
          <w:p w:rsidR="00904C6A" w:rsidRPr="006A4544" w:rsidRDefault="00904C6A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C6A" w:rsidRPr="006A4544" w:rsidTr="00A56917">
        <w:trPr>
          <w:jc w:val="center"/>
        </w:trPr>
        <w:tc>
          <w:tcPr>
            <w:tcW w:w="6539" w:type="dxa"/>
          </w:tcPr>
          <w:p w:rsidR="00904C6A" w:rsidRPr="006A4544" w:rsidRDefault="00904C6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CELKEM</w:t>
            </w:r>
          </w:p>
        </w:tc>
        <w:tc>
          <w:tcPr>
            <w:tcW w:w="1403" w:type="dxa"/>
          </w:tcPr>
          <w:p w:rsidR="00904C6A" w:rsidRPr="006A4544" w:rsidRDefault="00C77D01" w:rsidP="00A5691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-</w:t>
            </w:r>
          </w:p>
        </w:tc>
        <w:tc>
          <w:tcPr>
            <w:tcW w:w="1380" w:type="dxa"/>
          </w:tcPr>
          <w:p w:rsidR="00904C6A" w:rsidRPr="006A4544" w:rsidRDefault="00C77D01" w:rsidP="00A5691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-</w:t>
            </w:r>
          </w:p>
        </w:tc>
        <w:tc>
          <w:tcPr>
            <w:tcW w:w="1390" w:type="dxa"/>
          </w:tcPr>
          <w:p w:rsidR="00904C6A" w:rsidRPr="006A4544" w:rsidRDefault="00904C6A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904C6A" w:rsidRPr="006A4544" w:rsidRDefault="00904C6A">
      <w:pPr>
        <w:rPr>
          <w:rFonts w:ascii="Times New Roman" w:hAnsi="Times New Roman" w:cs="Times New Roman"/>
          <w:b/>
          <w:sz w:val="22"/>
        </w:rPr>
      </w:pPr>
    </w:p>
    <w:p w:rsidR="00A56917" w:rsidRPr="006A4544" w:rsidRDefault="00A56917" w:rsidP="00E35129">
      <w:pPr>
        <w:pStyle w:val="Nadpis1"/>
        <w:rPr>
          <w:rFonts w:ascii="Times New Roman" w:hAnsi="Times New Roman" w:cs="Times New Roman"/>
        </w:rPr>
      </w:pPr>
      <w:r w:rsidRPr="006A4544">
        <w:rPr>
          <w:rFonts w:ascii="Times New Roman" w:hAnsi="Times New Roman" w:cs="Times New Roman"/>
        </w:rPr>
        <w:t>5/</w:t>
      </w:r>
      <w:r w:rsidR="003D406E" w:rsidRPr="006A4544">
        <w:rPr>
          <w:rFonts w:ascii="Times New Roman" w:hAnsi="Times New Roman" w:cs="Times New Roman"/>
        </w:rPr>
        <w:t xml:space="preserve"> </w:t>
      </w:r>
      <w:r w:rsidRPr="006A4544">
        <w:rPr>
          <w:rFonts w:ascii="Times New Roman" w:hAnsi="Times New Roman" w:cs="Times New Roman"/>
        </w:rPr>
        <w:t xml:space="preserve">ODBOR ŠKOLSTVÍ, MLÁDEŽE, TĚLOVÝCHOVY A SPORTU </w:t>
      </w:r>
    </w:p>
    <w:p w:rsidR="003D406E" w:rsidRPr="006A4544" w:rsidRDefault="003D406E" w:rsidP="00A56917">
      <w:pPr>
        <w:jc w:val="left"/>
        <w:rPr>
          <w:rFonts w:ascii="Times New Roman" w:hAnsi="Times New Roman" w:cs="Times New Roman"/>
          <w:b/>
          <w:sz w:val="22"/>
        </w:rPr>
      </w:pPr>
    </w:p>
    <w:tbl>
      <w:tblPr>
        <w:tblStyle w:val="Mkatabulky"/>
        <w:tblW w:w="10712" w:type="dxa"/>
        <w:jc w:val="center"/>
        <w:tblLook w:val="04A0" w:firstRow="1" w:lastRow="0" w:firstColumn="1" w:lastColumn="0" w:noHBand="0" w:noVBand="1"/>
      </w:tblPr>
      <w:tblGrid>
        <w:gridCol w:w="6447"/>
        <w:gridCol w:w="1397"/>
        <w:gridCol w:w="1374"/>
        <w:gridCol w:w="1494"/>
      </w:tblGrid>
      <w:tr w:rsidR="00A56917" w:rsidRPr="006A4544" w:rsidTr="00A56917">
        <w:trPr>
          <w:jc w:val="center"/>
        </w:trPr>
        <w:tc>
          <w:tcPr>
            <w:tcW w:w="6539" w:type="dxa"/>
            <w:vMerge w:val="restart"/>
            <w:shd w:val="clear" w:color="auto" w:fill="595959" w:themeFill="text1" w:themeFillTint="A6"/>
            <w:vAlign w:val="center"/>
          </w:tcPr>
          <w:p w:rsidR="00A56917" w:rsidRPr="006A4544" w:rsidRDefault="00A56917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ČINNOST</w:t>
            </w:r>
          </w:p>
        </w:tc>
        <w:tc>
          <w:tcPr>
            <w:tcW w:w="2783" w:type="dxa"/>
            <w:gridSpan w:val="2"/>
            <w:shd w:val="clear" w:color="auto" w:fill="595959" w:themeFill="text1" w:themeFillTint="A6"/>
          </w:tcPr>
          <w:p w:rsidR="00A56917" w:rsidRPr="006A4544" w:rsidRDefault="00A56917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FINANČNÍ RÁMEC </w:t>
            </w:r>
          </w:p>
          <w:p w:rsidR="00A56917" w:rsidRPr="006A4544" w:rsidRDefault="00A56917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bez DPH</w:t>
            </w:r>
          </w:p>
        </w:tc>
        <w:tc>
          <w:tcPr>
            <w:tcW w:w="1390" w:type="dxa"/>
            <w:vMerge w:val="restart"/>
            <w:shd w:val="clear" w:color="auto" w:fill="595959" w:themeFill="text1" w:themeFillTint="A6"/>
          </w:tcPr>
          <w:p w:rsidR="00A56917" w:rsidRPr="006A4544" w:rsidRDefault="00A56917" w:rsidP="00A56917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ČASOVÁ NÁROČNOST</w:t>
            </w:r>
          </w:p>
        </w:tc>
      </w:tr>
      <w:tr w:rsidR="00A56917" w:rsidRPr="006A4544" w:rsidTr="00A56917">
        <w:trPr>
          <w:jc w:val="center"/>
        </w:trPr>
        <w:tc>
          <w:tcPr>
            <w:tcW w:w="6539" w:type="dxa"/>
            <w:vMerge/>
            <w:shd w:val="clear" w:color="auto" w:fill="595959" w:themeFill="text1" w:themeFillTint="A6"/>
          </w:tcPr>
          <w:p w:rsidR="00A56917" w:rsidRPr="006A4544" w:rsidRDefault="00A56917" w:rsidP="00A56917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  <w:tc>
          <w:tcPr>
            <w:tcW w:w="1403" w:type="dxa"/>
            <w:shd w:val="clear" w:color="auto" w:fill="595959" w:themeFill="text1" w:themeFillTint="A6"/>
            <w:vAlign w:val="center"/>
          </w:tcPr>
          <w:p w:rsidR="00A56917" w:rsidRPr="006A4544" w:rsidRDefault="00A56917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6-12/2017</w:t>
            </w:r>
          </w:p>
        </w:tc>
        <w:tc>
          <w:tcPr>
            <w:tcW w:w="1380" w:type="dxa"/>
            <w:shd w:val="clear" w:color="auto" w:fill="595959" w:themeFill="text1" w:themeFillTint="A6"/>
            <w:vAlign w:val="center"/>
          </w:tcPr>
          <w:p w:rsidR="00A56917" w:rsidRPr="006A4544" w:rsidRDefault="00A56917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1-5/2018</w:t>
            </w:r>
          </w:p>
        </w:tc>
        <w:tc>
          <w:tcPr>
            <w:tcW w:w="1390" w:type="dxa"/>
            <w:vMerge/>
            <w:shd w:val="clear" w:color="auto" w:fill="595959" w:themeFill="text1" w:themeFillTint="A6"/>
          </w:tcPr>
          <w:p w:rsidR="00A56917" w:rsidRPr="006A4544" w:rsidRDefault="00A56917" w:rsidP="00A5691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</w:tr>
      <w:tr w:rsidR="00A56917" w:rsidRPr="006A4544" w:rsidTr="00A56917">
        <w:trPr>
          <w:jc w:val="center"/>
        </w:trPr>
        <w:tc>
          <w:tcPr>
            <w:tcW w:w="6539" w:type="dxa"/>
          </w:tcPr>
          <w:p w:rsidR="00A56917" w:rsidRPr="006A4544" w:rsidRDefault="00A56917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 xml:space="preserve">Strategie rozvoje sportu Libereckého kraje </w:t>
            </w:r>
          </w:p>
          <w:p w:rsidR="00A56917" w:rsidRPr="006A4544" w:rsidRDefault="00A56917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Zajištění koncepčního dokumentu </w:t>
            </w:r>
          </w:p>
        </w:tc>
        <w:tc>
          <w:tcPr>
            <w:tcW w:w="1403" w:type="dxa"/>
          </w:tcPr>
          <w:p w:rsidR="00A56917" w:rsidRPr="006A4544" w:rsidRDefault="00A56917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Dle možností odboru</w:t>
            </w:r>
          </w:p>
        </w:tc>
        <w:tc>
          <w:tcPr>
            <w:tcW w:w="1380" w:type="dxa"/>
          </w:tcPr>
          <w:p w:rsidR="00A56917" w:rsidRPr="006A4544" w:rsidRDefault="00357F5C" w:rsidP="00A5691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 w:rsidR="00A56917" w:rsidRPr="006A4544">
              <w:rPr>
                <w:rFonts w:ascii="Times New Roman" w:hAnsi="Times New Roman" w:cs="Times New Roman"/>
                <w:szCs w:val="20"/>
              </w:rPr>
              <w:t>00 000,-</w:t>
            </w:r>
          </w:p>
          <w:p w:rsidR="00A56917" w:rsidRPr="006A4544" w:rsidRDefault="00A56917" w:rsidP="00A56917">
            <w:pPr>
              <w:rPr>
                <w:rFonts w:ascii="Times New Roman" w:hAnsi="Times New Roman" w:cs="Times New Roman"/>
                <w:szCs w:val="20"/>
              </w:rPr>
            </w:pPr>
          </w:p>
          <w:p w:rsidR="00A56917" w:rsidRPr="006A4544" w:rsidRDefault="00A56917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0" w:type="dxa"/>
          </w:tcPr>
          <w:p w:rsidR="00A56917" w:rsidRPr="006A4544" w:rsidRDefault="00A56917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Krátkodobá činnost</w:t>
            </w:r>
          </w:p>
        </w:tc>
      </w:tr>
      <w:tr w:rsidR="00A56917" w:rsidRPr="006A4544" w:rsidTr="00A56917">
        <w:trPr>
          <w:jc w:val="center"/>
        </w:trPr>
        <w:tc>
          <w:tcPr>
            <w:tcW w:w="6539" w:type="dxa"/>
          </w:tcPr>
          <w:p w:rsidR="00A56917" w:rsidRPr="006A4544" w:rsidRDefault="00A56917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 xml:space="preserve">Spolupráce s odborem a jím řízených příspěvkových organizací na přípravě projektů </w:t>
            </w:r>
          </w:p>
          <w:p w:rsidR="00A56917" w:rsidRPr="006A4544" w:rsidRDefault="00A56917" w:rsidP="00A5691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3" w:type="dxa"/>
          </w:tcPr>
          <w:p w:rsidR="00A56917" w:rsidRPr="006A4544" w:rsidRDefault="00A56917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Dle aktuálních potřeb</w:t>
            </w:r>
          </w:p>
        </w:tc>
        <w:tc>
          <w:tcPr>
            <w:tcW w:w="1380" w:type="dxa"/>
          </w:tcPr>
          <w:p w:rsidR="00A56917" w:rsidRPr="006A4544" w:rsidRDefault="00A56917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Dle aktuálních potřeb</w:t>
            </w:r>
          </w:p>
        </w:tc>
        <w:tc>
          <w:tcPr>
            <w:tcW w:w="1390" w:type="dxa"/>
          </w:tcPr>
          <w:p w:rsidR="00A56917" w:rsidRPr="006A4544" w:rsidRDefault="00A56917" w:rsidP="00A56917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Dlouhodobá činnost</w:t>
            </w:r>
          </w:p>
        </w:tc>
      </w:tr>
      <w:tr w:rsidR="00A56917" w:rsidRPr="006A4544" w:rsidTr="00A56917">
        <w:trPr>
          <w:jc w:val="center"/>
        </w:trPr>
        <w:tc>
          <w:tcPr>
            <w:tcW w:w="6539" w:type="dxa"/>
          </w:tcPr>
          <w:p w:rsidR="00A56917" w:rsidRPr="006A4544" w:rsidRDefault="00A56917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CELKEM</w:t>
            </w:r>
          </w:p>
        </w:tc>
        <w:tc>
          <w:tcPr>
            <w:tcW w:w="1403" w:type="dxa"/>
          </w:tcPr>
          <w:p w:rsidR="00A56917" w:rsidRPr="006A4544" w:rsidRDefault="00A92631" w:rsidP="00A9263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-</w:t>
            </w:r>
          </w:p>
        </w:tc>
        <w:tc>
          <w:tcPr>
            <w:tcW w:w="1380" w:type="dxa"/>
          </w:tcPr>
          <w:p w:rsidR="00A56917" w:rsidRPr="006A4544" w:rsidRDefault="002378A0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</w:t>
            </w:r>
            <w:r w:rsidR="00A56917" w:rsidRPr="006A4544">
              <w:rPr>
                <w:rFonts w:ascii="Times New Roman" w:hAnsi="Times New Roman" w:cs="Times New Roman"/>
                <w:b/>
                <w:szCs w:val="20"/>
              </w:rPr>
              <w:t>00 000,-</w:t>
            </w:r>
          </w:p>
        </w:tc>
        <w:tc>
          <w:tcPr>
            <w:tcW w:w="1390" w:type="dxa"/>
          </w:tcPr>
          <w:p w:rsidR="00A56917" w:rsidRPr="006A4544" w:rsidRDefault="00A56917" w:rsidP="00A56917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A56917" w:rsidRPr="006A4544" w:rsidRDefault="00A56917" w:rsidP="00A56917">
      <w:pPr>
        <w:jc w:val="left"/>
        <w:rPr>
          <w:rFonts w:ascii="Times New Roman" w:hAnsi="Times New Roman" w:cs="Times New Roman"/>
          <w:b/>
          <w:sz w:val="22"/>
        </w:rPr>
      </w:pPr>
    </w:p>
    <w:p w:rsidR="00904C6A" w:rsidRPr="006A4544" w:rsidRDefault="00AA7E54" w:rsidP="00E35129">
      <w:pPr>
        <w:pStyle w:val="Nadpis1"/>
        <w:rPr>
          <w:rFonts w:ascii="Times New Roman" w:hAnsi="Times New Roman" w:cs="Times New Roman"/>
        </w:rPr>
      </w:pPr>
      <w:r w:rsidRPr="006A4544">
        <w:rPr>
          <w:rFonts w:ascii="Times New Roman" w:hAnsi="Times New Roman" w:cs="Times New Roman"/>
        </w:rPr>
        <w:t>6/ ODBOR KULTURY, PAMÁTKOVÉ PÉČE A CESTOVNÍHO RUCHU</w:t>
      </w:r>
    </w:p>
    <w:p w:rsidR="00904C6A" w:rsidRPr="006A4544" w:rsidRDefault="00904C6A">
      <w:pPr>
        <w:rPr>
          <w:rFonts w:ascii="Times New Roman" w:hAnsi="Times New Roman" w:cs="Times New Roman"/>
          <w:b/>
          <w:sz w:val="22"/>
        </w:rPr>
      </w:pPr>
    </w:p>
    <w:tbl>
      <w:tblPr>
        <w:tblStyle w:val="Mkatabulky"/>
        <w:tblpPr w:leftFromText="141" w:rightFromText="141" w:vertAnchor="text" w:horzAnchor="margin" w:tblpXSpec="center" w:tblpY="40"/>
        <w:tblW w:w="10712" w:type="dxa"/>
        <w:tblLook w:val="04A0" w:firstRow="1" w:lastRow="0" w:firstColumn="1" w:lastColumn="0" w:noHBand="0" w:noVBand="1"/>
      </w:tblPr>
      <w:tblGrid>
        <w:gridCol w:w="6451"/>
        <w:gridCol w:w="1395"/>
        <w:gridCol w:w="1372"/>
        <w:gridCol w:w="1494"/>
      </w:tblGrid>
      <w:tr w:rsidR="00AA7E54" w:rsidRPr="006A4544" w:rsidTr="00AA7E54">
        <w:tc>
          <w:tcPr>
            <w:tcW w:w="6539" w:type="dxa"/>
            <w:vMerge w:val="restart"/>
            <w:shd w:val="clear" w:color="auto" w:fill="595959" w:themeFill="text1" w:themeFillTint="A6"/>
            <w:vAlign w:val="center"/>
          </w:tcPr>
          <w:p w:rsidR="00AA7E54" w:rsidRPr="006A4544" w:rsidRDefault="00AA7E54" w:rsidP="00AA7E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ČINNOST</w:t>
            </w:r>
          </w:p>
        </w:tc>
        <w:tc>
          <w:tcPr>
            <w:tcW w:w="2783" w:type="dxa"/>
            <w:gridSpan w:val="2"/>
            <w:shd w:val="clear" w:color="auto" w:fill="595959" w:themeFill="text1" w:themeFillTint="A6"/>
          </w:tcPr>
          <w:p w:rsidR="00AA7E54" w:rsidRPr="006A4544" w:rsidRDefault="00AA7E54" w:rsidP="00AA7E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FINANČNÍ RÁMEC </w:t>
            </w:r>
          </w:p>
          <w:p w:rsidR="00AA7E54" w:rsidRPr="006A4544" w:rsidRDefault="00AA7E54" w:rsidP="00AA7E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bez DPH</w:t>
            </w:r>
          </w:p>
        </w:tc>
        <w:tc>
          <w:tcPr>
            <w:tcW w:w="1390" w:type="dxa"/>
            <w:vMerge w:val="restart"/>
            <w:shd w:val="clear" w:color="auto" w:fill="595959" w:themeFill="text1" w:themeFillTint="A6"/>
          </w:tcPr>
          <w:p w:rsidR="00AA7E54" w:rsidRPr="006A4544" w:rsidRDefault="00AA7E54" w:rsidP="00AA7E54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ČASOVÁ NÁROČNOST</w:t>
            </w:r>
          </w:p>
        </w:tc>
      </w:tr>
      <w:tr w:rsidR="00AA7E54" w:rsidRPr="006A4544" w:rsidTr="00AA7E54">
        <w:tc>
          <w:tcPr>
            <w:tcW w:w="6539" w:type="dxa"/>
            <w:vMerge/>
            <w:shd w:val="clear" w:color="auto" w:fill="595959" w:themeFill="text1" w:themeFillTint="A6"/>
          </w:tcPr>
          <w:p w:rsidR="00AA7E54" w:rsidRPr="006A4544" w:rsidRDefault="00AA7E54" w:rsidP="00AA7E54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  <w:tc>
          <w:tcPr>
            <w:tcW w:w="1403" w:type="dxa"/>
            <w:shd w:val="clear" w:color="auto" w:fill="595959" w:themeFill="text1" w:themeFillTint="A6"/>
            <w:vAlign w:val="center"/>
          </w:tcPr>
          <w:p w:rsidR="00AA7E54" w:rsidRPr="006A4544" w:rsidRDefault="00AA7E54" w:rsidP="00AA7E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6-12/2017</w:t>
            </w:r>
          </w:p>
        </w:tc>
        <w:tc>
          <w:tcPr>
            <w:tcW w:w="1380" w:type="dxa"/>
            <w:shd w:val="clear" w:color="auto" w:fill="595959" w:themeFill="text1" w:themeFillTint="A6"/>
            <w:vAlign w:val="center"/>
          </w:tcPr>
          <w:p w:rsidR="00AA7E54" w:rsidRPr="006A4544" w:rsidRDefault="00AA7E54" w:rsidP="00AA7E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1-5/2018</w:t>
            </w:r>
          </w:p>
        </w:tc>
        <w:tc>
          <w:tcPr>
            <w:tcW w:w="1390" w:type="dxa"/>
            <w:vMerge/>
            <w:shd w:val="clear" w:color="auto" w:fill="595959" w:themeFill="text1" w:themeFillTint="A6"/>
          </w:tcPr>
          <w:p w:rsidR="00AA7E54" w:rsidRPr="006A4544" w:rsidRDefault="00AA7E54" w:rsidP="00AA7E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</w:tr>
      <w:tr w:rsidR="00AA7E54" w:rsidRPr="006A4544" w:rsidTr="00AA7E54">
        <w:tc>
          <w:tcPr>
            <w:tcW w:w="6539" w:type="dxa"/>
          </w:tcPr>
          <w:p w:rsidR="00AA7E54" w:rsidRPr="006A4544" w:rsidRDefault="00AA7E54" w:rsidP="00AA7E5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 xml:space="preserve">Strategie rozvoje příspěvkových organizací </w:t>
            </w:r>
          </w:p>
          <w:p w:rsidR="00AA7E54" w:rsidRPr="006A4544" w:rsidRDefault="00AA7E54" w:rsidP="00AA7E54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Zajištění koncepčního dokumentu pro organizace – Severočeské muzeum v Liberci, Krajskou vědeckou knihovnu, Oblastní galerii v Liberci, Vlastivědné muzeum v České Lípě, Muzeum Českého ráje v Turnově</w:t>
            </w:r>
          </w:p>
          <w:p w:rsidR="00AA7E54" w:rsidRPr="006A4544" w:rsidRDefault="00AA7E54" w:rsidP="00AA7E5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3" w:type="dxa"/>
          </w:tcPr>
          <w:p w:rsidR="00AA7E54" w:rsidRPr="006A4544" w:rsidRDefault="00AA7E54" w:rsidP="00AA7E54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Dle možností odboru</w:t>
            </w:r>
            <w:r w:rsidR="00A63D2B" w:rsidRPr="006A4544">
              <w:rPr>
                <w:rFonts w:ascii="Times New Roman" w:hAnsi="Times New Roman" w:cs="Times New Roman"/>
                <w:szCs w:val="20"/>
              </w:rPr>
              <w:t>, v jednání</w:t>
            </w:r>
          </w:p>
        </w:tc>
        <w:tc>
          <w:tcPr>
            <w:tcW w:w="1380" w:type="dxa"/>
          </w:tcPr>
          <w:p w:rsidR="00AA7E54" w:rsidRPr="006A4544" w:rsidRDefault="00AA7E54" w:rsidP="00AA7E54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Dle možností odboru</w:t>
            </w:r>
            <w:r w:rsidR="00A63D2B" w:rsidRPr="006A4544">
              <w:rPr>
                <w:rFonts w:ascii="Times New Roman" w:hAnsi="Times New Roman" w:cs="Times New Roman"/>
                <w:szCs w:val="20"/>
              </w:rPr>
              <w:t xml:space="preserve">, v jednání </w:t>
            </w:r>
            <w:r w:rsidRPr="006A454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AA7E54" w:rsidRPr="006A4544" w:rsidRDefault="00AA7E54" w:rsidP="00AA7E5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0" w:type="dxa"/>
          </w:tcPr>
          <w:p w:rsidR="00AA7E54" w:rsidRPr="006A4544" w:rsidRDefault="00AA7E54" w:rsidP="00AA7E54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Krátkodobá činnost</w:t>
            </w:r>
          </w:p>
        </w:tc>
      </w:tr>
      <w:tr w:rsidR="00AA7E54" w:rsidRPr="006A4544" w:rsidTr="00AA7E54">
        <w:tc>
          <w:tcPr>
            <w:tcW w:w="6539" w:type="dxa"/>
          </w:tcPr>
          <w:p w:rsidR="00AA7E54" w:rsidRPr="006A4544" w:rsidRDefault="00AA7E54" w:rsidP="00AA7E5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Strategie kulturní politiky Libereckého kraje</w:t>
            </w:r>
          </w:p>
          <w:p w:rsidR="00AA7E54" w:rsidRPr="006A4544" w:rsidRDefault="00AA7E54" w:rsidP="00AA7E5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3" w:type="dxa"/>
          </w:tcPr>
          <w:p w:rsidR="00AA7E54" w:rsidRPr="006A4544" w:rsidRDefault="00A63D2B" w:rsidP="00AA7E54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V jednání</w:t>
            </w:r>
          </w:p>
        </w:tc>
        <w:tc>
          <w:tcPr>
            <w:tcW w:w="1380" w:type="dxa"/>
          </w:tcPr>
          <w:p w:rsidR="00AA7E54" w:rsidRPr="006A4544" w:rsidRDefault="00A63D2B" w:rsidP="00AA7E54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 xml:space="preserve">V jednání </w:t>
            </w:r>
          </w:p>
        </w:tc>
        <w:tc>
          <w:tcPr>
            <w:tcW w:w="1390" w:type="dxa"/>
          </w:tcPr>
          <w:p w:rsidR="00AA7E54" w:rsidRPr="006A4544" w:rsidRDefault="00AA7E54" w:rsidP="00AA7E54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Krátkodobá činnost</w:t>
            </w:r>
          </w:p>
        </w:tc>
      </w:tr>
      <w:tr w:rsidR="00AA7E54" w:rsidRPr="006A4544" w:rsidTr="00AA7E54">
        <w:tc>
          <w:tcPr>
            <w:tcW w:w="6539" w:type="dxa"/>
          </w:tcPr>
          <w:p w:rsidR="00AA7E54" w:rsidRPr="006A4544" w:rsidRDefault="00AA7E54" w:rsidP="00AA7E5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CELKEM</w:t>
            </w:r>
          </w:p>
        </w:tc>
        <w:tc>
          <w:tcPr>
            <w:tcW w:w="1403" w:type="dxa"/>
          </w:tcPr>
          <w:p w:rsidR="00AA7E54" w:rsidRPr="006A4544" w:rsidRDefault="00AA7E54" w:rsidP="00AA7E5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-</w:t>
            </w:r>
          </w:p>
        </w:tc>
        <w:tc>
          <w:tcPr>
            <w:tcW w:w="1380" w:type="dxa"/>
          </w:tcPr>
          <w:p w:rsidR="00AA7E54" w:rsidRPr="006A4544" w:rsidRDefault="00AA7E54" w:rsidP="00AA7E5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-</w:t>
            </w:r>
          </w:p>
        </w:tc>
        <w:tc>
          <w:tcPr>
            <w:tcW w:w="1390" w:type="dxa"/>
          </w:tcPr>
          <w:p w:rsidR="00AA7E54" w:rsidRPr="006A4544" w:rsidRDefault="00AA7E54" w:rsidP="00AA7E54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AA7E54" w:rsidRPr="006A4544" w:rsidRDefault="00AA7E54">
      <w:pPr>
        <w:rPr>
          <w:rFonts w:ascii="Times New Roman" w:hAnsi="Times New Roman" w:cs="Times New Roman"/>
          <w:b/>
          <w:sz w:val="22"/>
        </w:rPr>
      </w:pPr>
    </w:p>
    <w:p w:rsidR="00904C6A" w:rsidRPr="006A4544" w:rsidRDefault="00A92631" w:rsidP="00E35129">
      <w:pPr>
        <w:pStyle w:val="Nadpis1"/>
        <w:rPr>
          <w:rFonts w:ascii="Times New Roman" w:hAnsi="Times New Roman" w:cs="Times New Roman"/>
        </w:rPr>
      </w:pPr>
      <w:r w:rsidRPr="006A4544">
        <w:rPr>
          <w:rFonts w:ascii="Times New Roman" w:hAnsi="Times New Roman" w:cs="Times New Roman"/>
        </w:rPr>
        <w:t>7/ ODBOR KANCELÁŘE HEJTMANA</w:t>
      </w:r>
    </w:p>
    <w:p w:rsidR="00A92631" w:rsidRPr="006A4544" w:rsidRDefault="00A92631">
      <w:pPr>
        <w:rPr>
          <w:rFonts w:ascii="Times New Roman" w:hAnsi="Times New Roman" w:cs="Times New Roman"/>
          <w:b/>
          <w:sz w:val="22"/>
        </w:rPr>
      </w:pPr>
    </w:p>
    <w:tbl>
      <w:tblPr>
        <w:tblStyle w:val="Mkatabulky"/>
        <w:tblW w:w="10712" w:type="dxa"/>
        <w:jc w:val="center"/>
        <w:tblLook w:val="04A0" w:firstRow="1" w:lastRow="0" w:firstColumn="1" w:lastColumn="0" w:noHBand="0" w:noVBand="1"/>
      </w:tblPr>
      <w:tblGrid>
        <w:gridCol w:w="6455"/>
        <w:gridCol w:w="1393"/>
        <w:gridCol w:w="1370"/>
        <w:gridCol w:w="1494"/>
      </w:tblGrid>
      <w:tr w:rsidR="00A92631" w:rsidRPr="006A4544" w:rsidTr="00730E02">
        <w:trPr>
          <w:jc w:val="center"/>
        </w:trPr>
        <w:tc>
          <w:tcPr>
            <w:tcW w:w="6539" w:type="dxa"/>
            <w:vMerge w:val="restart"/>
            <w:shd w:val="clear" w:color="auto" w:fill="595959" w:themeFill="text1" w:themeFillTint="A6"/>
            <w:vAlign w:val="center"/>
          </w:tcPr>
          <w:p w:rsidR="00A92631" w:rsidRPr="006A4544" w:rsidRDefault="00A92631" w:rsidP="00730E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ČINNOST</w:t>
            </w:r>
          </w:p>
        </w:tc>
        <w:tc>
          <w:tcPr>
            <w:tcW w:w="2783" w:type="dxa"/>
            <w:gridSpan w:val="2"/>
            <w:shd w:val="clear" w:color="auto" w:fill="595959" w:themeFill="text1" w:themeFillTint="A6"/>
          </w:tcPr>
          <w:p w:rsidR="00A92631" w:rsidRPr="006A4544" w:rsidRDefault="00A92631" w:rsidP="00730E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FINANČNÍ RÁMEC </w:t>
            </w:r>
          </w:p>
          <w:p w:rsidR="00A92631" w:rsidRPr="006A4544" w:rsidRDefault="00A92631" w:rsidP="00730E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bez DPH</w:t>
            </w:r>
          </w:p>
        </w:tc>
        <w:tc>
          <w:tcPr>
            <w:tcW w:w="1390" w:type="dxa"/>
            <w:vMerge w:val="restart"/>
            <w:shd w:val="clear" w:color="auto" w:fill="595959" w:themeFill="text1" w:themeFillTint="A6"/>
          </w:tcPr>
          <w:p w:rsidR="00A92631" w:rsidRPr="006A4544" w:rsidRDefault="00A92631" w:rsidP="00730E0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ČASOVÁ NÁROČNOST</w:t>
            </w:r>
          </w:p>
        </w:tc>
      </w:tr>
      <w:tr w:rsidR="00A92631" w:rsidRPr="006A4544" w:rsidTr="00730E02">
        <w:trPr>
          <w:jc w:val="center"/>
        </w:trPr>
        <w:tc>
          <w:tcPr>
            <w:tcW w:w="6539" w:type="dxa"/>
            <w:vMerge/>
            <w:shd w:val="clear" w:color="auto" w:fill="595959" w:themeFill="text1" w:themeFillTint="A6"/>
          </w:tcPr>
          <w:p w:rsidR="00A92631" w:rsidRPr="006A4544" w:rsidRDefault="00A92631" w:rsidP="00730E0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  <w:tc>
          <w:tcPr>
            <w:tcW w:w="1403" w:type="dxa"/>
            <w:shd w:val="clear" w:color="auto" w:fill="595959" w:themeFill="text1" w:themeFillTint="A6"/>
            <w:vAlign w:val="center"/>
          </w:tcPr>
          <w:p w:rsidR="00A92631" w:rsidRPr="006A4544" w:rsidRDefault="00A92631" w:rsidP="00730E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6-12/2017</w:t>
            </w:r>
          </w:p>
        </w:tc>
        <w:tc>
          <w:tcPr>
            <w:tcW w:w="1380" w:type="dxa"/>
            <w:shd w:val="clear" w:color="auto" w:fill="595959" w:themeFill="text1" w:themeFillTint="A6"/>
            <w:vAlign w:val="center"/>
          </w:tcPr>
          <w:p w:rsidR="00A92631" w:rsidRPr="006A4544" w:rsidRDefault="00A92631" w:rsidP="00730E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1-5/2018</w:t>
            </w:r>
          </w:p>
        </w:tc>
        <w:tc>
          <w:tcPr>
            <w:tcW w:w="1390" w:type="dxa"/>
            <w:vMerge/>
            <w:shd w:val="clear" w:color="auto" w:fill="595959" w:themeFill="text1" w:themeFillTint="A6"/>
          </w:tcPr>
          <w:p w:rsidR="00A92631" w:rsidRPr="006A4544" w:rsidRDefault="00A92631" w:rsidP="00730E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</w:tr>
      <w:tr w:rsidR="00A92631" w:rsidRPr="006A4544" w:rsidTr="00730E02">
        <w:trPr>
          <w:jc w:val="center"/>
        </w:trPr>
        <w:tc>
          <w:tcPr>
            <w:tcW w:w="6539" w:type="dxa"/>
          </w:tcPr>
          <w:p w:rsidR="00A92631" w:rsidRPr="006A4544" w:rsidRDefault="00A92631" w:rsidP="00730E0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Publikační výstupy</w:t>
            </w:r>
          </w:p>
          <w:p w:rsidR="00A92631" w:rsidRPr="006A4544" w:rsidRDefault="00A92631" w:rsidP="00A92631">
            <w:pPr>
              <w:pStyle w:val="Odstavecseseznamem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Prezentační materiály</w:t>
            </w:r>
          </w:p>
          <w:p w:rsidR="00A92631" w:rsidRPr="006A4544" w:rsidRDefault="00A92631" w:rsidP="00A92631">
            <w:pPr>
              <w:pStyle w:val="Odstavecseseznamem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Výroční zprávy</w:t>
            </w:r>
          </w:p>
          <w:p w:rsidR="00A92631" w:rsidRPr="006A4544" w:rsidRDefault="00A92631" w:rsidP="00730E0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3" w:type="dxa"/>
          </w:tcPr>
          <w:p w:rsidR="00A92631" w:rsidRPr="006A4544" w:rsidRDefault="00A92631" w:rsidP="00730E02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V jednání, dle potřeb odboru</w:t>
            </w:r>
          </w:p>
        </w:tc>
        <w:tc>
          <w:tcPr>
            <w:tcW w:w="1380" w:type="dxa"/>
          </w:tcPr>
          <w:p w:rsidR="00A92631" w:rsidRPr="006A4544" w:rsidRDefault="00A92631" w:rsidP="00730E02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V jednání, dle potřeb odboru</w:t>
            </w:r>
          </w:p>
        </w:tc>
        <w:tc>
          <w:tcPr>
            <w:tcW w:w="1390" w:type="dxa"/>
          </w:tcPr>
          <w:p w:rsidR="00A92631" w:rsidRPr="006A4544" w:rsidRDefault="00A92631" w:rsidP="00730E02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Kontinuální činnost</w:t>
            </w:r>
          </w:p>
        </w:tc>
      </w:tr>
      <w:tr w:rsidR="00A92631" w:rsidRPr="006A4544" w:rsidTr="00730E02">
        <w:trPr>
          <w:jc w:val="center"/>
        </w:trPr>
        <w:tc>
          <w:tcPr>
            <w:tcW w:w="6539" w:type="dxa"/>
          </w:tcPr>
          <w:p w:rsidR="00A92631" w:rsidRPr="006A4544" w:rsidRDefault="00A92631" w:rsidP="00730E0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3" w:type="dxa"/>
          </w:tcPr>
          <w:p w:rsidR="00A92631" w:rsidRPr="006A4544" w:rsidRDefault="00A92631" w:rsidP="00730E0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0" w:type="dxa"/>
          </w:tcPr>
          <w:p w:rsidR="00A92631" w:rsidRPr="006A4544" w:rsidRDefault="00A92631" w:rsidP="00730E0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0" w:type="dxa"/>
          </w:tcPr>
          <w:p w:rsidR="00A92631" w:rsidRPr="006A4544" w:rsidRDefault="00A92631" w:rsidP="00730E0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2631" w:rsidRPr="006A4544" w:rsidTr="00730E02">
        <w:trPr>
          <w:jc w:val="center"/>
        </w:trPr>
        <w:tc>
          <w:tcPr>
            <w:tcW w:w="6539" w:type="dxa"/>
          </w:tcPr>
          <w:p w:rsidR="00A92631" w:rsidRPr="006A4544" w:rsidRDefault="00A92631" w:rsidP="00730E0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CELKEM</w:t>
            </w:r>
          </w:p>
        </w:tc>
        <w:tc>
          <w:tcPr>
            <w:tcW w:w="1403" w:type="dxa"/>
          </w:tcPr>
          <w:p w:rsidR="00A92631" w:rsidRPr="006A4544" w:rsidRDefault="00A92631" w:rsidP="00730E0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-</w:t>
            </w:r>
          </w:p>
        </w:tc>
        <w:tc>
          <w:tcPr>
            <w:tcW w:w="1380" w:type="dxa"/>
          </w:tcPr>
          <w:p w:rsidR="00A92631" w:rsidRPr="006A4544" w:rsidRDefault="00A92631" w:rsidP="00730E0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-</w:t>
            </w:r>
          </w:p>
        </w:tc>
        <w:tc>
          <w:tcPr>
            <w:tcW w:w="1390" w:type="dxa"/>
          </w:tcPr>
          <w:p w:rsidR="00A92631" w:rsidRPr="006A4544" w:rsidRDefault="00A92631" w:rsidP="00730E02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A92631" w:rsidRPr="006A4544" w:rsidRDefault="00A92631">
      <w:pPr>
        <w:rPr>
          <w:rFonts w:ascii="Times New Roman" w:hAnsi="Times New Roman" w:cs="Times New Roman"/>
          <w:b/>
          <w:sz w:val="22"/>
        </w:rPr>
      </w:pPr>
    </w:p>
    <w:p w:rsidR="00D52586" w:rsidRPr="006A4544" w:rsidRDefault="00D52586" w:rsidP="00D52586">
      <w:pPr>
        <w:pStyle w:val="Nadpis1"/>
        <w:rPr>
          <w:rFonts w:ascii="Times New Roman" w:hAnsi="Times New Roman" w:cs="Times New Roman"/>
        </w:rPr>
      </w:pPr>
      <w:r w:rsidRPr="006A4544">
        <w:rPr>
          <w:rFonts w:ascii="Times New Roman" w:hAnsi="Times New Roman" w:cs="Times New Roman"/>
        </w:rPr>
        <w:t>8/ ODBOR SOCIÁLNÍCH VĚCÍ</w:t>
      </w:r>
    </w:p>
    <w:p w:rsidR="00D52586" w:rsidRPr="006A4544" w:rsidRDefault="00D52586" w:rsidP="00D52586">
      <w:pPr>
        <w:rPr>
          <w:rFonts w:ascii="Times New Roman" w:hAnsi="Times New Roman" w:cs="Times New Roman"/>
        </w:rPr>
      </w:pPr>
    </w:p>
    <w:tbl>
      <w:tblPr>
        <w:tblStyle w:val="Mkatabulky"/>
        <w:tblW w:w="10712" w:type="dxa"/>
        <w:jc w:val="center"/>
        <w:tblLook w:val="04A0" w:firstRow="1" w:lastRow="0" w:firstColumn="1" w:lastColumn="0" w:noHBand="0" w:noVBand="1"/>
      </w:tblPr>
      <w:tblGrid>
        <w:gridCol w:w="6455"/>
        <w:gridCol w:w="1393"/>
        <w:gridCol w:w="1370"/>
        <w:gridCol w:w="1494"/>
      </w:tblGrid>
      <w:tr w:rsidR="00D52586" w:rsidRPr="006A4544" w:rsidTr="00730E02">
        <w:trPr>
          <w:jc w:val="center"/>
        </w:trPr>
        <w:tc>
          <w:tcPr>
            <w:tcW w:w="6539" w:type="dxa"/>
            <w:vMerge w:val="restart"/>
            <w:shd w:val="clear" w:color="auto" w:fill="595959" w:themeFill="text1" w:themeFillTint="A6"/>
            <w:vAlign w:val="center"/>
          </w:tcPr>
          <w:p w:rsidR="00D52586" w:rsidRPr="006A4544" w:rsidRDefault="00D52586" w:rsidP="00730E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ČINNOST</w:t>
            </w:r>
          </w:p>
        </w:tc>
        <w:tc>
          <w:tcPr>
            <w:tcW w:w="2783" w:type="dxa"/>
            <w:gridSpan w:val="2"/>
            <w:shd w:val="clear" w:color="auto" w:fill="595959" w:themeFill="text1" w:themeFillTint="A6"/>
          </w:tcPr>
          <w:p w:rsidR="00D52586" w:rsidRPr="006A4544" w:rsidRDefault="00D52586" w:rsidP="00730E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FINANČNÍ RÁMEC </w:t>
            </w:r>
          </w:p>
          <w:p w:rsidR="00D52586" w:rsidRPr="006A4544" w:rsidRDefault="00D52586" w:rsidP="00730E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bez DPH</w:t>
            </w:r>
          </w:p>
        </w:tc>
        <w:tc>
          <w:tcPr>
            <w:tcW w:w="1390" w:type="dxa"/>
            <w:vMerge w:val="restart"/>
            <w:shd w:val="clear" w:color="auto" w:fill="595959" w:themeFill="text1" w:themeFillTint="A6"/>
          </w:tcPr>
          <w:p w:rsidR="00D52586" w:rsidRPr="006A4544" w:rsidRDefault="00D52586" w:rsidP="00730E0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ČASOVÁ NÁROČNOST</w:t>
            </w:r>
          </w:p>
        </w:tc>
      </w:tr>
      <w:tr w:rsidR="00D52586" w:rsidRPr="006A4544" w:rsidTr="00730E02">
        <w:trPr>
          <w:jc w:val="center"/>
        </w:trPr>
        <w:tc>
          <w:tcPr>
            <w:tcW w:w="6539" w:type="dxa"/>
            <w:vMerge/>
            <w:shd w:val="clear" w:color="auto" w:fill="595959" w:themeFill="text1" w:themeFillTint="A6"/>
          </w:tcPr>
          <w:p w:rsidR="00D52586" w:rsidRPr="006A4544" w:rsidRDefault="00D52586" w:rsidP="00730E0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  <w:tc>
          <w:tcPr>
            <w:tcW w:w="1403" w:type="dxa"/>
            <w:shd w:val="clear" w:color="auto" w:fill="595959" w:themeFill="text1" w:themeFillTint="A6"/>
            <w:vAlign w:val="center"/>
          </w:tcPr>
          <w:p w:rsidR="00D52586" w:rsidRPr="006A4544" w:rsidRDefault="00D52586" w:rsidP="00730E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6-12/2017</w:t>
            </w:r>
          </w:p>
        </w:tc>
        <w:tc>
          <w:tcPr>
            <w:tcW w:w="1380" w:type="dxa"/>
            <w:shd w:val="clear" w:color="auto" w:fill="595959" w:themeFill="text1" w:themeFillTint="A6"/>
            <w:vAlign w:val="center"/>
          </w:tcPr>
          <w:p w:rsidR="00D52586" w:rsidRPr="006A4544" w:rsidRDefault="00D52586" w:rsidP="00730E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1-5/2018</w:t>
            </w:r>
          </w:p>
        </w:tc>
        <w:tc>
          <w:tcPr>
            <w:tcW w:w="1390" w:type="dxa"/>
            <w:vMerge/>
            <w:shd w:val="clear" w:color="auto" w:fill="595959" w:themeFill="text1" w:themeFillTint="A6"/>
          </w:tcPr>
          <w:p w:rsidR="00D52586" w:rsidRPr="006A4544" w:rsidRDefault="00D52586" w:rsidP="00730E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</w:p>
        </w:tc>
      </w:tr>
      <w:tr w:rsidR="00D52586" w:rsidRPr="006A4544" w:rsidTr="00730E02">
        <w:trPr>
          <w:jc w:val="center"/>
        </w:trPr>
        <w:tc>
          <w:tcPr>
            <w:tcW w:w="6539" w:type="dxa"/>
          </w:tcPr>
          <w:p w:rsidR="00D52586" w:rsidRPr="006A4544" w:rsidRDefault="001E1F27" w:rsidP="00730E0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Konzultační činnost v oblasti dotačních možností</w:t>
            </w:r>
          </w:p>
          <w:p w:rsidR="00D52586" w:rsidRPr="006A4544" w:rsidRDefault="001E1F27" w:rsidP="001E1F27">
            <w:pPr>
              <w:pStyle w:val="Odstavecseseznamem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4">
              <w:rPr>
                <w:rFonts w:ascii="Times New Roman" w:hAnsi="Times New Roman" w:cs="Times New Roman"/>
                <w:sz w:val="20"/>
                <w:szCs w:val="20"/>
              </w:rPr>
              <w:t>Aktivní vyhledávání dotačních příležitostí na základě znalosti potřeb rezortu, včetně jeho příspěvkových organizací</w:t>
            </w:r>
          </w:p>
          <w:p w:rsidR="001E1F27" w:rsidRPr="006A4544" w:rsidRDefault="001E1F27" w:rsidP="001E1F27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D52586" w:rsidRPr="006A4544" w:rsidRDefault="00D52586" w:rsidP="00730E02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V jednání, dle potřeb odboru</w:t>
            </w:r>
          </w:p>
        </w:tc>
        <w:tc>
          <w:tcPr>
            <w:tcW w:w="1380" w:type="dxa"/>
          </w:tcPr>
          <w:p w:rsidR="00D52586" w:rsidRPr="006A4544" w:rsidRDefault="00D52586" w:rsidP="00730E02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V jednání, dle potřeb odboru</w:t>
            </w:r>
          </w:p>
        </w:tc>
        <w:tc>
          <w:tcPr>
            <w:tcW w:w="1390" w:type="dxa"/>
          </w:tcPr>
          <w:p w:rsidR="00D52586" w:rsidRPr="006A4544" w:rsidRDefault="00D52586" w:rsidP="00730E02">
            <w:pPr>
              <w:rPr>
                <w:rFonts w:ascii="Times New Roman" w:hAnsi="Times New Roman" w:cs="Times New Roman"/>
                <w:szCs w:val="20"/>
              </w:rPr>
            </w:pPr>
            <w:r w:rsidRPr="006A4544">
              <w:rPr>
                <w:rFonts w:ascii="Times New Roman" w:hAnsi="Times New Roman" w:cs="Times New Roman"/>
                <w:szCs w:val="20"/>
              </w:rPr>
              <w:t>Kontinuální činnost</w:t>
            </w:r>
          </w:p>
        </w:tc>
      </w:tr>
      <w:tr w:rsidR="00D52586" w:rsidRPr="006A4544" w:rsidTr="00730E02">
        <w:trPr>
          <w:jc w:val="center"/>
        </w:trPr>
        <w:tc>
          <w:tcPr>
            <w:tcW w:w="6539" w:type="dxa"/>
          </w:tcPr>
          <w:p w:rsidR="00D52586" w:rsidRPr="006A4544" w:rsidRDefault="00D52586" w:rsidP="00730E0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03" w:type="dxa"/>
          </w:tcPr>
          <w:p w:rsidR="00D52586" w:rsidRPr="006A4544" w:rsidRDefault="00D52586" w:rsidP="00730E0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0" w:type="dxa"/>
          </w:tcPr>
          <w:p w:rsidR="00D52586" w:rsidRPr="006A4544" w:rsidRDefault="00D52586" w:rsidP="00730E0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0" w:type="dxa"/>
          </w:tcPr>
          <w:p w:rsidR="00D52586" w:rsidRPr="006A4544" w:rsidRDefault="00D52586" w:rsidP="00730E0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52586" w:rsidRPr="006A4544" w:rsidTr="00730E02">
        <w:trPr>
          <w:jc w:val="center"/>
        </w:trPr>
        <w:tc>
          <w:tcPr>
            <w:tcW w:w="6539" w:type="dxa"/>
          </w:tcPr>
          <w:p w:rsidR="00D52586" w:rsidRPr="006A4544" w:rsidRDefault="00D52586" w:rsidP="00730E0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CELKEM</w:t>
            </w:r>
          </w:p>
        </w:tc>
        <w:tc>
          <w:tcPr>
            <w:tcW w:w="1403" w:type="dxa"/>
          </w:tcPr>
          <w:p w:rsidR="00D52586" w:rsidRPr="006A4544" w:rsidRDefault="00D52586" w:rsidP="00730E0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-</w:t>
            </w:r>
          </w:p>
        </w:tc>
        <w:tc>
          <w:tcPr>
            <w:tcW w:w="1380" w:type="dxa"/>
          </w:tcPr>
          <w:p w:rsidR="00D52586" w:rsidRPr="006A4544" w:rsidRDefault="00D52586" w:rsidP="00730E0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A4544">
              <w:rPr>
                <w:rFonts w:ascii="Times New Roman" w:hAnsi="Times New Roman" w:cs="Times New Roman"/>
                <w:b/>
                <w:szCs w:val="20"/>
              </w:rPr>
              <w:t>-</w:t>
            </w:r>
          </w:p>
        </w:tc>
        <w:tc>
          <w:tcPr>
            <w:tcW w:w="1390" w:type="dxa"/>
          </w:tcPr>
          <w:p w:rsidR="00D52586" w:rsidRPr="006A4544" w:rsidRDefault="00D52586" w:rsidP="00730E02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D52586" w:rsidRPr="006A4544" w:rsidRDefault="00D52586">
      <w:pPr>
        <w:rPr>
          <w:rFonts w:ascii="Times New Roman" w:hAnsi="Times New Roman" w:cs="Times New Roman"/>
          <w:b/>
          <w:sz w:val="22"/>
        </w:rPr>
      </w:pPr>
    </w:p>
    <w:p w:rsidR="00904C6A" w:rsidRPr="006A4544" w:rsidRDefault="00904C6A">
      <w:pPr>
        <w:rPr>
          <w:rFonts w:ascii="Times New Roman" w:hAnsi="Times New Roman" w:cs="Times New Roman"/>
          <w:b/>
          <w:sz w:val="22"/>
        </w:rPr>
      </w:pPr>
    </w:p>
    <w:p w:rsidR="00904C6A" w:rsidRPr="006A4544" w:rsidRDefault="00904C6A">
      <w:pPr>
        <w:rPr>
          <w:rFonts w:ascii="Times New Roman" w:hAnsi="Times New Roman" w:cs="Times New Roman"/>
          <w:b/>
          <w:sz w:val="22"/>
        </w:rPr>
      </w:pPr>
    </w:p>
    <w:p w:rsidR="00904C6A" w:rsidRPr="00D73697" w:rsidRDefault="00904C6A">
      <w:pPr>
        <w:rPr>
          <w:rFonts w:ascii="Times New Roman" w:hAnsi="Times New Roman" w:cs="Times New Roman"/>
          <w:b/>
          <w:sz w:val="24"/>
          <w:szCs w:val="24"/>
        </w:rPr>
      </w:pPr>
    </w:p>
    <w:p w:rsidR="00367EA8" w:rsidRPr="00D73697" w:rsidRDefault="00367EA8" w:rsidP="00367EA8">
      <w:pPr>
        <w:ind w:left="6372"/>
        <w:rPr>
          <w:rFonts w:ascii="Times New Roman" w:hAnsi="Times New Roman" w:cs="Times New Roman"/>
          <w:sz w:val="24"/>
          <w:szCs w:val="24"/>
        </w:rPr>
      </w:pPr>
      <w:r w:rsidRPr="00D73697">
        <w:rPr>
          <w:rFonts w:ascii="Times New Roman" w:hAnsi="Times New Roman" w:cs="Times New Roman"/>
          <w:sz w:val="24"/>
          <w:szCs w:val="24"/>
        </w:rPr>
        <w:t>Ing. Petr Dobrovský, jednatel</w:t>
      </w:r>
      <w:r w:rsidR="00D73697">
        <w:rPr>
          <w:rFonts w:ascii="Times New Roman" w:hAnsi="Times New Roman" w:cs="Times New Roman"/>
          <w:sz w:val="24"/>
          <w:szCs w:val="24"/>
        </w:rPr>
        <w:t xml:space="preserve"> </w:t>
      </w:r>
      <w:r w:rsidRPr="00D73697">
        <w:rPr>
          <w:rFonts w:ascii="Times New Roman" w:hAnsi="Times New Roman" w:cs="Times New Roman"/>
          <w:sz w:val="24"/>
          <w:szCs w:val="24"/>
        </w:rPr>
        <w:t>ARR s.r.o.</w:t>
      </w:r>
    </w:p>
    <w:sectPr w:rsidR="00367EA8" w:rsidRPr="00D73697" w:rsidSect="00A5691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E4" w:rsidRDefault="00D97EE4" w:rsidP="00E310AB">
      <w:pPr>
        <w:spacing w:line="240" w:lineRule="auto"/>
      </w:pPr>
      <w:r>
        <w:separator/>
      </w:r>
    </w:p>
  </w:endnote>
  <w:endnote w:type="continuationSeparator" w:id="0">
    <w:p w:rsidR="00D97EE4" w:rsidRDefault="00D97EE4" w:rsidP="00E31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E4" w:rsidRDefault="00D97EE4" w:rsidP="00E310AB">
      <w:pPr>
        <w:spacing w:line="240" w:lineRule="auto"/>
      </w:pPr>
      <w:r>
        <w:separator/>
      </w:r>
    </w:p>
  </w:footnote>
  <w:footnote w:type="continuationSeparator" w:id="0">
    <w:p w:rsidR="00D97EE4" w:rsidRDefault="00D97EE4" w:rsidP="00E310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AB" w:rsidRPr="006A4544" w:rsidRDefault="00E310AB">
    <w:pPr>
      <w:pStyle w:val="Zhlav"/>
      <w:rPr>
        <w:rFonts w:ascii="Times New Roman" w:hAnsi="Times New Roman" w:cs="Times New Roman"/>
        <w:sz w:val="24"/>
        <w:szCs w:val="24"/>
      </w:rPr>
    </w:pPr>
    <w:r w:rsidRPr="006A4544">
      <w:rPr>
        <w:rFonts w:ascii="Times New Roman" w:hAnsi="Times New Roman" w:cs="Times New Roman"/>
        <w:sz w:val="24"/>
        <w:szCs w:val="24"/>
      </w:rPr>
      <w:t>Příloha č. 3</w:t>
    </w:r>
  </w:p>
  <w:p w:rsidR="00E310AB" w:rsidRDefault="00E310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AEB"/>
    <w:multiLevelType w:val="hybridMultilevel"/>
    <w:tmpl w:val="D96E0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15D3C"/>
    <w:multiLevelType w:val="hybridMultilevel"/>
    <w:tmpl w:val="FC504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7E92"/>
    <w:multiLevelType w:val="hybridMultilevel"/>
    <w:tmpl w:val="AC5CC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E6451"/>
    <w:multiLevelType w:val="hybridMultilevel"/>
    <w:tmpl w:val="96A0DF5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802366D"/>
    <w:multiLevelType w:val="hybridMultilevel"/>
    <w:tmpl w:val="45D8E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F7E37"/>
    <w:multiLevelType w:val="hybridMultilevel"/>
    <w:tmpl w:val="C3C4B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C1224"/>
    <w:multiLevelType w:val="hybridMultilevel"/>
    <w:tmpl w:val="3814A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A1AB2"/>
    <w:multiLevelType w:val="hybridMultilevel"/>
    <w:tmpl w:val="573E4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DC47A5"/>
    <w:multiLevelType w:val="hybridMultilevel"/>
    <w:tmpl w:val="7CF2B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7A4"/>
    <w:multiLevelType w:val="hybridMultilevel"/>
    <w:tmpl w:val="7A7EB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9109B"/>
    <w:multiLevelType w:val="hybridMultilevel"/>
    <w:tmpl w:val="58589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C056E"/>
    <w:multiLevelType w:val="hybridMultilevel"/>
    <w:tmpl w:val="DF927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179F0"/>
    <w:multiLevelType w:val="hybridMultilevel"/>
    <w:tmpl w:val="6A9EA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C1FDD"/>
    <w:multiLevelType w:val="hybridMultilevel"/>
    <w:tmpl w:val="3F82E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17486"/>
    <w:multiLevelType w:val="hybridMultilevel"/>
    <w:tmpl w:val="F94A2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43A95"/>
    <w:multiLevelType w:val="hybridMultilevel"/>
    <w:tmpl w:val="2A9AA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  <w:num w:numId="13">
    <w:abstractNumId w:val="12"/>
  </w:num>
  <w:num w:numId="14">
    <w:abstractNumId w:val="1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56"/>
    <w:rsid w:val="00054211"/>
    <w:rsid w:val="000A3D93"/>
    <w:rsid w:val="000D7277"/>
    <w:rsid w:val="000E4E58"/>
    <w:rsid w:val="0010037D"/>
    <w:rsid w:val="00133C91"/>
    <w:rsid w:val="00182C23"/>
    <w:rsid w:val="00195DF7"/>
    <w:rsid w:val="001E060B"/>
    <w:rsid w:val="001E1F27"/>
    <w:rsid w:val="002351B1"/>
    <w:rsid w:val="002378A0"/>
    <w:rsid w:val="0025782E"/>
    <w:rsid w:val="0026392D"/>
    <w:rsid w:val="002C529A"/>
    <w:rsid w:val="0033217B"/>
    <w:rsid w:val="00357F5C"/>
    <w:rsid w:val="00367EA8"/>
    <w:rsid w:val="003D097C"/>
    <w:rsid w:val="003D406E"/>
    <w:rsid w:val="00466EB7"/>
    <w:rsid w:val="004A3D90"/>
    <w:rsid w:val="004B63DD"/>
    <w:rsid w:val="004D1675"/>
    <w:rsid w:val="004D7423"/>
    <w:rsid w:val="00503EBB"/>
    <w:rsid w:val="00511E6F"/>
    <w:rsid w:val="005338BD"/>
    <w:rsid w:val="0057694F"/>
    <w:rsid w:val="00585863"/>
    <w:rsid w:val="005A0ADC"/>
    <w:rsid w:val="005E645F"/>
    <w:rsid w:val="00600D6F"/>
    <w:rsid w:val="0060555C"/>
    <w:rsid w:val="00610675"/>
    <w:rsid w:val="00624E22"/>
    <w:rsid w:val="006347A5"/>
    <w:rsid w:val="006622B6"/>
    <w:rsid w:val="00665FE3"/>
    <w:rsid w:val="006A4544"/>
    <w:rsid w:val="006A4956"/>
    <w:rsid w:val="006A7CD9"/>
    <w:rsid w:val="006F1CBB"/>
    <w:rsid w:val="006F6ADC"/>
    <w:rsid w:val="0077233A"/>
    <w:rsid w:val="007D3749"/>
    <w:rsid w:val="007E3937"/>
    <w:rsid w:val="00800F40"/>
    <w:rsid w:val="00802228"/>
    <w:rsid w:val="00837A13"/>
    <w:rsid w:val="0086034C"/>
    <w:rsid w:val="008A18E5"/>
    <w:rsid w:val="008D4ED0"/>
    <w:rsid w:val="00904C6A"/>
    <w:rsid w:val="00916616"/>
    <w:rsid w:val="009227D7"/>
    <w:rsid w:val="0096236B"/>
    <w:rsid w:val="009675C1"/>
    <w:rsid w:val="009758F4"/>
    <w:rsid w:val="009A5E1A"/>
    <w:rsid w:val="00A17526"/>
    <w:rsid w:val="00A322CD"/>
    <w:rsid w:val="00A43FF8"/>
    <w:rsid w:val="00A56917"/>
    <w:rsid w:val="00A63D2B"/>
    <w:rsid w:val="00A92631"/>
    <w:rsid w:val="00AA7E54"/>
    <w:rsid w:val="00AD739A"/>
    <w:rsid w:val="00AD774E"/>
    <w:rsid w:val="00B57B6E"/>
    <w:rsid w:val="00BA092A"/>
    <w:rsid w:val="00BD1FAF"/>
    <w:rsid w:val="00C15196"/>
    <w:rsid w:val="00C514EF"/>
    <w:rsid w:val="00C7778F"/>
    <w:rsid w:val="00C77D01"/>
    <w:rsid w:val="00C82CCC"/>
    <w:rsid w:val="00CA5DFD"/>
    <w:rsid w:val="00CB0576"/>
    <w:rsid w:val="00CC2D46"/>
    <w:rsid w:val="00D11BD4"/>
    <w:rsid w:val="00D35797"/>
    <w:rsid w:val="00D52586"/>
    <w:rsid w:val="00D62212"/>
    <w:rsid w:val="00D6682F"/>
    <w:rsid w:val="00D73697"/>
    <w:rsid w:val="00D74DF1"/>
    <w:rsid w:val="00D97EE4"/>
    <w:rsid w:val="00DA68CB"/>
    <w:rsid w:val="00DD0CF8"/>
    <w:rsid w:val="00DE1904"/>
    <w:rsid w:val="00E10F25"/>
    <w:rsid w:val="00E12483"/>
    <w:rsid w:val="00E310AB"/>
    <w:rsid w:val="00E35129"/>
    <w:rsid w:val="00EB4D6B"/>
    <w:rsid w:val="00F8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956"/>
    <w:pPr>
      <w:spacing w:after="0" w:line="24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35129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2"/>
      <w:szCs w:val="28"/>
    </w:rPr>
  </w:style>
  <w:style w:type="paragraph" w:styleId="Nadpis2">
    <w:name w:val="heading 2"/>
    <w:basedOn w:val="Normln"/>
    <w:link w:val="Nadpis2Char"/>
    <w:uiPriority w:val="9"/>
    <w:qFormat/>
    <w:rsid w:val="006A4956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49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infointro">
    <w:name w:val="info_intro"/>
    <w:basedOn w:val="Normln"/>
    <w:rsid w:val="006A49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495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A49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5129"/>
    <w:rPr>
      <w:rFonts w:eastAsiaTheme="majorEastAsia" w:cstheme="majorBidi"/>
      <w:b/>
      <w:bCs/>
      <w:color w:val="365F91" w:themeColor="accent1" w:themeShade="BF"/>
      <w:szCs w:val="28"/>
    </w:rPr>
  </w:style>
  <w:style w:type="table" w:styleId="Mkatabulky">
    <w:name w:val="Table Grid"/>
    <w:basedOn w:val="Normlntabulka"/>
    <w:uiPriority w:val="59"/>
    <w:rsid w:val="006A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6A4956"/>
  </w:style>
  <w:style w:type="paragraph" w:styleId="Odstavecseseznamem">
    <w:name w:val="List Paragraph"/>
    <w:basedOn w:val="Normln"/>
    <w:uiPriority w:val="34"/>
    <w:qFormat/>
    <w:rsid w:val="002C529A"/>
    <w:pPr>
      <w:ind w:left="720"/>
      <w:contextualSpacing/>
    </w:pPr>
    <w:rPr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2C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03E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E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10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0AB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E310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0AB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956"/>
    <w:pPr>
      <w:spacing w:after="0" w:line="24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35129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2"/>
      <w:szCs w:val="28"/>
    </w:rPr>
  </w:style>
  <w:style w:type="paragraph" w:styleId="Nadpis2">
    <w:name w:val="heading 2"/>
    <w:basedOn w:val="Normln"/>
    <w:link w:val="Nadpis2Char"/>
    <w:uiPriority w:val="9"/>
    <w:qFormat/>
    <w:rsid w:val="006A4956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49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infointro">
    <w:name w:val="info_intro"/>
    <w:basedOn w:val="Normln"/>
    <w:rsid w:val="006A49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495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A49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5129"/>
    <w:rPr>
      <w:rFonts w:eastAsiaTheme="majorEastAsia" w:cstheme="majorBidi"/>
      <w:b/>
      <w:bCs/>
      <w:color w:val="365F91" w:themeColor="accent1" w:themeShade="BF"/>
      <w:szCs w:val="28"/>
    </w:rPr>
  </w:style>
  <w:style w:type="table" w:styleId="Mkatabulky">
    <w:name w:val="Table Grid"/>
    <w:basedOn w:val="Normlntabulka"/>
    <w:uiPriority w:val="59"/>
    <w:rsid w:val="006A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6A4956"/>
  </w:style>
  <w:style w:type="paragraph" w:styleId="Odstavecseseznamem">
    <w:name w:val="List Paragraph"/>
    <w:basedOn w:val="Normln"/>
    <w:uiPriority w:val="34"/>
    <w:qFormat/>
    <w:rsid w:val="002C529A"/>
    <w:pPr>
      <w:ind w:left="720"/>
      <w:contextualSpacing/>
    </w:pPr>
    <w:rPr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2C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03E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E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10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0AB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E310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0A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1588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Meszarosova Iveta</cp:lastModifiedBy>
  <cp:revision>2</cp:revision>
  <cp:lastPrinted>2017-05-15T07:24:00Z</cp:lastPrinted>
  <dcterms:created xsi:type="dcterms:W3CDTF">2017-06-12T10:33:00Z</dcterms:created>
  <dcterms:modified xsi:type="dcterms:W3CDTF">2017-06-12T10:33:00Z</dcterms:modified>
</cp:coreProperties>
</file>