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409" w:rsidRPr="00EE0A9C" w:rsidRDefault="00232409" w:rsidP="00232409">
      <w:pPr>
        <w:spacing w:before="240" w:after="240" w:line="276" w:lineRule="auto"/>
        <w:jc w:val="center"/>
        <w:rPr>
          <w:rFonts w:ascii="Segoe UI" w:hAnsi="Segoe UI" w:cs="Segoe UI"/>
          <w:b/>
          <w:sz w:val="20"/>
          <w:u w:val="single"/>
        </w:rPr>
      </w:pPr>
      <w:r w:rsidRPr="00EE0A9C">
        <w:rPr>
          <w:rFonts w:ascii="Segoe UI" w:hAnsi="Segoe UI" w:cs="Segoe UI"/>
          <w:b/>
          <w:sz w:val="20"/>
          <w:u w:val="single"/>
        </w:rPr>
        <w:t xml:space="preserve">ČASOVÝ HARMONOGRAM PRŮBĚHU </w:t>
      </w:r>
      <w:r w:rsidR="00EF79DB">
        <w:rPr>
          <w:rFonts w:ascii="Segoe UI" w:hAnsi="Segoe UI" w:cs="Segoe UI"/>
          <w:b/>
          <w:sz w:val="20"/>
          <w:u w:val="single"/>
        </w:rPr>
        <w:t>JEDNOTLIVÝCH KROKŮ</w:t>
      </w:r>
    </w:p>
    <w:p w:rsidR="00232409" w:rsidRPr="00EE0A9C" w:rsidRDefault="00B52A20" w:rsidP="00232409">
      <w:pPr>
        <w:spacing w:before="240" w:after="240" w:line="276" w:lineRule="auto"/>
        <w:jc w:val="center"/>
        <w:rPr>
          <w:rFonts w:ascii="Segoe UI" w:hAnsi="Segoe UI" w:cs="Segoe UI"/>
          <w:b/>
          <w:sz w:val="20"/>
          <w:u w:val="single"/>
        </w:rPr>
      </w:pPr>
      <w:bookmarkStart w:id="0" w:name="_Hlk483335462"/>
      <w:r>
        <w:rPr>
          <w:rFonts w:ascii="Segoe UI" w:hAnsi="Segoe UI" w:cs="Segoe UI"/>
          <w:b/>
          <w:sz w:val="20"/>
          <w:u w:val="single"/>
        </w:rPr>
        <w:t>Nabytí</w:t>
      </w:r>
      <w:r w:rsidR="008E1E16">
        <w:rPr>
          <w:rFonts w:ascii="Segoe UI" w:hAnsi="Segoe UI" w:cs="Segoe UI"/>
          <w:b/>
          <w:sz w:val="20"/>
          <w:u w:val="single"/>
        </w:rPr>
        <w:t xml:space="preserve"> 100 % </w:t>
      </w:r>
      <w:r>
        <w:rPr>
          <w:rFonts w:ascii="Segoe UI" w:hAnsi="Segoe UI" w:cs="Segoe UI"/>
          <w:b/>
          <w:sz w:val="20"/>
          <w:u w:val="single"/>
        </w:rPr>
        <w:t>podílu</w:t>
      </w:r>
      <w:r w:rsidR="008E1E16">
        <w:rPr>
          <w:rFonts w:ascii="Segoe UI" w:hAnsi="Segoe UI" w:cs="Segoe UI"/>
          <w:b/>
          <w:sz w:val="20"/>
          <w:u w:val="single"/>
        </w:rPr>
        <w:t xml:space="preserve"> Libereckým krajem </w:t>
      </w:r>
      <w:bookmarkEnd w:id="0"/>
      <w:r w:rsidRPr="00B52A20">
        <w:rPr>
          <w:rFonts w:ascii="Segoe UI" w:hAnsi="Segoe UI" w:cs="Segoe UI"/>
          <w:b/>
          <w:sz w:val="20"/>
          <w:u w:val="single"/>
        </w:rPr>
        <w:t xml:space="preserve">ve společnosti zajišťující veřejnou službu v přepravě cestujících v autobusové dopravě </w:t>
      </w:r>
      <w:r w:rsidR="008E1E16">
        <w:rPr>
          <w:rFonts w:ascii="Segoe UI" w:hAnsi="Segoe UI" w:cs="Segoe UI"/>
          <w:b/>
          <w:sz w:val="20"/>
          <w:u w:val="single"/>
        </w:rPr>
        <w:t>mimo režim zákona č. 134/2016 Sb., o zadávání veřejných zakázek, ve znění pozdějších předpisů (dále jen „</w:t>
      </w:r>
      <w:r w:rsidR="008E1E16" w:rsidRPr="008E1E16">
        <w:rPr>
          <w:rFonts w:ascii="Segoe UI" w:hAnsi="Segoe UI" w:cs="Segoe UI"/>
          <w:b/>
          <w:i/>
          <w:sz w:val="20"/>
          <w:u w:val="single"/>
        </w:rPr>
        <w:t>ZZVZ</w:t>
      </w:r>
      <w:r w:rsidR="008E1E16">
        <w:rPr>
          <w:rFonts w:ascii="Segoe UI" w:hAnsi="Segoe UI" w:cs="Segoe UI"/>
          <w:b/>
          <w:sz w:val="20"/>
          <w:u w:val="single"/>
        </w:rPr>
        <w:t>“)</w:t>
      </w:r>
    </w:p>
    <w:tbl>
      <w:tblPr>
        <w:tblW w:w="1007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9"/>
        <w:gridCol w:w="1843"/>
        <w:gridCol w:w="2324"/>
        <w:gridCol w:w="1559"/>
        <w:gridCol w:w="3345"/>
      </w:tblGrid>
      <w:tr w:rsidR="00232409" w:rsidRPr="00EE0A9C" w:rsidTr="00FF1FA8">
        <w:trPr>
          <w:trHeight w:val="451"/>
          <w:tblHeader/>
          <w:jc w:val="center"/>
        </w:trPr>
        <w:tc>
          <w:tcPr>
            <w:tcW w:w="999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232409" w:rsidRPr="00EE0A9C" w:rsidRDefault="00232409" w:rsidP="00FF1FA8">
            <w:pPr>
              <w:ind w:right="-84"/>
              <w:jc w:val="center"/>
              <w:rPr>
                <w:rFonts w:ascii="Segoe UI" w:hAnsi="Segoe UI" w:cs="Segoe UI"/>
                <w:b/>
                <w:bCs/>
                <w:caps/>
                <w:sz w:val="18"/>
                <w:szCs w:val="18"/>
              </w:rPr>
            </w:pPr>
            <w:r w:rsidRPr="00EE0A9C">
              <w:rPr>
                <w:rFonts w:ascii="Segoe UI" w:hAnsi="Segoe UI" w:cs="Segoe UI"/>
                <w:b/>
                <w:bCs/>
                <w:sz w:val="18"/>
                <w:szCs w:val="18"/>
              </w:rPr>
              <w:t>Pořadové</w:t>
            </w:r>
          </w:p>
          <w:p w:rsidR="00232409" w:rsidRPr="00EE0A9C" w:rsidRDefault="00232409" w:rsidP="00FF1FA8">
            <w:pPr>
              <w:jc w:val="center"/>
              <w:rPr>
                <w:rFonts w:ascii="Segoe UI" w:hAnsi="Segoe UI" w:cs="Segoe UI"/>
                <w:b/>
                <w:bCs/>
                <w:caps/>
                <w:sz w:val="18"/>
                <w:szCs w:val="18"/>
              </w:rPr>
            </w:pPr>
            <w:r w:rsidRPr="00EE0A9C">
              <w:rPr>
                <w:rFonts w:ascii="Segoe UI" w:hAnsi="Segoe UI" w:cs="Segoe UI"/>
                <w:b/>
                <w:bCs/>
                <w:sz w:val="18"/>
                <w:szCs w:val="18"/>
              </w:rPr>
              <w:t>číslo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232409" w:rsidRPr="00EE0A9C" w:rsidRDefault="00232409" w:rsidP="00FF1FA8">
            <w:pPr>
              <w:pStyle w:val="Nadpis8"/>
              <w:numPr>
                <w:ilvl w:val="0"/>
                <w:numId w:val="0"/>
              </w:numPr>
              <w:ind w:left="576"/>
              <w:rPr>
                <w:rFonts w:ascii="Segoe UI" w:hAnsi="Segoe UI" w:cs="Segoe UI"/>
                <w:b/>
                <w:caps/>
                <w:color w:val="auto"/>
                <w:sz w:val="18"/>
                <w:szCs w:val="18"/>
              </w:rPr>
            </w:pPr>
            <w:r w:rsidRPr="00EE0A9C">
              <w:rPr>
                <w:rFonts w:ascii="Segoe UI" w:hAnsi="Segoe UI" w:cs="Segoe UI"/>
                <w:b/>
                <w:color w:val="auto"/>
                <w:sz w:val="18"/>
                <w:szCs w:val="18"/>
              </w:rPr>
              <w:t>Úkon</w:t>
            </w:r>
          </w:p>
        </w:tc>
        <w:tc>
          <w:tcPr>
            <w:tcW w:w="2324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232409" w:rsidRPr="00EE0A9C" w:rsidRDefault="00232409" w:rsidP="00FF1FA8">
            <w:pPr>
              <w:pStyle w:val="Nadpis3"/>
              <w:numPr>
                <w:ilvl w:val="0"/>
                <w:numId w:val="0"/>
              </w:numPr>
              <w:ind w:left="9"/>
              <w:jc w:val="center"/>
              <w:rPr>
                <w:rFonts w:ascii="Segoe UI" w:hAnsi="Segoe UI" w:cs="Segoe UI"/>
                <w:b w:val="0"/>
                <w:caps/>
                <w:sz w:val="18"/>
                <w:szCs w:val="18"/>
              </w:rPr>
            </w:pPr>
            <w:r w:rsidRPr="00EE0A9C">
              <w:rPr>
                <w:rFonts w:ascii="Segoe UI" w:hAnsi="Segoe UI" w:cs="Segoe UI"/>
                <w:sz w:val="18"/>
                <w:szCs w:val="18"/>
              </w:rPr>
              <w:t>Zákonné a jiné předepsané lhůty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232409" w:rsidRPr="00EE0A9C" w:rsidRDefault="00232409" w:rsidP="00615FA9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EE0A9C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Odhad časového trvání (při optimálním průběhu) </w:t>
            </w:r>
          </w:p>
        </w:tc>
        <w:tc>
          <w:tcPr>
            <w:tcW w:w="3345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232409" w:rsidRPr="00EE0A9C" w:rsidRDefault="00232409" w:rsidP="00FF1FA8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</w:p>
          <w:p w:rsidR="00232409" w:rsidRPr="00EE0A9C" w:rsidRDefault="00232409" w:rsidP="00FF1FA8">
            <w:pPr>
              <w:jc w:val="center"/>
              <w:rPr>
                <w:rFonts w:ascii="Segoe UI" w:hAnsi="Segoe UI" w:cs="Segoe UI"/>
                <w:b/>
                <w:bCs/>
                <w:caps/>
                <w:sz w:val="18"/>
                <w:szCs w:val="18"/>
              </w:rPr>
            </w:pPr>
            <w:r w:rsidRPr="00EE0A9C">
              <w:rPr>
                <w:rFonts w:ascii="Segoe UI" w:hAnsi="Segoe UI" w:cs="Segoe UI"/>
                <w:b/>
                <w:bCs/>
                <w:sz w:val="18"/>
                <w:szCs w:val="18"/>
              </w:rPr>
              <w:t>Poznámky</w:t>
            </w:r>
          </w:p>
          <w:p w:rsidR="00232409" w:rsidRPr="00EE0A9C" w:rsidRDefault="00232409" w:rsidP="00FF1FA8">
            <w:pPr>
              <w:jc w:val="center"/>
              <w:rPr>
                <w:rFonts w:ascii="Segoe UI" w:hAnsi="Segoe UI" w:cs="Segoe UI"/>
                <w:b/>
                <w:bCs/>
                <w:caps/>
                <w:sz w:val="18"/>
                <w:szCs w:val="18"/>
              </w:rPr>
            </w:pPr>
          </w:p>
        </w:tc>
      </w:tr>
      <w:tr w:rsidR="00232409" w:rsidRPr="00EE0A9C" w:rsidTr="00FF1FA8">
        <w:trPr>
          <w:trHeight w:val="851"/>
          <w:jc w:val="center"/>
        </w:trPr>
        <w:tc>
          <w:tcPr>
            <w:tcW w:w="999" w:type="dxa"/>
            <w:tcBorders>
              <w:right w:val="double" w:sz="4" w:space="0" w:color="auto"/>
            </w:tcBorders>
            <w:vAlign w:val="center"/>
          </w:tcPr>
          <w:p w:rsidR="00232409" w:rsidRPr="00EE0A9C" w:rsidRDefault="00232409" w:rsidP="00FF1FA8">
            <w:pPr>
              <w:spacing w:line="360" w:lineRule="auto"/>
              <w:jc w:val="center"/>
              <w:rPr>
                <w:rFonts w:ascii="Segoe UI" w:hAnsi="Segoe UI" w:cs="Segoe UI"/>
                <w:b/>
                <w:bCs/>
                <w:caps/>
                <w:sz w:val="18"/>
                <w:szCs w:val="18"/>
              </w:rPr>
            </w:pPr>
            <w:r w:rsidRPr="00EE0A9C">
              <w:rPr>
                <w:rFonts w:ascii="Segoe UI" w:hAnsi="Segoe UI" w:cs="Segoe UI"/>
                <w:b/>
                <w:bCs/>
                <w:caps/>
                <w:sz w:val="18"/>
                <w:szCs w:val="18"/>
              </w:rPr>
              <w:t>1.</w:t>
            </w:r>
          </w:p>
        </w:tc>
        <w:tc>
          <w:tcPr>
            <w:tcW w:w="1843" w:type="dxa"/>
            <w:tcBorders>
              <w:left w:val="double" w:sz="4" w:space="0" w:color="auto"/>
            </w:tcBorders>
            <w:vAlign w:val="center"/>
          </w:tcPr>
          <w:p w:rsidR="00232409" w:rsidRPr="00EE0A9C" w:rsidRDefault="009977F8" w:rsidP="001B6383">
            <w:pPr>
              <w:spacing w:before="120" w:after="120" w:line="276" w:lineRule="auto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Jednání Rady Libereckého kraje dne 20. 6. 2017</w:t>
            </w:r>
          </w:p>
        </w:tc>
        <w:tc>
          <w:tcPr>
            <w:tcW w:w="2324" w:type="dxa"/>
            <w:vAlign w:val="center"/>
          </w:tcPr>
          <w:p w:rsidR="00232409" w:rsidRPr="00EE0A9C" w:rsidRDefault="00232409" w:rsidP="00FF1FA8">
            <w:pPr>
              <w:spacing w:before="120" w:after="120" w:line="276" w:lineRule="auto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32409" w:rsidRPr="00EE0A9C" w:rsidRDefault="00232409" w:rsidP="00FF1FA8">
            <w:pPr>
              <w:spacing w:before="120" w:after="120"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  <w:p w:rsidR="00232409" w:rsidRPr="00EE0A9C" w:rsidRDefault="00232409" w:rsidP="00FF1FA8">
            <w:pPr>
              <w:spacing w:before="120" w:after="120"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EE0A9C">
              <w:rPr>
                <w:rFonts w:ascii="Segoe UI" w:hAnsi="Segoe UI" w:cs="Segoe UI"/>
                <w:sz w:val="18"/>
                <w:szCs w:val="18"/>
              </w:rPr>
              <w:t>T</w:t>
            </w:r>
          </w:p>
          <w:p w:rsidR="00232409" w:rsidRPr="00EE0A9C" w:rsidRDefault="00232409" w:rsidP="00FF1FA8">
            <w:pPr>
              <w:spacing w:before="120" w:after="120"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345" w:type="dxa"/>
            <w:vAlign w:val="center"/>
          </w:tcPr>
          <w:p w:rsidR="00232409" w:rsidRPr="00EE0A9C" w:rsidRDefault="00232409" w:rsidP="00FF1FA8">
            <w:pPr>
              <w:spacing w:before="120" w:after="120" w:line="276" w:lineRule="auto"/>
              <w:jc w:val="center"/>
              <w:rPr>
                <w:rFonts w:ascii="Segoe UI" w:hAnsi="Segoe UI" w:cs="Segoe UI"/>
                <w:bCs/>
                <w:i/>
                <w:sz w:val="18"/>
                <w:szCs w:val="18"/>
              </w:rPr>
            </w:pPr>
          </w:p>
        </w:tc>
      </w:tr>
      <w:tr w:rsidR="00232409" w:rsidRPr="00EE0A9C" w:rsidTr="00FF1FA8">
        <w:trPr>
          <w:trHeight w:val="851"/>
          <w:jc w:val="center"/>
        </w:trPr>
        <w:tc>
          <w:tcPr>
            <w:tcW w:w="999" w:type="dxa"/>
            <w:tcBorders>
              <w:right w:val="double" w:sz="4" w:space="0" w:color="auto"/>
            </w:tcBorders>
            <w:vAlign w:val="center"/>
          </w:tcPr>
          <w:p w:rsidR="00232409" w:rsidRPr="00EE0A9C" w:rsidRDefault="00232409" w:rsidP="00FF1FA8">
            <w:pPr>
              <w:spacing w:line="360" w:lineRule="auto"/>
              <w:jc w:val="center"/>
              <w:rPr>
                <w:rFonts w:ascii="Segoe UI" w:hAnsi="Segoe UI" w:cs="Segoe UI"/>
                <w:b/>
                <w:bCs/>
                <w:caps/>
                <w:sz w:val="18"/>
                <w:szCs w:val="18"/>
              </w:rPr>
            </w:pPr>
            <w:r w:rsidRPr="00EE0A9C">
              <w:rPr>
                <w:rFonts w:ascii="Segoe UI" w:hAnsi="Segoe UI" w:cs="Segoe UI"/>
                <w:b/>
                <w:bCs/>
                <w:caps/>
                <w:sz w:val="18"/>
                <w:szCs w:val="18"/>
              </w:rPr>
              <w:t>2.</w:t>
            </w:r>
          </w:p>
        </w:tc>
        <w:tc>
          <w:tcPr>
            <w:tcW w:w="1843" w:type="dxa"/>
            <w:tcBorders>
              <w:left w:val="double" w:sz="4" w:space="0" w:color="auto"/>
            </w:tcBorders>
            <w:vAlign w:val="center"/>
          </w:tcPr>
          <w:p w:rsidR="00232409" w:rsidRPr="00EE0A9C" w:rsidRDefault="009977F8" w:rsidP="009977F8">
            <w:pPr>
              <w:spacing w:before="120" w:after="120" w:line="276" w:lineRule="auto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  <w:r w:rsidRPr="00EE0A9C">
              <w:rPr>
                <w:rFonts w:ascii="Segoe UI" w:hAnsi="Segoe UI" w:cs="Segoe UI"/>
                <w:bCs/>
                <w:sz w:val="18"/>
                <w:szCs w:val="18"/>
              </w:rPr>
              <w:t xml:space="preserve">Odeslání oznámení o </w:t>
            </w:r>
            <w:r>
              <w:rPr>
                <w:rFonts w:ascii="Segoe UI" w:hAnsi="Segoe UI" w:cs="Segoe UI"/>
                <w:bCs/>
                <w:sz w:val="18"/>
                <w:szCs w:val="18"/>
              </w:rPr>
              <w:t>dobrovolné průhlednosti ex ante</w:t>
            </w:r>
            <w:r w:rsidRPr="00EE0A9C">
              <w:rPr>
                <w:rFonts w:ascii="Segoe UI" w:hAnsi="Segoe UI" w:cs="Segoe UI"/>
                <w:bCs/>
                <w:sz w:val="18"/>
                <w:szCs w:val="18"/>
              </w:rPr>
              <w:t xml:space="preserve"> </w:t>
            </w:r>
            <w:r w:rsidR="00EC6F41">
              <w:rPr>
                <w:rFonts w:ascii="Segoe UI" w:hAnsi="Segoe UI" w:cs="Segoe UI"/>
                <w:bCs/>
                <w:sz w:val="18"/>
                <w:szCs w:val="18"/>
              </w:rPr>
              <w:t xml:space="preserve">dle § 212 odst. 2 ZZVZ </w:t>
            </w:r>
            <w:r w:rsidRPr="00EE0A9C">
              <w:rPr>
                <w:rFonts w:ascii="Segoe UI" w:hAnsi="Segoe UI" w:cs="Segoe UI"/>
                <w:bCs/>
                <w:sz w:val="18"/>
                <w:szCs w:val="18"/>
              </w:rPr>
              <w:t>k uveřejnění do Úředního věstníku EU a Věstníku VZ</w:t>
            </w:r>
          </w:p>
        </w:tc>
        <w:tc>
          <w:tcPr>
            <w:tcW w:w="2324" w:type="dxa"/>
            <w:vAlign w:val="center"/>
          </w:tcPr>
          <w:p w:rsidR="00232409" w:rsidRPr="00EE0A9C" w:rsidRDefault="00232409" w:rsidP="009977F8">
            <w:pPr>
              <w:spacing w:before="120" w:after="120" w:line="276" w:lineRule="auto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32409" w:rsidRPr="00EE0A9C" w:rsidRDefault="00232409" w:rsidP="00FF1FA8">
            <w:pPr>
              <w:spacing w:before="120" w:after="120"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EE0A9C">
              <w:rPr>
                <w:rFonts w:ascii="Segoe UI" w:hAnsi="Segoe UI" w:cs="Segoe UI"/>
                <w:sz w:val="18"/>
                <w:szCs w:val="18"/>
              </w:rPr>
              <w:t xml:space="preserve">T + </w:t>
            </w:r>
            <w:r w:rsidR="009977F8">
              <w:rPr>
                <w:rFonts w:ascii="Segoe UI" w:hAnsi="Segoe UI" w:cs="Segoe UI"/>
                <w:sz w:val="18"/>
                <w:szCs w:val="18"/>
              </w:rPr>
              <w:t>3</w:t>
            </w:r>
          </w:p>
          <w:p w:rsidR="00232409" w:rsidRPr="00EE0A9C" w:rsidRDefault="00232409" w:rsidP="00FF1FA8">
            <w:pPr>
              <w:spacing w:before="120" w:after="120"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345" w:type="dxa"/>
            <w:vAlign w:val="center"/>
          </w:tcPr>
          <w:p w:rsidR="00232409" w:rsidRPr="00EE0A9C" w:rsidRDefault="009977F8" w:rsidP="00D66FD8">
            <w:pPr>
              <w:spacing w:before="120" w:after="120" w:line="276" w:lineRule="auto"/>
              <w:jc w:val="center"/>
              <w:rPr>
                <w:rFonts w:ascii="Segoe UI" w:hAnsi="Segoe UI" w:cs="Segoe UI"/>
                <w:bCs/>
                <w:i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i/>
                <w:sz w:val="18"/>
                <w:szCs w:val="18"/>
              </w:rPr>
              <w:t>Úřední věstník Evropské unie má dle §</w:t>
            </w:r>
            <w:r w:rsidR="00D66FD8">
              <w:rPr>
                <w:rFonts w:ascii="Segoe UI" w:hAnsi="Segoe UI" w:cs="Segoe UI"/>
                <w:bCs/>
                <w:i/>
                <w:sz w:val="18"/>
                <w:szCs w:val="18"/>
              </w:rPr>
              <w:t> </w:t>
            </w:r>
            <w:r>
              <w:rPr>
                <w:rFonts w:ascii="Segoe UI" w:hAnsi="Segoe UI" w:cs="Segoe UI"/>
                <w:bCs/>
                <w:i/>
                <w:sz w:val="18"/>
                <w:szCs w:val="18"/>
              </w:rPr>
              <w:t>212 odst. 7 ZZVZ lhůtu 48 hodin na uveřejnění oznámení. Poté dochází k uveřejnění formuláře oznámení ve Věstníku veřejných zakázek.</w:t>
            </w:r>
          </w:p>
        </w:tc>
      </w:tr>
      <w:tr w:rsidR="00232409" w:rsidRPr="00EE0A9C" w:rsidTr="00FF1FA8">
        <w:trPr>
          <w:trHeight w:val="851"/>
          <w:jc w:val="center"/>
        </w:trPr>
        <w:tc>
          <w:tcPr>
            <w:tcW w:w="999" w:type="dxa"/>
            <w:tcBorders>
              <w:right w:val="double" w:sz="4" w:space="0" w:color="auto"/>
            </w:tcBorders>
            <w:vAlign w:val="center"/>
          </w:tcPr>
          <w:p w:rsidR="00232409" w:rsidRPr="00EE0A9C" w:rsidRDefault="00232409" w:rsidP="00FF1FA8">
            <w:pPr>
              <w:spacing w:line="360" w:lineRule="auto"/>
              <w:jc w:val="center"/>
              <w:rPr>
                <w:rFonts w:ascii="Segoe UI" w:hAnsi="Segoe UI" w:cs="Segoe UI"/>
                <w:b/>
                <w:bCs/>
                <w:caps/>
                <w:sz w:val="18"/>
                <w:szCs w:val="18"/>
              </w:rPr>
            </w:pPr>
            <w:r w:rsidRPr="00EE0A9C">
              <w:rPr>
                <w:rFonts w:ascii="Segoe UI" w:hAnsi="Segoe UI" w:cs="Segoe UI"/>
                <w:b/>
                <w:bCs/>
                <w:caps/>
                <w:sz w:val="18"/>
                <w:szCs w:val="18"/>
              </w:rPr>
              <w:t>3.</w:t>
            </w:r>
          </w:p>
        </w:tc>
        <w:tc>
          <w:tcPr>
            <w:tcW w:w="1843" w:type="dxa"/>
            <w:tcBorders>
              <w:left w:val="double" w:sz="4" w:space="0" w:color="auto"/>
            </w:tcBorders>
            <w:vAlign w:val="center"/>
          </w:tcPr>
          <w:p w:rsidR="00232409" w:rsidRPr="00EE0A9C" w:rsidRDefault="009977F8" w:rsidP="00FF1FA8">
            <w:pPr>
              <w:spacing w:before="120" w:after="120" w:line="276" w:lineRule="auto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  <w:r w:rsidRPr="00EE0A9C">
              <w:rPr>
                <w:rFonts w:ascii="Segoe UI" w:hAnsi="Segoe UI" w:cs="Segoe UI"/>
                <w:bCs/>
                <w:sz w:val="18"/>
                <w:szCs w:val="18"/>
              </w:rPr>
              <w:t xml:space="preserve">Lhůta pro podání </w:t>
            </w:r>
            <w:r>
              <w:rPr>
                <w:rFonts w:ascii="Segoe UI" w:hAnsi="Segoe UI" w:cs="Segoe UI"/>
                <w:bCs/>
                <w:sz w:val="18"/>
                <w:szCs w:val="18"/>
              </w:rPr>
              <w:t>námitek proti dobrovolnému oznámení ex ante</w:t>
            </w:r>
          </w:p>
        </w:tc>
        <w:tc>
          <w:tcPr>
            <w:tcW w:w="2324" w:type="dxa"/>
            <w:vAlign w:val="center"/>
          </w:tcPr>
          <w:p w:rsidR="00232409" w:rsidRPr="00EE0A9C" w:rsidRDefault="009977F8" w:rsidP="00FF1FA8">
            <w:pPr>
              <w:spacing w:before="120" w:after="120" w:line="276" w:lineRule="auto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  <w:r w:rsidRPr="00EE0A9C">
              <w:rPr>
                <w:rFonts w:ascii="Segoe UI" w:hAnsi="Segoe UI" w:cs="Segoe UI"/>
                <w:bCs/>
                <w:sz w:val="18"/>
                <w:szCs w:val="18"/>
              </w:rPr>
              <w:t xml:space="preserve">Lhůta pro podání </w:t>
            </w:r>
            <w:r>
              <w:rPr>
                <w:rFonts w:ascii="Segoe UI" w:hAnsi="Segoe UI" w:cs="Segoe UI"/>
                <w:bCs/>
                <w:sz w:val="18"/>
                <w:szCs w:val="18"/>
              </w:rPr>
              <w:t>námitek proti dobrovolnému oznámení o záměru uzavřít smlouvu činí</w:t>
            </w:r>
            <w:r w:rsidRPr="00EE0A9C">
              <w:rPr>
                <w:rFonts w:ascii="Segoe UI" w:hAnsi="Segoe UI" w:cs="Segoe UI"/>
                <w:bCs/>
                <w:sz w:val="18"/>
                <w:szCs w:val="18"/>
              </w:rPr>
              <w:t xml:space="preserve"> 30 kalendářních dnů</w:t>
            </w:r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 od uveřejnění oznámení</w:t>
            </w:r>
            <w:r w:rsidRPr="00EE0A9C">
              <w:rPr>
                <w:rFonts w:ascii="Segoe UI" w:hAnsi="Segoe UI" w:cs="Segoe UI"/>
                <w:bCs/>
                <w:sz w:val="18"/>
                <w:szCs w:val="18"/>
              </w:rPr>
              <w:t>.</w:t>
            </w:r>
          </w:p>
        </w:tc>
        <w:tc>
          <w:tcPr>
            <w:tcW w:w="1559" w:type="dxa"/>
            <w:vAlign w:val="center"/>
          </w:tcPr>
          <w:p w:rsidR="00232409" w:rsidRPr="00EE0A9C" w:rsidRDefault="009977F8" w:rsidP="00FF1FA8">
            <w:pPr>
              <w:spacing w:before="120" w:after="120"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T + 33</w:t>
            </w:r>
          </w:p>
          <w:p w:rsidR="00232409" w:rsidRPr="00EE0A9C" w:rsidRDefault="00232409" w:rsidP="00FF1FA8">
            <w:pPr>
              <w:spacing w:before="120" w:after="120"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345" w:type="dxa"/>
            <w:vAlign w:val="center"/>
          </w:tcPr>
          <w:p w:rsidR="00232409" w:rsidRDefault="009977F8" w:rsidP="00FF1FA8">
            <w:pPr>
              <w:spacing w:before="120" w:after="120" w:line="276" w:lineRule="auto"/>
              <w:jc w:val="center"/>
              <w:rPr>
                <w:rFonts w:ascii="Segoe UI" w:hAnsi="Segoe UI" w:cs="Segoe UI"/>
                <w:bCs/>
                <w:i/>
                <w:sz w:val="18"/>
                <w:szCs w:val="18"/>
              </w:rPr>
            </w:pPr>
            <w:r w:rsidRPr="00EE0A9C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Lhůta počíná </w:t>
            </w:r>
            <w:r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dle § 242 odst. 5 ZZVZ </w:t>
            </w:r>
            <w:r w:rsidRPr="00EE0A9C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běžet dnem následujícím po dni </w:t>
            </w:r>
            <w:r w:rsidR="007458E8">
              <w:rPr>
                <w:rFonts w:ascii="Segoe UI" w:hAnsi="Segoe UI" w:cs="Segoe UI"/>
                <w:bCs/>
                <w:i/>
                <w:sz w:val="18"/>
                <w:szCs w:val="18"/>
              </w:rPr>
              <w:t>uveřejnění</w:t>
            </w:r>
            <w:r w:rsidR="007458E8" w:rsidRPr="00EE0A9C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 </w:t>
            </w:r>
            <w:r w:rsidR="007458E8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dobrovolného oznámení </w:t>
            </w:r>
            <w:r w:rsidR="007458E8" w:rsidRPr="007458E8">
              <w:rPr>
                <w:rFonts w:ascii="Segoe UI" w:hAnsi="Segoe UI" w:cs="Segoe UI"/>
                <w:bCs/>
                <w:i/>
                <w:sz w:val="18"/>
                <w:szCs w:val="18"/>
              </w:rPr>
              <w:t>o</w:t>
            </w:r>
            <w:r w:rsidR="00D66FD8">
              <w:rPr>
                <w:rFonts w:ascii="Segoe UI" w:hAnsi="Segoe UI" w:cs="Segoe UI"/>
                <w:bCs/>
                <w:i/>
                <w:sz w:val="18"/>
                <w:szCs w:val="18"/>
              </w:rPr>
              <w:t> </w:t>
            </w:r>
            <w:r w:rsidR="007458E8" w:rsidRPr="007458E8">
              <w:rPr>
                <w:rFonts w:ascii="Segoe UI" w:hAnsi="Segoe UI" w:cs="Segoe UI"/>
                <w:bCs/>
                <w:i/>
                <w:sz w:val="18"/>
                <w:szCs w:val="18"/>
              </w:rPr>
              <w:t>záměru uzavřít smlouvu</w:t>
            </w:r>
            <w:r w:rsidR="007458E8">
              <w:rPr>
                <w:rFonts w:ascii="Segoe UI" w:hAnsi="Segoe UI" w:cs="Segoe UI"/>
                <w:bCs/>
                <w:i/>
                <w:sz w:val="18"/>
                <w:szCs w:val="18"/>
              </w:rPr>
              <w:t>.</w:t>
            </w:r>
          </w:p>
          <w:p w:rsidR="009977F8" w:rsidRDefault="009977F8" w:rsidP="00FF1FA8">
            <w:pPr>
              <w:spacing w:before="120" w:after="120" w:line="276" w:lineRule="auto"/>
              <w:jc w:val="center"/>
              <w:rPr>
                <w:rFonts w:ascii="Segoe UI" w:hAnsi="Segoe UI" w:cs="Segoe UI"/>
                <w:bCs/>
                <w:i/>
                <w:sz w:val="18"/>
                <w:szCs w:val="18"/>
              </w:rPr>
            </w:pPr>
          </w:p>
          <w:p w:rsidR="009977F8" w:rsidRPr="00EE0A9C" w:rsidRDefault="009977F8" w:rsidP="00EC6F41">
            <w:pPr>
              <w:spacing w:before="120" w:after="120" w:line="276" w:lineRule="auto"/>
              <w:jc w:val="center"/>
              <w:rPr>
                <w:rFonts w:ascii="Segoe UI" w:hAnsi="Segoe UI" w:cs="Segoe UI"/>
                <w:bCs/>
                <w:i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Během lhůty pro podání námitek lze </w:t>
            </w:r>
            <w:r w:rsidR="008A4294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s jednotlivými dopravci činit nezávazné tržní konzultace, jednat o nastavení podmínek plánované akvizice, </w:t>
            </w:r>
            <w:r w:rsidR="000523FF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a to </w:t>
            </w:r>
            <w:r w:rsidR="008A4294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včetně posouzení vhodnosti a rozsahu právní, ekonomické a účetní </w:t>
            </w:r>
            <w:proofErr w:type="spellStart"/>
            <w:r w:rsidR="008A4294">
              <w:rPr>
                <w:rFonts w:ascii="Segoe UI" w:hAnsi="Segoe UI" w:cs="Segoe UI"/>
                <w:bCs/>
                <w:i/>
                <w:sz w:val="18"/>
                <w:szCs w:val="18"/>
              </w:rPr>
              <w:t>due</w:t>
            </w:r>
            <w:proofErr w:type="spellEnd"/>
            <w:r w:rsidR="008A4294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 diligence v jednom či ve všech dopravcích. Tyto kroky lze činit rovněž prostřednictvím společnosti </w:t>
            </w:r>
            <w:r w:rsidR="00EE223A">
              <w:rPr>
                <w:rFonts w:ascii="Segoe UI" w:hAnsi="Segoe UI" w:cs="Segoe UI"/>
                <w:bCs/>
                <w:i/>
                <w:sz w:val="18"/>
                <w:szCs w:val="18"/>
              </w:rPr>
              <w:t>NEXIA AP a.s.</w:t>
            </w:r>
          </w:p>
        </w:tc>
      </w:tr>
      <w:tr w:rsidR="00232409" w:rsidRPr="00EE0A9C" w:rsidTr="00FF1FA8">
        <w:trPr>
          <w:trHeight w:val="851"/>
          <w:jc w:val="center"/>
        </w:trPr>
        <w:tc>
          <w:tcPr>
            <w:tcW w:w="999" w:type="dxa"/>
            <w:tcBorders>
              <w:right w:val="double" w:sz="4" w:space="0" w:color="auto"/>
            </w:tcBorders>
            <w:vAlign w:val="center"/>
          </w:tcPr>
          <w:p w:rsidR="00232409" w:rsidRPr="00EE0A9C" w:rsidRDefault="00232409" w:rsidP="00FF1FA8">
            <w:pPr>
              <w:spacing w:line="360" w:lineRule="auto"/>
              <w:jc w:val="center"/>
              <w:rPr>
                <w:rFonts w:ascii="Segoe UI" w:hAnsi="Segoe UI" w:cs="Segoe UI"/>
                <w:b/>
                <w:bCs/>
                <w:caps/>
                <w:sz w:val="18"/>
                <w:szCs w:val="18"/>
              </w:rPr>
            </w:pPr>
            <w:r w:rsidRPr="00EE0A9C">
              <w:rPr>
                <w:rFonts w:ascii="Segoe UI" w:hAnsi="Segoe UI" w:cs="Segoe UI"/>
                <w:b/>
                <w:bCs/>
                <w:caps/>
                <w:sz w:val="18"/>
                <w:szCs w:val="18"/>
              </w:rPr>
              <w:t>4.</w:t>
            </w:r>
          </w:p>
        </w:tc>
        <w:tc>
          <w:tcPr>
            <w:tcW w:w="1843" w:type="dxa"/>
            <w:tcBorders>
              <w:left w:val="double" w:sz="4" w:space="0" w:color="auto"/>
            </w:tcBorders>
            <w:vAlign w:val="center"/>
          </w:tcPr>
          <w:p w:rsidR="00232409" w:rsidRPr="00EE0A9C" w:rsidRDefault="00651F6A" w:rsidP="00FF1FA8">
            <w:pPr>
              <w:spacing w:before="120" w:after="120" w:line="276" w:lineRule="auto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Vyřízení podaných námitek</w:t>
            </w:r>
          </w:p>
        </w:tc>
        <w:tc>
          <w:tcPr>
            <w:tcW w:w="2324" w:type="dxa"/>
            <w:vAlign w:val="center"/>
          </w:tcPr>
          <w:p w:rsidR="00232409" w:rsidRPr="00EE0A9C" w:rsidRDefault="00232409" w:rsidP="00651F6A">
            <w:pPr>
              <w:spacing w:before="120" w:after="120" w:line="276" w:lineRule="auto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  <w:r w:rsidRPr="00EE0A9C">
              <w:rPr>
                <w:rFonts w:ascii="Segoe UI" w:hAnsi="Segoe UI" w:cs="Segoe UI"/>
                <w:bCs/>
                <w:sz w:val="18"/>
                <w:szCs w:val="18"/>
              </w:rPr>
              <w:t>Z</w:t>
            </w:r>
            <w:r w:rsidR="00651F6A">
              <w:rPr>
                <w:rFonts w:ascii="Segoe UI" w:hAnsi="Segoe UI" w:cs="Segoe UI"/>
                <w:bCs/>
                <w:sz w:val="18"/>
                <w:szCs w:val="18"/>
              </w:rPr>
              <w:t xml:space="preserve">adavatel je povinen o podaných námitkách rozhodnout do 15 kalendářních </w:t>
            </w:r>
            <w:r w:rsidR="000523FF">
              <w:rPr>
                <w:rFonts w:ascii="Segoe UI" w:hAnsi="Segoe UI" w:cs="Segoe UI"/>
                <w:bCs/>
                <w:sz w:val="18"/>
                <w:szCs w:val="18"/>
              </w:rPr>
              <w:t xml:space="preserve">dnů </w:t>
            </w:r>
            <w:r w:rsidR="00651F6A">
              <w:rPr>
                <w:rFonts w:ascii="Segoe UI" w:hAnsi="Segoe UI" w:cs="Segoe UI"/>
                <w:bCs/>
                <w:sz w:val="18"/>
                <w:szCs w:val="18"/>
              </w:rPr>
              <w:t>od jejich doručení.</w:t>
            </w:r>
            <w:r w:rsidRPr="00EE0A9C">
              <w:rPr>
                <w:rFonts w:ascii="Segoe UI" w:hAnsi="Segoe UI" w:cs="Segoe U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232409" w:rsidRPr="00EE0A9C" w:rsidRDefault="00232409" w:rsidP="00FF1FA8">
            <w:pPr>
              <w:spacing w:before="120" w:after="120"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EE0A9C">
              <w:rPr>
                <w:rFonts w:ascii="Segoe UI" w:hAnsi="Segoe UI" w:cs="Segoe UI"/>
                <w:sz w:val="18"/>
                <w:szCs w:val="18"/>
              </w:rPr>
              <w:t xml:space="preserve">T + </w:t>
            </w:r>
            <w:r w:rsidR="00651F6A">
              <w:rPr>
                <w:rFonts w:ascii="Segoe UI" w:hAnsi="Segoe UI" w:cs="Segoe UI"/>
                <w:sz w:val="18"/>
                <w:szCs w:val="18"/>
              </w:rPr>
              <w:t>48</w:t>
            </w:r>
          </w:p>
          <w:p w:rsidR="00232409" w:rsidRPr="00EE0A9C" w:rsidRDefault="00232409" w:rsidP="00FF1FA8">
            <w:pPr>
              <w:spacing w:before="120" w:after="120"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345" w:type="dxa"/>
            <w:vAlign w:val="center"/>
          </w:tcPr>
          <w:p w:rsidR="00232409" w:rsidRDefault="00651F6A" w:rsidP="00FF1FA8">
            <w:pPr>
              <w:spacing w:before="120" w:after="120" w:line="276" w:lineRule="auto"/>
              <w:jc w:val="center"/>
              <w:rPr>
                <w:rFonts w:ascii="Segoe UI" w:hAnsi="Segoe UI" w:cs="Segoe UI"/>
                <w:bCs/>
                <w:i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i/>
                <w:sz w:val="18"/>
                <w:szCs w:val="18"/>
              </w:rPr>
              <w:t>V případě, že zadavatel obdrží proti dobrovolnému oznámení ex ante námitky, je povine je dle § 245 ZZVZ vyřídit.</w:t>
            </w:r>
          </w:p>
          <w:p w:rsidR="007458E8" w:rsidRDefault="007458E8" w:rsidP="00FF1FA8">
            <w:pPr>
              <w:spacing w:before="120" w:after="120" w:line="276" w:lineRule="auto"/>
              <w:jc w:val="center"/>
              <w:rPr>
                <w:rFonts w:ascii="Segoe UI" w:hAnsi="Segoe UI" w:cs="Segoe UI"/>
                <w:bCs/>
                <w:i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Pokud námitky obsahují relevantní důvody zpochybňující postup zadavatele </w:t>
            </w:r>
            <w:r w:rsidR="000523FF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při úplatném nabytí 100 % </w:t>
            </w:r>
            <w:r w:rsidR="00EC6F41">
              <w:rPr>
                <w:rFonts w:ascii="Segoe UI" w:hAnsi="Segoe UI" w:cs="Segoe UI"/>
                <w:bCs/>
                <w:i/>
                <w:sz w:val="18"/>
                <w:szCs w:val="18"/>
              </w:rPr>
              <w:t>podílu</w:t>
            </w:r>
            <w:r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, </w:t>
            </w:r>
            <w:r w:rsidR="00EC6F41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budou tyto posouzeny i z hlediska </w:t>
            </w:r>
            <w:r w:rsidR="00EC6F41">
              <w:rPr>
                <w:rFonts w:ascii="Segoe UI" w:hAnsi="Segoe UI" w:cs="Segoe UI"/>
                <w:bCs/>
                <w:i/>
                <w:sz w:val="18"/>
                <w:szCs w:val="18"/>
              </w:rPr>
              <w:lastRenderedPageBreak/>
              <w:t xml:space="preserve">dalších kroků a koncepce postupu a případně bude </w:t>
            </w:r>
            <w:r w:rsidR="000523FF">
              <w:rPr>
                <w:rFonts w:ascii="Segoe UI" w:hAnsi="Segoe UI" w:cs="Segoe UI"/>
                <w:bCs/>
                <w:i/>
                <w:sz w:val="18"/>
                <w:szCs w:val="18"/>
              </w:rPr>
              <w:t>námitkám vyhově</w:t>
            </w:r>
            <w:r w:rsidR="00EC6F41">
              <w:rPr>
                <w:rFonts w:ascii="Segoe UI" w:hAnsi="Segoe UI" w:cs="Segoe UI"/>
                <w:bCs/>
                <w:i/>
                <w:sz w:val="18"/>
                <w:szCs w:val="18"/>
              </w:rPr>
              <w:t>no</w:t>
            </w:r>
            <w:bookmarkStart w:id="1" w:name="_GoBack"/>
            <w:bookmarkEnd w:id="1"/>
            <w:r>
              <w:rPr>
                <w:rFonts w:ascii="Segoe UI" w:hAnsi="Segoe UI" w:cs="Segoe UI"/>
                <w:bCs/>
                <w:i/>
                <w:sz w:val="18"/>
                <w:szCs w:val="18"/>
              </w:rPr>
              <w:t>.</w:t>
            </w:r>
          </w:p>
          <w:p w:rsidR="007458E8" w:rsidRDefault="007458E8" w:rsidP="004A4A61">
            <w:pPr>
              <w:spacing w:before="120" w:after="120" w:line="276" w:lineRule="auto"/>
              <w:jc w:val="center"/>
              <w:rPr>
                <w:rFonts w:ascii="Segoe UI" w:hAnsi="Segoe UI" w:cs="Segoe UI"/>
                <w:bCs/>
                <w:i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i/>
                <w:sz w:val="18"/>
                <w:szCs w:val="18"/>
              </w:rPr>
              <w:t>Pokud naopak námitky žádné relevantní důvody pro přehodnocení plánovaného postupu zadavatele při úplatném pořízení cenných papírů dopravce v Libereckém kraj</w:t>
            </w:r>
            <w:r w:rsidR="005E1822">
              <w:rPr>
                <w:rFonts w:ascii="Segoe UI" w:hAnsi="Segoe UI" w:cs="Segoe UI"/>
                <w:bCs/>
                <w:i/>
                <w:sz w:val="18"/>
                <w:szCs w:val="18"/>
              </w:rPr>
              <w:t>i neobsahují</w:t>
            </w:r>
            <w:r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, </w:t>
            </w:r>
            <w:r w:rsidR="004A4A61">
              <w:rPr>
                <w:rFonts w:ascii="Segoe UI" w:hAnsi="Segoe UI" w:cs="Segoe UI"/>
                <w:bCs/>
                <w:i/>
                <w:sz w:val="18"/>
                <w:szCs w:val="18"/>
              </w:rPr>
              <w:t>lze námitky odmítnout</w:t>
            </w:r>
            <w:r>
              <w:rPr>
                <w:rFonts w:ascii="Segoe UI" w:hAnsi="Segoe UI" w:cs="Segoe UI"/>
                <w:bCs/>
                <w:i/>
                <w:sz w:val="18"/>
                <w:szCs w:val="18"/>
              </w:rPr>
              <w:t>.</w:t>
            </w:r>
          </w:p>
          <w:p w:rsidR="003C7C33" w:rsidRPr="00EE0A9C" w:rsidRDefault="003C7C33" w:rsidP="004A4A61">
            <w:pPr>
              <w:spacing w:before="120" w:after="120" w:line="276" w:lineRule="auto"/>
              <w:jc w:val="center"/>
              <w:rPr>
                <w:rFonts w:ascii="Segoe UI" w:hAnsi="Segoe UI" w:cs="Segoe UI"/>
                <w:bCs/>
                <w:i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i/>
                <w:sz w:val="18"/>
                <w:szCs w:val="18"/>
              </w:rPr>
              <w:t>Pokud námitky podány nebudou, tento krok bude vynechán.</w:t>
            </w:r>
          </w:p>
        </w:tc>
      </w:tr>
      <w:tr w:rsidR="00232409" w:rsidRPr="00EE0A9C" w:rsidTr="00FF1FA8">
        <w:trPr>
          <w:trHeight w:val="851"/>
          <w:jc w:val="center"/>
        </w:trPr>
        <w:tc>
          <w:tcPr>
            <w:tcW w:w="999" w:type="dxa"/>
            <w:tcBorders>
              <w:right w:val="double" w:sz="4" w:space="0" w:color="auto"/>
            </w:tcBorders>
            <w:vAlign w:val="center"/>
          </w:tcPr>
          <w:p w:rsidR="00232409" w:rsidRPr="00EE0A9C" w:rsidRDefault="00232409" w:rsidP="00FF1FA8">
            <w:pPr>
              <w:spacing w:line="360" w:lineRule="auto"/>
              <w:jc w:val="center"/>
              <w:rPr>
                <w:rFonts w:ascii="Segoe UI" w:hAnsi="Segoe UI" w:cs="Segoe UI"/>
                <w:b/>
                <w:bCs/>
                <w:caps/>
                <w:sz w:val="18"/>
                <w:szCs w:val="18"/>
              </w:rPr>
            </w:pPr>
            <w:r w:rsidRPr="00EE0A9C">
              <w:rPr>
                <w:rFonts w:ascii="Segoe UI" w:hAnsi="Segoe UI" w:cs="Segoe UI"/>
                <w:b/>
                <w:bCs/>
                <w:caps/>
                <w:sz w:val="18"/>
                <w:szCs w:val="18"/>
              </w:rPr>
              <w:lastRenderedPageBreak/>
              <w:t>5.</w:t>
            </w:r>
          </w:p>
        </w:tc>
        <w:tc>
          <w:tcPr>
            <w:tcW w:w="1843" w:type="dxa"/>
            <w:tcBorders>
              <w:left w:val="double" w:sz="4" w:space="0" w:color="auto"/>
            </w:tcBorders>
            <w:vAlign w:val="center"/>
          </w:tcPr>
          <w:p w:rsidR="00232409" w:rsidRPr="00EE0A9C" w:rsidRDefault="007458E8" w:rsidP="00FF1FA8">
            <w:pPr>
              <w:spacing w:before="120" w:after="120" w:line="276" w:lineRule="auto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Lhůta pro podání návrhu na zahájení řízení o přezkoumání úkonů zadavatele</w:t>
            </w:r>
          </w:p>
        </w:tc>
        <w:tc>
          <w:tcPr>
            <w:tcW w:w="2324" w:type="dxa"/>
            <w:vAlign w:val="center"/>
          </w:tcPr>
          <w:p w:rsidR="00232409" w:rsidRPr="00EE0A9C" w:rsidRDefault="007458E8" w:rsidP="007B09ED">
            <w:pPr>
              <w:spacing w:before="120" w:after="120" w:line="276" w:lineRule="auto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  <w:r w:rsidRPr="00EE0A9C">
              <w:rPr>
                <w:rFonts w:ascii="Segoe UI" w:hAnsi="Segoe UI" w:cs="Segoe UI"/>
                <w:bCs/>
                <w:sz w:val="18"/>
                <w:szCs w:val="18"/>
              </w:rPr>
              <w:t xml:space="preserve">Lhůta pro podání </w:t>
            </w:r>
            <w:r>
              <w:rPr>
                <w:rFonts w:ascii="Segoe UI" w:hAnsi="Segoe UI" w:cs="Segoe UI"/>
                <w:bCs/>
                <w:sz w:val="18"/>
                <w:szCs w:val="18"/>
              </w:rPr>
              <w:t>návrhu</w:t>
            </w:r>
            <w:r w:rsidR="0082465C">
              <w:rPr>
                <w:rFonts w:ascii="Segoe UI" w:hAnsi="Segoe UI" w:cs="Segoe UI"/>
                <w:bCs/>
                <w:sz w:val="18"/>
                <w:szCs w:val="18"/>
              </w:rPr>
              <w:t xml:space="preserve"> na zahájení řízení</w:t>
            </w:r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 k ÚOHS činí</w:t>
            </w:r>
            <w:r w:rsidRPr="00EE0A9C">
              <w:rPr>
                <w:rFonts w:ascii="Segoe UI" w:hAnsi="Segoe UI" w:cs="Segoe UI"/>
                <w:bCs/>
                <w:sz w:val="18"/>
                <w:szCs w:val="18"/>
              </w:rPr>
              <w:t xml:space="preserve"> </w:t>
            </w:r>
            <w:r>
              <w:rPr>
                <w:rFonts w:ascii="Segoe UI" w:hAnsi="Segoe UI" w:cs="Segoe UI"/>
                <w:bCs/>
                <w:sz w:val="18"/>
                <w:szCs w:val="18"/>
              </w:rPr>
              <w:t>1</w:t>
            </w:r>
            <w:r w:rsidRPr="00EE0A9C">
              <w:rPr>
                <w:rFonts w:ascii="Segoe UI" w:hAnsi="Segoe UI" w:cs="Segoe UI"/>
                <w:bCs/>
                <w:sz w:val="18"/>
                <w:szCs w:val="18"/>
              </w:rPr>
              <w:t>0 kalendářních dnů</w:t>
            </w:r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 od doručení rozhodnutí o</w:t>
            </w:r>
            <w:r w:rsidR="007B09ED">
              <w:rPr>
                <w:rFonts w:ascii="Segoe UI" w:hAnsi="Segoe UI" w:cs="Segoe UI"/>
                <w:bCs/>
                <w:sz w:val="18"/>
                <w:szCs w:val="18"/>
              </w:rPr>
              <w:t> </w:t>
            </w:r>
            <w:r>
              <w:rPr>
                <w:rFonts w:ascii="Segoe UI" w:hAnsi="Segoe UI" w:cs="Segoe UI"/>
                <w:bCs/>
                <w:sz w:val="18"/>
                <w:szCs w:val="18"/>
              </w:rPr>
              <w:t>odmítnutí námitek</w:t>
            </w:r>
            <w:r w:rsidRPr="00EE0A9C">
              <w:rPr>
                <w:rFonts w:ascii="Segoe UI" w:hAnsi="Segoe UI" w:cs="Segoe UI"/>
                <w:bCs/>
                <w:sz w:val="18"/>
                <w:szCs w:val="18"/>
              </w:rPr>
              <w:t>.</w:t>
            </w:r>
          </w:p>
        </w:tc>
        <w:tc>
          <w:tcPr>
            <w:tcW w:w="1559" w:type="dxa"/>
            <w:vAlign w:val="center"/>
          </w:tcPr>
          <w:p w:rsidR="00232409" w:rsidRPr="00EE0A9C" w:rsidRDefault="007458E8" w:rsidP="00FF1FA8">
            <w:pPr>
              <w:spacing w:before="120" w:after="120"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T + 58</w:t>
            </w:r>
          </w:p>
          <w:p w:rsidR="00232409" w:rsidRPr="00EE0A9C" w:rsidRDefault="00232409" w:rsidP="00FF1FA8">
            <w:pPr>
              <w:spacing w:before="120" w:after="120"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345" w:type="dxa"/>
            <w:vAlign w:val="center"/>
          </w:tcPr>
          <w:p w:rsidR="00232409" w:rsidRDefault="0082465C" w:rsidP="007458E8">
            <w:pPr>
              <w:spacing w:before="120" w:after="120" w:line="276" w:lineRule="auto"/>
              <w:jc w:val="center"/>
              <w:rPr>
                <w:rFonts w:ascii="Segoe UI" w:hAnsi="Segoe UI" w:cs="Segoe UI"/>
                <w:bCs/>
                <w:i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i/>
                <w:sz w:val="18"/>
                <w:szCs w:val="18"/>
              </w:rPr>
              <w:t>V případě, že zadavatel námitky odmítne, může stěžovatel podat návrh na zahájení řízení k ÚOHS.</w:t>
            </w:r>
          </w:p>
          <w:p w:rsidR="0082465C" w:rsidRPr="00EE0A9C" w:rsidRDefault="003C7C33" w:rsidP="003C7C33">
            <w:pPr>
              <w:spacing w:before="120" w:after="120" w:line="276" w:lineRule="auto"/>
              <w:jc w:val="center"/>
              <w:rPr>
                <w:rFonts w:ascii="Segoe UI" w:hAnsi="Segoe UI" w:cs="Segoe UI"/>
                <w:bCs/>
                <w:i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i/>
                <w:sz w:val="18"/>
                <w:szCs w:val="18"/>
              </w:rPr>
              <w:t>Pokud návrh podán nebude, tento krok bude vynechán.</w:t>
            </w:r>
          </w:p>
        </w:tc>
      </w:tr>
      <w:tr w:rsidR="00232409" w:rsidRPr="00EE0A9C" w:rsidTr="00FF1FA8">
        <w:trPr>
          <w:trHeight w:val="851"/>
          <w:jc w:val="center"/>
        </w:trPr>
        <w:tc>
          <w:tcPr>
            <w:tcW w:w="999" w:type="dxa"/>
            <w:tcBorders>
              <w:right w:val="double" w:sz="4" w:space="0" w:color="auto"/>
            </w:tcBorders>
            <w:vAlign w:val="center"/>
          </w:tcPr>
          <w:p w:rsidR="00232409" w:rsidRPr="00EE0A9C" w:rsidRDefault="00232409" w:rsidP="00FF1FA8">
            <w:pPr>
              <w:spacing w:line="360" w:lineRule="auto"/>
              <w:jc w:val="center"/>
              <w:rPr>
                <w:rFonts w:ascii="Segoe UI" w:hAnsi="Segoe UI" w:cs="Segoe UI"/>
                <w:b/>
                <w:bCs/>
                <w:caps/>
                <w:sz w:val="18"/>
                <w:szCs w:val="18"/>
              </w:rPr>
            </w:pPr>
            <w:r w:rsidRPr="00EE0A9C">
              <w:rPr>
                <w:rFonts w:ascii="Segoe UI" w:hAnsi="Segoe UI" w:cs="Segoe UI"/>
                <w:b/>
                <w:bCs/>
                <w:caps/>
                <w:sz w:val="18"/>
                <w:szCs w:val="18"/>
              </w:rPr>
              <w:t>6.</w:t>
            </w:r>
          </w:p>
        </w:tc>
        <w:tc>
          <w:tcPr>
            <w:tcW w:w="1843" w:type="dxa"/>
            <w:tcBorders>
              <w:left w:val="double" w:sz="4" w:space="0" w:color="auto"/>
            </w:tcBorders>
            <w:vAlign w:val="center"/>
          </w:tcPr>
          <w:p w:rsidR="00232409" w:rsidRPr="00EE0A9C" w:rsidRDefault="0082465C" w:rsidP="00FF1FA8">
            <w:pPr>
              <w:spacing w:before="120" w:after="120" w:line="276" w:lineRule="auto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Jednání s</w:t>
            </w:r>
            <w:r w:rsidR="000749C2">
              <w:rPr>
                <w:rFonts w:ascii="Segoe UI" w:hAnsi="Segoe UI" w:cs="Segoe UI"/>
                <w:bCs/>
                <w:sz w:val="18"/>
                <w:szCs w:val="18"/>
              </w:rPr>
              <w:t> </w:t>
            </w:r>
            <w:r>
              <w:rPr>
                <w:rFonts w:ascii="Segoe UI" w:hAnsi="Segoe UI" w:cs="Segoe UI"/>
                <w:bCs/>
                <w:sz w:val="18"/>
                <w:szCs w:val="18"/>
              </w:rPr>
              <w:t>dopravci</w:t>
            </w:r>
            <w:r w:rsidR="000749C2">
              <w:rPr>
                <w:rFonts w:ascii="Segoe UI" w:hAnsi="Segoe UI" w:cs="Segoe UI"/>
                <w:bCs/>
                <w:sz w:val="18"/>
                <w:szCs w:val="18"/>
              </w:rPr>
              <w:t>, příp. správní řízení u ÚOHS</w:t>
            </w:r>
          </w:p>
        </w:tc>
        <w:tc>
          <w:tcPr>
            <w:tcW w:w="2324" w:type="dxa"/>
            <w:vAlign w:val="center"/>
          </w:tcPr>
          <w:p w:rsidR="00232409" w:rsidRPr="00EE0A9C" w:rsidRDefault="00BD282B" w:rsidP="00FF1FA8">
            <w:pPr>
              <w:spacing w:before="120" w:after="120" w:line="276" w:lineRule="auto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Lhůta bude záležet na náročnosti jednání a rozsahu jednotlivých kroků, které budou v rámci jednání, nastavení podmínek akvizice a </w:t>
            </w:r>
            <w:proofErr w:type="spellStart"/>
            <w:r>
              <w:rPr>
                <w:rFonts w:ascii="Segoe UI" w:hAnsi="Segoe UI" w:cs="Segoe UI"/>
                <w:bCs/>
                <w:sz w:val="18"/>
                <w:szCs w:val="18"/>
              </w:rPr>
              <w:t>due</w:t>
            </w:r>
            <w:proofErr w:type="spellEnd"/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 diligence provedeny.</w:t>
            </w:r>
          </w:p>
        </w:tc>
        <w:tc>
          <w:tcPr>
            <w:tcW w:w="1559" w:type="dxa"/>
            <w:vAlign w:val="center"/>
          </w:tcPr>
          <w:p w:rsidR="00232409" w:rsidRPr="00EE0A9C" w:rsidRDefault="00232409" w:rsidP="00B73455">
            <w:pPr>
              <w:spacing w:before="120" w:after="120"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EE0A9C">
              <w:rPr>
                <w:rFonts w:ascii="Segoe UI" w:hAnsi="Segoe UI" w:cs="Segoe UI"/>
                <w:sz w:val="18"/>
                <w:szCs w:val="18"/>
              </w:rPr>
              <w:t xml:space="preserve">T + </w:t>
            </w:r>
            <w:r w:rsidR="00983D9A">
              <w:rPr>
                <w:rFonts w:ascii="Segoe UI" w:hAnsi="Segoe UI" w:cs="Segoe UI"/>
                <w:sz w:val="18"/>
                <w:szCs w:val="18"/>
              </w:rPr>
              <w:t>jednotky týdnů/měsíců</w:t>
            </w:r>
          </w:p>
        </w:tc>
        <w:tc>
          <w:tcPr>
            <w:tcW w:w="3345" w:type="dxa"/>
            <w:vAlign w:val="center"/>
          </w:tcPr>
          <w:p w:rsidR="00B26075" w:rsidRDefault="00B26075" w:rsidP="00FF1FA8">
            <w:pPr>
              <w:spacing w:before="120" w:after="120" w:line="276" w:lineRule="auto"/>
              <w:jc w:val="center"/>
              <w:rPr>
                <w:rFonts w:ascii="Segoe UI" w:hAnsi="Segoe UI" w:cs="Segoe UI"/>
                <w:bCs/>
                <w:i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Jednání o nastavení podmínek plánované akvizice, a to včetně posouzení vhodnosti a rozsahu právní, ekonomické a účetní </w:t>
            </w:r>
            <w:proofErr w:type="spellStart"/>
            <w:r>
              <w:rPr>
                <w:rFonts w:ascii="Segoe UI" w:hAnsi="Segoe UI" w:cs="Segoe UI"/>
                <w:bCs/>
                <w:i/>
                <w:sz w:val="18"/>
                <w:szCs w:val="18"/>
              </w:rPr>
              <w:t>due</w:t>
            </w:r>
            <w:proofErr w:type="spellEnd"/>
            <w:r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 diligence v jednom či ve všech dopravcích, pokud již nebylo provedeno v rámci kroku č. 3 nebo tato nebyla ukončena.</w:t>
            </w:r>
          </w:p>
          <w:p w:rsidR="0082465C" w:rsidRDefault="00670F4A" w:rsidP="00FF1FA8">
            <w:pPr>
              <w:spacing w:before="120" w:after="120" w:line="276" w:lineRule="auto"/>
              <w:jc w:val="center"/>
              <w:rPr>
                <w:rFonts w:ascii="Segoe UI" w:hAnsi="Segoe UI" w:cs="Segoe UI"/>
                <w:bCs/>
                <w:i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i/>
                <w:sz w:val="18"/>
                <w:szCs w:val="18"/>
              </w:rPr>
              <w:t>Pokud byl návrh na zahájení řízení podán včas, nelze s</w:t>
            </w:r>
            <w:r w:rsidR="0082465C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mlouvu uzavřít ve lhůtě 60 kalendářních dnů ode dne zahájení řízení o přezkoumání úkonů </w:t>
            </w:r>
            <w:r>
              <w:rPr>
                <w:rFonts w:ascii="Segoe UI" w:hAnsi="Segoe UI" w:cs="Segoe UI"/>
                <w:bCs/>
                <w:i/>
                <w:sz w:val="18"/>
                <w:szCs w:val="18"/>
              </w:rPr>
              <w:t>zadavatele</w:t>
            </w:r>
            <w:r w:rsidR="0082465C">
              <w:rPr>
                <w:rFonts w:ascii="Segoe UI" w:hAnsi="Segoe UI" w:cs="Segoe UI"/>
                <w:bCs/>
                <w:i/>
                <w:sz w:val="18"/>
                <w:szCs w:val="18"/>
              </w:rPr>
              <w:t>.</w:t>
            </w:r>
          </w:p>
          <w:p w:rsidR="00232409" w:rsidRPr="00EE0A9C" w:rsidRDefault="000D7DE9" w:rsidP="007B09ED">
            <w:pPr>
              <w:spacing w:before="120" w:after="120" w:line="276" w:lineRule="auto"/>
              <w:jc w:val="center"/>
              <w:rPr>
                <w:rFonts w:ascii="Segoe UI" w:hAnsi="Segoe UI" w:cs="Segoe UI"/>
                <w:bCs/>
                <w:i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i/>
                <w:sz w:val="18"/>
                <w:szCs w:val="18"/>
              </w:rPr>
              <w:t>Pokud by ÚOHS</w:t>
            </w:r>
            <w:r w:rsidR="007B09ED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 v rámci správního řízení</w:t>
            </w:r>
            <w:r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 dospěl k závěru, že </w:t>
            </w:r>
            <w:r w:rsidRPr="000D7DE9">
              <w:rPr>
                <w:rFonts w:ascii="Segoe UI" w:hAnsi="Segoe UI" w:cs="Segoe UI"/>
                <w:bCs/>
                <w:i/>
                <w:sz w:val="18"/>
                <w:szCs w:val="18"/>
              </w:rPr>
              <w:t>se nabytí akcií mělo podřídit režimu ZZVZ a zadat v zadávacím řízení</w:t>
            </w:r>
            <w:r>
              <w:rPr>
                <w:rFonts w:ascii="Segoe UI" w:hAnsi="Segoe UI" w:cs="Segoe UI"/>
                <w:bCs/>
                <w:i/>
                <w:sz w:val="18"/>
                <w:szCs w:val="18"/>
              </w:rPr>
              <w:t>,</w:t>
            </w:r>
            <w:r w:rsidRPr="000D7DE9">
              <w:rPr>
                <w:rFonts w:ascii="Segoe UI" w:eastAsiaTheme="minorHAnsi" w:hAnsi="Segoe UI" w:cs="Segoe U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nemůže </w:t>
            </w:r>
            <w:r w:rsidRPr="000D7DE9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ÚOHS </w:t>
            </w:r>
            <w:r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s ohledem na učiněné dobrovolné oznámení ex ante </w:t>
            </w:r>
            <w:r w:rsidRPr="000D7DE9">
              <w:rPr>
                <w:rFonts w:ascii="Segoe UI" w:hAnsi="Segoe UI" w:cs="Segoe UI"/>
                <w:bCs/>
                <w:i/>
                <w:sz w:val="18"/>
                <w:szCs w:val="18"/>
              </w:rPr>
              <w:t>dle § 254 odst. 1 písm. a) ZZVZ uložit zákaz plnění smlouvy o nabytí akcií</w:t>
            </w:r>
            <w:r>
              <w:rPr>
                <w:rFonts w:ascii="Segoe UI" w:hAnsi="Segoe UI" w:cs="Segoe UI"/>
                <w:bCs/>
                <w:i/>
                <w:sz w:val="18"/>
                <w:szCs w:val="18"/>
              </w:rPr>
              <w:t>.</w:t>
            </w:r>
          </w:p>
        </w:tc>
      </w:tr>
      <w:tr w:rsidR="00232409" w:rsidRPr="00EE0A9C" w:rsidTr="00FF1FA8">
        <w:trPr>
          <w:trHeight w:val="851"/>
          <w:jc w:val="center"/>
        </w:trPr>
        <w:tc>
          <w:tcPr>
            <w:tcW w:w="999" w:type="dxa"/>
            <w:tcBorders>
              <w:right w:val="double" w:sz="4" w:space="0" w:color="auto"/>
            </w:tcBorders>
            <w:vAlign w:val="center"/>
          </w:tcPr>
          <w:p w:rsidR="00232409" w:rsidRPr="00EE0A9C" w:rsidRDefault="00232409" w:rsidP="00FF1FA8">
            <w:pPr>
              <w:spacing w:line="360" w:lineRule="auto"/>
              <w:jc w:val="center"/>
              <w:rPr>
                <w:rFonts w:ascii="Segoe UI" w:hAnsi="Segoe UI" w:cs="Segoe UI"/>
                <w:b/>
                <w:bCs/>
                <w:caps/>
                <w:sz w:val="18"/>
                <w:szCs w:val="18"/>
              </w:rPr>
            </w:pPr>
            <w:r w:rsidRPr="00EE0A9C">
              <w:rPr>
                <w:rFonts w:ascii="Segoe UI" w:hAnsi="Segoe UI" w:cs="Segoe UI"/>
                <w:b/>
                <w:bCs/>
                <w:caps/>
                <w:sz w:val="18"/>
                <w:szCs w:val="18"/>
              </w:rPr>
              <w:t>7.</w:t>
            </w:r>
          </w:p>
        </w:tc>
        <w:tc>
          <w:tcPr>
            <w:tcW w:w="1843" w:type="dxa"/>
            <w:tcBorders>
              <w:left w:val="double" w:sz="4" w:space="0" w:color="auto"/>
            </w:tcBorders>
            <w:vAlign w:val="center"/>
          </w:tcPr>
          <w:p w:rsidR="00232409" w:rsidRPr="00EE0A9C" w:rsidRDefault="00B73455" w:rsidP="00FF1FA8">
            <w:pPr>
              <w:spacing w:before="120" w:after="120" w:line="276" w:lineRule="auto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Uzavření smlouvy s vybraným dopravcem</w:t>
            </w:r>
          </w:p>
        </w:tc>
        <w:tc>
          <w:tcPr>
            <w:tcW w:w="2324" w:type="dxa"/>
            <w:vAlign w:val="center"/>
          </w:tcPr>
          <w:p w:rsidR="00232409" w:rsidRPr="00EE0A9C" w:rsidRDefault="00B73455" w:rsidP="00FF1FA8">
            <w:pPr>
              <w:spacing w:before="120" w:after="120" w:line="276" w:lineRule="auto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Po ukončení jednání.</w:t>
            </w:r>
          </w:p>
        </w:tc>
        <w:tc>
          <w:tcPr>
            <w:tcW w:w="1559" w:type="dxa"/>
            <w:vAlign w:val="center"/>
          </w:tcPr>
          <w:p w:rsidR="00232409" w:rsidRPr="00EE0A9C" w:rsidRDefault="00B73455" w:rsidP="00FF1FA8">
            <w:pPr>
              <w:spacing w:before="120" w:after="120"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T + </w:t>
            </w:r>
            <w:r w:rsidR="00E74572">
              <w:rPr>
                <w:rFonts w:ascii="Segoe UI" w:hAnsi="Segoe UI" w:cs="Segoe UI"/>
                <w:sz w:val="18"/>
                <w:szCs w:val="18"/>
              </w:rPr>
              <w:t>jednotky týdnů/měsíců</w:t>
            </w:r>
          </w:p>
          <w:p w:rsidR="00232409" w:rsidRPr="00EE0A9C" w:rsidRDefault="00232409" w:rsidP="00FF1FA8">
            <w:pPr>
              <w:spacing w:before="120" w:after="120"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345" w:type="dxa"/>
            <w:vAlign w:val="center"/>
          </w:tcPr>
          <w:p w:rsidR="00232409" w:rsidRPr="00EE0A9C" w:rsidRDefault="00B73455" w:rsidP="005A2397">
            <w:pPr>
              <w:spacing w:before="120" w:after="120" w:line="276" w:lineRule="auto"/>
              <w:jc w:val="center"/>
              <w:rPr>
                <w:rFonts w:ascii="Segoe UI" w:hAnsi="Segoe UI" w:cs="Segoe UI"/>
                <w:bCs/>
                <w:i/>
                <w:sz w:val="18"/>
                <w:szCs w:val="18"/>
              </w:rPr>
            </w:pPr>
            <w:r w:rsidRPr="00EE0A9C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O uzavření smlouvy a jejích </w:t>
            </w:r>
            <w:r w:rsidR="005A2397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příp. </w:t>
            </w:r>
            <w:r w:rsidRPr="00EE0A9C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změnách rozhoduje </w:t>
            </w:r>
            <w:r w:rsidR="00C64D17">
              <w:rPr>
                <w:rFonts w:ascii="Segoe UI" w:hAnsi="Segoe UI" w:cs="Segoe UI"/>
                <w:bCs/>
                <w:i/>
                <w:sz w:val="18"/>
                <w:szCs w:val="18"/>
              </w:rPr>
              <w:t>Rada Libereckého kraje.</w:t>
            </w:r>
          </w:p>
        </w:tc>
      </w:tr>
    </w:tbl>
    <w:p w:rsidR="001B2C8B" w:rsidRDefault="001B2C8B"/>
    <w:sectPr w:rsidR="001B2C8B" w:rsidSect="001B2C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9E35B1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>
    <w:nsid w:val="51DA6A74"/>
    <w:multiLevelType w:val="hybridMultilevel"/>
    <w:tmpl w:val="398612E8"/>
    <w:lvl w:ilvl="0" w:tplc="8D4AE030">
      <w:start w:val="1"/>
      <w:numFmt w:val="bullet"/>
      <w:lvlText w:val=""/>
      <w:lvlJc w:val="left"/>
      <w:pPr>
        <w:ind w:left="1038" w:hanging="360"/>
      </w:pPr>
      <w:rPr>
        <w:rFonts w:ascii="Wingdings" w:hAnsi="Wingdings" w:hint="default"/>
        <w:sz w:val="14"/>
        <w:szCs w:val="14"/>
      </w:rPr>
    </w:lvl>
    <w:lvl w:ilvl="1" w:tplc="040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32409"/>
    <w:rsid w:val="000523FF"/>
    <w:rsid w:val="000749C2"/>
    <w:rsid w:val="000D7DE9"/>
    <w:rsid w:val="001B2C8B"/>
    <w:rsid w:val="001B6383"/>
    <w:rsid w:val="001F4688"/>
    <w:rsid w:val="00232409"/>
    <w:rsid w:val="003C7C33"/>
    <w:rsid w:val="004A4A61"/>
    <w:rsid w:val="005334BA"/>
    <w:rsid w:val="005A2397"/>
    <w:rsid w:val="005E1822"/>
    <w:rsid w:val="00605217"/>
    <w:rsid w:val="00615FA9"/>
    <w:rsid w:val="00651F6A"/>
    <w:rsid w:val="00670F4A"/>
    <w:rsid w:val="006916C7"/>
    <w:rsid w:val="007458E8"/>
    <w:rsid w:val="00770DF3"/>
    <w:rsid w:val="007B09ED"/>
    <w:rsid w:val="0082465C"/>
    <w:rsid w:val="008A4294"/>
    <w:rsid w:val="008E1E16"/>
    <w:rsid w:val="00983D9A"/>
    <w:rsid w:val="009977F8"/>
    <w:rsid w:val="00B26075"/>
    <w:rsid w:val="00B52A20"/>
    <w:rsid w:val="00B60D65"/>
    <w:rsid w:val="00B73455"/>
    <w:rsid w:val="00BA4341"/>
    <w:rsid w:val="00BD282B"/>
    <w:rsid w:val="00C64D17"/>
    <w:rsid w:val="00D66FD8"/>
    <w:rsid w:val="00E170E5"/>
    <w:rsid w:val="00E74572"/>
    <w:rsid w:val="00EC6F41"/>
    <w:rsid w:val="00EE223A"/>
    <w:rsid w:val="00EF79DB"/>
    <w:rsid w:val="00F04270"/>
    <w:rsid w:val="00F32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2409"/>
    <w:pPr>
      <w:spacing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32409"/>
    <w:pPr>
      <w:keepNext/>
      <w:numPr>
        <w:numId w:val="2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32409"/>
    <w:pPr>
      <w:keepNext/>
      <w:numPr>
        <w:ilvl w:val="2"/>
        <w:numId w:val="2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32409"/>
    <w:pPr>
      <w:keepNext/>
      <w:keepLines/>
      <w:numPr>
        <w:ilvl w:val="3"/>
        <w:numId w:val="2"/>
      </w:numPr>
      <w:spacing w:before="40" w:line="259" w:lineRule="auto"/>
      <w:jc w:val="left"/>
      <w:outlineLvl w:val="3"/>
    </w:pPr>
    <w:rPr>
      <w:rFonts w:ascii="Cambria" w:hAnsi="Cambria"/>
      <w:i/>
      <w:iCs/>
      <w:color w:val="365F91"/>
      <w:sz w:val="20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32409"/>
    <w:pPr>
      <w:keepNext/>
      <w:keepLines/>
      <w:numPr>
        <w:ilvl w:val="4"/>
        <w:numId w:val="2"/>
      </w:numPr>
      <w:spacing w:before="40" w:line="259" w:lineRule="auto"/>
      <w:jc w:val="left"/>
      <w:outlineLvl w:val="4"/>
    </w:pPr>
    <w:rPr>
      <w:rFonts w:ascii="Cambria" w:hAnsi="Cambria"/>
      <w:color w:val="365F91"/>
      <w:sz w:val="20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32409"/>
    <w:pPr>
      <w:keepNext/>
      <w:keepLines/>
      <w:numPr>
        <w:ilvl w:val="5"/>
        <w:numId w:val="2"/>
      </w:numPr>
      <w:spacing w:before="40" w:line="259" w:lineRule="auto"/>
      <w:jc w:val="left"/>
      <w:outlineLvl w:val="5"/>
    </w:pPr>
    <w:rPr>
      <w:rFonts w:ascii="Cambria" w:hAnsi="Cambria"/>
      <w:color w:val="243F60"/>
      <w:sz w:val="20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32409"/>
    <w:pPr>
      <w:keepNext/>
      <w:keepLines/>
      <w:numPr>
        <w:ilvl w:val="6"/>
        <w:numId w:val="2"/>
      </w:numPr>
      <w:spacing w:before="40" w:line="259" w:lineRule="auto"/>
      <w:jc w:val="left"/>
      <w:outlineLvl w:val="6"/>
    </w:pPr>
    <w:rPr>
      <w:rFonts w:ascii="Cambria" w:hAnsi="Cambria"/>
      <w:i/>
      <w:iCs/>
      <w:color w:val="243F60"/>
      <w:sz w:val="20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32409"/>
    <w:pPr>
      <w:keepNext/>
      <w:keepLines/>
      <w:numPr>
        <w:ilvl w:val="7"/>
        <w:numId w:val="2"/>
      </w:numPr>
      <w:spacing w:before="40" w:line="259" w:lineRule="auto"/>
      <w:jc w:val="left"/>
      <w:outlineLvl w:val="7"/>
    </w:pPr>
    <w:rPr>
      <w:rFonts w:ascii="Cambria" w:hAnsi="Cambria"/>
      <w:color w:val="272727"/>
      <w:sz w:val="21"/>
      <w:szCs w:val="21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32409"/>
    <w:pPr>
      <w:keepNext/>
      <w:keepLines/>
      <w:numPr>
        <w:ilvl w:val="8"/>
        <w:numId w:val="2"/>
      </w:numPr>
      <w:spacing w:before="40" w:line="259" w:lineRule="auto"/>
      <w:jc w:val="left"/>
      <w:outlineLvl w:val="8"/>
    </w:pPr>
    <w:rPr>
      <w:rFonts w:ascii="Cambria" w:hAnsi="Cambria"/>
      <w:i/>
      <w:iCs/>
      <w:color w:val="272727"/>
      <w:sz w:val="21"/>
      <w:szCs w:val="21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3240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23240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32409"/>
    <w:rPr>
      <w:rFonts w:ascii="Cambria" w:eastAsia="Times New Roman" w:hAnsi="Cambria" w:cs="Times New Roman"/>
      <w:i/>
      <w:iCs/>
      <w:color w:val="365F91"/>
      <w:sz w:val="20"/>
      <w:szCs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32409"/>
    <w:rPr>
      <w:rFonts w:ascii="Cambria" w:eastAsia="Times New Roman" w:hAnsi="Cambria" w:cs="Times New Roman"/>
      <w:color w:val="365F91"/>
      <w:sz w:val="20"/>
      <w:szCs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32409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32409"/>
    <w:rPr>
      <w:rFonts w:ascii="Cambria" w:eastAsia="Times New Roman" w:hAnsi="Cambria" w:cs="Times New Roman"/>
      <w:i/>
      <w:iCs/>
      <w:color w:val="243F60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32409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32409"/>
    <w:rPr>
      <w:rFonts w:ascii="Cambria" w:eastAsia="Times New Roman" w:hAnsi="Cambria" w:cs="Times New Roman"/>
      <w:i/>
      <w:iCs/>
      <w:color w:val="272727"/>
      <w:sz w:val="21"/>
      <w:szCs w:val="21"/>
    </w:rPr>
  </w:style>
  <w:style w:type="paragraph" w:styleId="Odstavecseseznamem">
    <w:name w:val="List Paragraph"/>
    <w:basedOn w:val="Normln"/>
    <w:uiPriority w:val="34"/>
    <w:qFormat/>
    <w:rsid w:val="00232409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EE223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2409"/>
    <w:pPr>
      <w:spacing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32409"/>
    <w:pPr>
      <w:keepNext/>
      <w:numPr>
        <w:numId w:val="2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32409"/>
    <w:pPr>
      <w:keepNext/>
      <w:numPr>
        <w:ilvl w:val="2"/>
        <w:numId w:val="2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32409"/>
    <w:pPr>
      <w:keepNext/>
      <w:keepLines/>
      <w:numPr>
        <w:ilvl w:val="3"/>
        <w:numId w:val="2"/>
      </w:numPr>
      <w:spacing w:before="40" w:line="259" w:lineRule="auto"/>
      <w:jc w:val="left"/>
      <w:outlineLvl w:val="3"/>
    </w:pPr>
    <w:rPr>
      <w:rFonts w:ascii="Cambria" w:hAnsi="Cambria"/>
      <w:i/>
      <w:iCs/>
      <w:color w:val="365F91"/>
      <w:sz w:val="20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32409"/>
    <w:pPr>
      <w:keepNext/>
      <w:keepLines/>
      <w:numPr>
        <w:ilvl w:val="4"/>
        <w:numId w:val="2"/>
      </w:numPr>
      <w:spacing w:before="40" w:line="259" w:lineRule="auto"/>
      <w:jc w:val="left"/>
      <w:outlineLvl w:val="4"/>
    </w:pPr>
    <w:rPr>
      <w:rFonts w:ascii="Cambria" w:hAnsi="Cambria"/>
      <w:color w:val="365F91"/>
      <w:sz w:val="20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32409"/>
    <w:pPr>
      <w:keepNext/>
      <w:keepLines/>
      <w:numPr>
        <w:ilvl w:val="5"/>
        <w:numId w:val="2"/>
      </w:numPr>
      <w:spacing w:before="40" w:line="259" w:lineRule="auto"/>
      <w:jc w:val="left"/>
      <w:outlineLvl w:val="5"/>
    </w:pPr>
    <w:rPr>
      <w:rFonts w:ascii="Cambria" w:hAnsi="Cambria"/>
      <w:color w:val="243F60"/>
      <w:sz w:val="20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32409"/>
    <w:pPr>
      <w:keepNext/>
      <w:keepLines/>
      <w:numPr>
        <w:ilvl w:val="6"/>
        <w:numId w:val="2"/>
      </w:numPr>
      <w:spacing w:before="40" w:line="259" w:lineRule="auto"/>
      <w:jc w:val="left"/>
      <w:outlineLvl w:val="6"/>
    </w:pPr>
    <w:rPr>
      <w:rFonts w:ascii="Cambria" w:hAnsi="Cambria"/>
      <w:i/>
      <w:iCs/>
      <w:color w:val="243F60"/>
      <w:sz w:val="20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32409"/>
    <w:pPr>
      <w:keepNext/>
      <w:keepLines/>
      <w:numPr>
        <w:ilvl w:val="7"/>
        <w:numId w:val="2"/>
      </w:numPr>
      <w:spacing w:before="40" w:line="259" w:lineRule="auto"/>
      <w:jc w:val="left"/>
      <w:outlineLvl w:val="7"/>
    </w:pPr>
    <w:rPr>
      <w:rFonts w:ascii="Cambria" w:hAnsi="Cambria"/>
      <w:color w:val="272727"/>
      <w:sz w:val="21"/>
      <w:szCs w:val="21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32409"/>
    <w:pPr>
      <w:keepNext/>
      <w:keepLines/>
      <w:numPr>
        <w:ilvl w:val="8"/>
        <w:numId w:val="2"/>
      </w:numPr>
      <w:spacing w:before="40" w:line="259" w:lineRule="auto"/>
      <w:jc w:val="left"/>
      <w:outlineLvl w:val="8"/>
    </w:pPr>
    <w:rPr>
      <w:rFonts w:ascii="Cambria" w:hAnsi="Cambria"/>
      <w:i/>
      <w:iCs/>
      <w:color w:val="272727"/>
      <w:sz w:val="21"/>
      <w:szCs w:val="21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3240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23240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32409"/>
    <w:rPr>
      <w:rFonts w:ascii="Cambria" w:eastAsia="Times New Roman" w:hAnsi="Cambria" w:cs="Times New Roman"/>
      <w:i/>
      <w:iCs/>
      <w:color w:val="365F91"/>
      <w:sz w:val="20"/>
      <w:szCs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32409"/>
    <w:rPr>
      <w:rFonts w:ascii="Cambria" w:eastAsia="Times New Roman" w:hAnsi="Cambria" w:cs="Times New Roman"/>
      <w:color w:val="365F91"/>
      <w:sz w:val="20"/>
      <w:szCs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32409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32409"/>
    <w:rPr>
      <w:rFonts w:ascii="Cambria" w:eastAsia="Times New Roman" w:hAnsi="Cambria" w:cs="Times New Roman"/>
      <w:i/>
      <w:iCs/>
      <w:color w:val="243F60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32409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32409"/>
    <w:rPr>
      <w:rFonts w:ascii="Cambria" w:eastAsia="Times New Roman" w:hAnsi="Cambria" w:cs="Times New Roman"/>
      <w:i/>
      <w:iCs/>
      <w:color w:val="272727"/>
      <w:sz w:val="21"/>
      <w:szCs w:val="21"/>
    </w:rPr>
  </w:style>
  <w:style w:type="paragraph" w:styleId="Odstavecseseznamem">
    <w:name w:val="List Paragraph"/>
    <w:basedOn w:val="Normln"/>
    <w:uiPriority w:val="34"/>
    <w:qFormat/>
    <w:rsid w:val="00232409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EE223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512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Machálková</dc:creator>
  <cp:lastModifiedBy>Michaela Machálková</cp:lastModifiedBy>
  <cp:revision>4</cp:revision>
  <dcterms:created xsi:type="dcterms:W3CDTF">2017-06-19T14:15:00Z</dcterms:created>
  <dcterms:modified xsi:type="dcterms:W3CDTF">2017-06-19T14:28:00Z</dcterms:modified>
</cp:coreProperties>
</file>