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03C98">
        <w:rPr>
          <w:b/>
          <w:smallCaps/>
          <w:sz w:val="32"/>
          <w:szCs w:val="32"/>
        </w:rPr>
        <w:t>dotace</w:t>
      </w:r>
      <w:r w:rsidR="00CC561C">
        <w:rPr>
          <w:b/>
          <w:smallCaps/>
          <w:sz w:val="32"/>
          <w:szCs w:val="32"/>
        </w:rPr>
        <w:t xml:space="preserve"> </w:t>
      </w:r>
      <w:proofErr w:type="gramStart"/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  <w:proofErr w:type="gramEnd"/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OLP/</w:t>
      </w:r>
      <w:r w:rsidR="00D9569D">
        <w:rPr>
          <w:b/>
          <w:sz w:val="28"/>
          <w:szCs w:val="28"/>
        </w:rPr>
        <w:t>818</w:t>
      </w:r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D9569D">
        <w:rPr>
          <w:b/>
          <w:sz w:val="28"/>
          <w:szCs w:val="28"/>
        </w:rPr>
        <w:t>7</w:t>
      </w:r>
    </w:p>
    <w:p w:rsidR="00D9569D" w:rsidRDefault="00D9569D" w:rsidP="0084455D">
      <w:pPr>
        <w:spacing w:before="60"/>
        <w:jc w:val="center"/>
      </w:pP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5242A3">
        <w:t>Zastupitelstvem</w:t>
      </w:r>
      <w:r w:rsidRPr="0084455D">
        <w:t xml:space="preserve"> Libereckého kraje </w:t>
      </w:r>
      <w:r w:rsidRPr="00A121FA">
        <w:t xml:space="preserve">dne </w:t>
      </w:r>
      <w:r w:rsidR="00D9569D">
        <w:t>2</w:t>
      </w:r>
      <w:r w:rsidR="00056240">
        <w:t>9</w:t>
      </w:r>
      <w:r w:rsidR="00B03C98">
        <w:t>.</w:t>
      </w:r>
      <w:r w:rsidR="00D45669">
        <w:t xml:space="preserve"> </w:t>
      </w:r>
      <w:r w:rsidR="00056240">
        <w:t>8</w:t>
      </w:r>
      <w:r w:rsidR="00B03C98">
        <w:t>.</w:t>
      </w:r>
      <w:r w:rsidR="00D45669">
        <w:t xml:space="preserve"> </w:t>
      </w:r>
      <w:r w:rsidR="00B03C98">
        <w:t>201</w:t>
      </w:r>
      <w:r w:rsidR="00D9569D">
        <w:t>7</w:t>
      </w:r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D9569D">
        <w:t>7</w:t>
      </w:r>
      <w:r w:rsidRPr="00A121FA">
        <w:t>/</w:t>
      </w:r>
      <w:r w:rsidR="005242A3">
        <w:t>Z</w:t>
      </w:r>
      <w:r w:rsidRPr="00A121FA">
        <w:t>K</w:t>
      </w: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D9569D">
        <w:t>Pavlem Svobodou</w:t>
      </w:r>
      <w:r w:rsidR="009D5251">
        <w:t>, náměstk</w:t>
      </w:r>
      <w:r w:rsidR="00D9569D">
        <w:t>em</w:t>
      </w:r>
      <w:r w:rsidR="009D5251">
        <w:t xml:space="preserve"> hejtmana</w:t>
      </w:r>
      <w:r w:rsidR="007632F1">
        <w:t>, řízení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Pr="00B03C98" w:rsidRDefault="00EB0524" w:rsidP="00B15C44">
      <w:pPr>
        <w:rPr>
          <w:color w:val="FF0000"/>
        </w:rPr>
      </w:pPr>
      <w:r>
        <w:t>číslo účtu</w:t>
      </w:r>
      <w:r>
        <w:tab/>
      </w:r>
      <w:r>
        <w:tab/>
        <w:t xml:space="preserve">: </w:t>
      </w:r>
      <w:r w:rsidR="00044CD1">
        <w:t>19-</w:t>
      </w:r>
      <w:r w:rsidR="00F26709">
        <w:t>7964200287</w:t>
      </w:r>
      <w:r w:rsidR="00044CD1">
        <w:t>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D379A">
      <w:pPr>
        <w:spacing w:before="240"/>
      </w:pPr>
      <w:r>
        <w:t>a</w:t>
      </w:r>
    </w:p>
    <w:p w:rsidR="00B03C98" w:rsidRPr="00971DB8" w:rsidRDefault="00A0337F" w:rsidP="00B03C98">
      <w:pPr>
        <w:spacing w:before="120"/>
        <w:rPr>
          <w:b/>
        </w:rPr>
      </w:pPr>
      <w:r>
        <w:rPr>
          <w:b/>
        </w:rPr>
        <w:t>Tyfloservis, o.p.s.</w:t>
      </w:r>
    </w:p>
    <w:p w:rsidR="009F7271" w:rsidRDefault="009F7271" w:rsidP="009F7271">
      <w:r w:rsidRPr="00927DF6">
        <w:t>se sídlem</w:t>
      </w:r>
      <w:r>
        <w:tab/>
      </w:r>
      <w:r>
        <w:tab/>
      </w:r>
      <w:r>
        <w:tab/>
        <w:t xml:space="preserve">: </w:t>
      </w:r>
      <w:r w:rsidR="00A0337F">
        <w:t>Krakovská 1695/21, 110 00 Praha – Nové Město</w:t>
      </w:r>
      <w:r>
        <w:t xml:space="preserve"> </w:t>
      </w:r>
    </w:p>
    <w:p w:rsidR="00AB39A1" w:rsidRDefault="009F7271" w:rsidP="009F7271">
      <w:r w:rsidRPr="00EB44EF">
        <w:t>zastoupena</w:t>
      </w:r>
      <w:r>
        <w:tab/>
      </w:r>
      <w:r>
        <w:tab/>
      </w:r>
      <w:r>
        <w:tab/>
        <w:t xml:space="preserve">: </w:t>
      </w:r>
      <w:r w:rsidR="00A0337F">
        <w:t xml:space="preserve">PhDr. Josefem Cerhou, ředitelem, na základě plné moci </w:t>
      </w:r>
    </w:p>
    <w:p w:rsidR="00146139" w:rsidRDefault="00AB39A1" w:rsidP="009F7271">
      <w:r>
        <w:tab/>
      </w:r>
      <w:r>
        <w:tab/>
      </w:r>
      <w:r>
        <w:tab/>
      </w:r>
      <w:r>
        <w:tab/>
        <w:t xml:space="preserve">  </w:t>
      </w:r>
      <w:r w:rsidR="00A0337F">
        <w:t xml:space="preserve">Bc. Jitkou Fajmonovou, vedoucí krajského ambulantního </w:t>
      </w:r>
      <w:r w:rsidR="00146139">
        <w:t xml:space="preserve">   </w:t>
      </w:r>
    </w:p>
    <w:p w:rsidR="009F7271" w:rsidRDefault="00146139" w:rsidP="009F7271">
      <w:r>
        <w:t xml:space="preserve">                                                  </w:t>
      </w:r>
      <w:r w:rsidR="00A0337F">
        <w:t>střediska</w:t>
      </w:r>
    </w:p>
    <w:p w:rsidR="009F7271" w:rsidRDefault="009F7271" w:rsidP="009F7271">
      <w:r w:rsidRPr="00927DF6">
        <w:t>IČ</w:t>
      </w:r>
      <w:r>
        <w:tab/>
      </w:r>
      <w:r>
        <w:tab/>
      </w:r>
      <w:r>
        <w:tab/>
      </w:r>
      <w:r>
        <w:tab/>
        <w:t xml:space="preserve">: </w:t>
      </w:r>
      <w:r w:rsidR="00A0337F">
        <w:t>26200481</w:t>
      </w:r>
    </w:p>
    <w:p w:rsidR="009F7271" w:rsidRDefault="009F7271" w:rsidP="009F7271">
      <w:r>
        <w:t>DIČ</w:t>
      </w:r>
      <w:r>
        <w:tab/>
      </w:r>
      <w:r>
        <w:tab/>
      </w:r>
      <w:r>
        <w:tab/>
      </w:r>
      <w:r>
        <w:tab/>
        <w:t>: CZ</w:t>
      </w:r>
      <w:r w:rsidR="00A0337F">
        <w:t>26200481</w:t>
      </w:r>
    </w:p>
    <w:p w:rsidR="009F7271" w:rsidRDefault="009F7271" w:rsidP="009F7271">
      <w:r>
        <w:t>bankovní spojení</w:t>
      </w:r>
      <w:r>
        <w:tab/>
      </w:r>
      <w:r>
        <w:tab/>
        <w:t xml:space="preserve">: </w:t>
      </w:r>
      <w:r w:rsidRPr="00995C8E">
        <w:t>Československá obchodní banka</w:t>
      </w:r>
      <w:r w:rsidR="00A0337F">
        <w:t>,</w:t>
      </w:r>
      <w:r w:rsidRPr="00995C8E">
        <w:t xml:space="preserve"> a.</w:t>
      </w:r>
      <w:r w:rsidR="00A0337F">
        <w:t xml:space="preserve"> s.</w:t>
      </w:r>
    </w:p>
    <w:p w:rsidR="009F7271" w:rsidRDefault="009F7271" w:rsidP="009F7271">
      <w:r>
        <w:t>číslo účtu</w:t>
      </w:r>
      <w:r>
        <w:tab/>
      </w:r>
      <w:r>
        <w:tab/>
      </w:r>
      <w:r>
        <w:tab/>
        <w:t xml:space="preserve">: </w:t>
      </w:r>
      <w:r w:rsidR="00892F9C">
        <w:t>205530523</w:t>
      </w:r>
      <w:r w:rsidRPr="00995C8E">
        <w:t>/0300</w:t>
      </w:r>
    </w:p>
    <w:p w:rsidR="009F7271" w:rsidRDefault="009F7271" w:rsidP="009F7271">
      <w:r>
        <w:t>(dále jen „</w:t>
      </w:r>
      <w:r w:rsidRPr="00ED0997">
        <w:rPr>
          <w:b/>
        </w:rPr>
        <w:t>příjemce</w:t>
      </w:r>
      <w:r>
        <w:t>“)</w:t>
      </w:r>
    </w:p>
    <w:p w:rsidR="009F7271" w:rsidRDefault="009F7271" w:rsidP="009F7271">
      <w:r>
        <w:t>na straně druhé</w:t>
      </w:r>
    </w:p>
    <w:p w:rsidR="00B03C98" w:rsidRDefault="009F7271" w:rsidP="009F7271">
      <w:r>
        <w:t xml:space="preserve"> </w:t>
      </w:r>
    </w:p>
    <w:p w:rsidR="00ED0997" w:rsidRDefault="00B03C98" w:rsidP="00B03C98">
      <w:r>
        <w:t xml:space="preserve"> </w:t>
      </w: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Pr="00A2183F">
        <w:t xml:space="preserve"> </w:t>
      </w:r>
      <w:r w:rsidR="0084455D" w:rsidRPr="00EB0524">
        <w:t>a</w:t>
      </w:r>
      <w:r w:rsidR="002347A8">
        <w:t xml:space="preserve"> </w:t>
      </w:r>
      <w:r w:rsidR="002347A8" w:rsidRPr="00F43EDB">
        <w:t>zákona č. 250/2000 Sb., o rozpočtových pravidlech územních rozpočtů, ve znění pozdějších předpisů</w:t>
      </w:r>
      <w:r w:rsidR="009F7271">
        <w:t>, zákona č. 108/2006 Sb., o sociálních službách, ve znění pozdějších předpisů</w:t>
      </w:r>
      <w:r w:rsidR="002347A8" w:rsidRPr="00F43EDB">
        <w:t xml:space="preserve">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>smlouvu o poskytnutí</w:t>
      </w:r>
      <w:r w:rsidR="009233EF">
        <w:rPr>
          <w:b/>
        </w:rPr>
        <w:t xml:space="preserve"> neinvestiční</w:t>
      </w:r>
      <w:r w:rsidR="00ED0997" w:rsidRPr="00ED0997">
        <w:rPr>
          <w:b/>
        </w:rPr>
        <w:t xml:space="preserve"> </w:t>
      </w:r>
      <w:r w:rsidR="00024C3C" w:rsidRPr="00B03C98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8304A3" w:rsidRDefault="008304A3" w:rsidP="00B15C44">
      <w:pPr>
        <w:jc w:val="center"/>
        <w:rPr>
          <w:b/>
          <w:sz w:val="22"/>
          <w:szCs w:val="22"/>
        </w:rPr>
      </w:pP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250019" w:rsidRPr="00E44C7C" w:rsidRDefault="00250019" w:rsidP="00250019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color w:val="808080" w:themeColor="background1" w:themeShade="80"/>
        </w:rPr>
      </w:pPr>
      <w:r w:rsidRPr="00E039FF">
        <w:t xml:space="preserve">Příjemce byl </w:t>
      </w:r>
      <w:r w:rsidRPr="00F9127E">
        <w:t>pověřen výkonem veřejné služby v obecném hospodářském zájmu a vzal na sebe závazek poskytovat tuto službu na základě Pověření Ministerstva práce a sociálních věcí k zajištění dostupnosti poskytování sociálních služeb zařazením mezi veřejně podporované sociální služby s celostátní a nadregionální působností na rok 2017 a to za podmínek uvedených v tomto Pověření.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>i</w:t>
      </w:r>
      <w:r w:rsidR="00D45669">
        <w:t xml:space="preserve"> </w:t>
      </w:r>
      <w:r w:rsidR="0092167F" w:rsidRPr="00D45669">
        <w:t>dotaci</w:t>
      </w:r>
      <w:r w:rsidR="00D45669">
        <w:t xml:space="preserve">, </w:t>
      </w:r>
      <w:r w:rsidR="00F7062A" w:rsidRPr="00D45669">
        <w:t xml:space="preserve">která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C01950">
        <w:rPr>
          <w:color w:val="000000"/>
        </w:rPr>
        <w:br/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 w:rsidR="000A1E64">
        <w:t>, odst. 3.</w:t>
      </w:r>
      <w:r w:rsidR="00BC6B8A" w:rsidRPr="0082316F">
        <w:t xml:space="preserve"> 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2E627F" w:rsidRPr="0082316F">
        <w:t xml:space="preserve">veřejné </w:t>
      </w:r>
      <w:r w:rsidRPr="0082316F">
        <w:t>služby</w:t>
      </w:r>
      <w:r w:rsidR="0061433E" w:rsidRPr="0082316F">
        <w:t xml:space="preserve"> v souladu s</w:t>
      </w:r>
      <w:r w:rsidR="006C7D3C">
        <w:t> </w:t>
      </w:r>
      <w:r w:rsidR="0061433E" w:rsidRPr="0082316F">
        <w:t>Pověřením</w:t>
      </w:r>
      <w:r w:rsidR="006C7D3C">
        <w:t xml:space="preserve"> k poskytování služeb v obecném hospodářském zájmu</w:t>
      </w:r>
      <w:r w:rsidR="00043E0B">
        <w:t xml:space="preserve"> 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D45669" w:rsidRDefault="006C7D3C" w:rsidP="00D456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D45669">
        <w:t xml:space="preserve"> Dotace</w:t>
      </w:r>
      <w:r w:rsidR="00707158">
        <w:t xml:space="preserve"> bude výhradně použit</w:t>
      </w:r>
      <w:r w:rsidR="00F7062A">
        <w:t>a</w:t>
      </w:r>
      <w:r w:rsidR="00707158">
        <w:t xml:space="preserve"> na druh sociální služby</w:t>
      </w:r>
      <w:r w:rsidR="006075DC">
        <w:t xml:space="preserve"> a rozsah služby, který definuje</w:t>
      </w:r>
      <w:r w:rsidR="00250019">
        <w:t xml:space="preserve"> </w:t>
      </w:r>
      <w:r w:rsidR="006075DC">
        <w:t>Pověření a Akční plán</w:t>
      </w:r>
      <w:r w:rsidR="008B3F6C">
        <w:t xml:space="preserve"> na rok 2017</w:t>
      </w:r>
      <w:r w:rsidR="00707158">
        <w:t>:</w:t>
      </w:r>
    </w:p>
    <w:p w:rsidR="00D45669" w:rsidRPr="00D45669" w:rsidRDefault="00D45669" w:rsidP="00D45669">
      <w:pPr>
        <w:pStyle w:val="Odstavecseseznamem"/>
        <w:spacing w:after="120"/>
        <w:ind w:left="357"/>
        <w:jc w:val="both"/>
      </w:pPr>
      <w:r>
        <w:t xml:space="preserve"> </w:t>
      </w:r>
      <w:r w:rsidR="00250019" w:rsidRPr="00250019">
        <w:rPr>
          <w:b/>
        </w:rPr>
        <w:t>Sociální rehabilitace</w:t>
      </w:r>
      <w:r w:rsidRPr="00D45669">
        <w:rPr>
          <w:b/>
        </w:rPr>
        <w:t xml:space="preserve"> </w:t>
      </w:r>
      <w:r w:rsidR="006075DC">
        <w:rPr>
          <w:b/>
        </w:rPr>
        <w:t>-</w:t>
      </w:r>
      <w:r w:rsidRPr="00C53605">
        <w:t xml:space="preserve"> čísl</w:t>
      </w:r>
      <w:r w:rsidR="006075DC">
        <w:t>o</w:t>
      </w:r>
      <w:r w:rsidRPr="00C53605">
        <w:t xml:space="preserve"> registrace </w:t>
      </w:r>
      <w:r w:rsidR="00250019">
        <w:rPr>
          <w:b/>
        </w:rPr>
        <w:t>3843439</w:t>
      </w:r>
      <w:r w:rsidRPr="00D45669">
        <w:rPr>
          <w:b/>
        </w:rPr>
        <w:t xml:space="preserve"> -</w:t>
      </w:r>
      <w:r w:rsidRPr="00C53605">
        <w:t xml:space="preserve"> § </w:t>
      </w:r>
      <w:r w:rsidR="00250019">
        <w:t>70</w:t>
      </w:r>
      <w:r w:rsidRPr="00C53605">
        <w:t xml:space="preserve"> zákona o sociálních službách</w:t>
      </w:r>
      <w:r>
        <w:t xml:space="preserve"> </w:t>
      </w:r>
      <w:r w:rsidRPr="00C53605">
        <w:t>č. 108/2006 Sb., ve znění pozdějších předpisů.</w:t>
      </w:r>
    </w:p>
    <w:p w:rsidR="00D45669" w:rsidRDefault="00D45669" w:rsidP="008472D8">
      <w:pPr>
        <w:tabs>
          <w:tab w:val="left" w:pos="180"/>
        </w:tabs>
        <w:jc w:val="center"/>
        <w:rPr>
          <w:b/>
        </w:rPr>
      </w:pP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5723C7" w:rsidRPr="005723C7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</w:t>
      </w:r>
      <w:r w:rsidR="005723C7">
        <w:t>í</w:t>
      </w:r>
      <w:r w:rsidR="00D45669">
        <w:t>,</w:t>
      </w:r>
      <w:r w:rsidR="00F7062A" w:rsidRPr="00D45669">
        <w:t xml:space="preserve"> která </w:t>
      </w:r>
      <w:r w:rsidR="00F7062A">
        <w:t xml:space="preserve">je součástí </w:t>
      </w:r>
      <w:r w:rsidR="00F12F3A" w:rsidRPr="005723C7">
        <w:rPr>
          <w:color w:val="000000" w:themeColor="text1"/>
        </w:rPr>
        <w:t>v</w:t>
      </w:r>
      <w:r w:rsidRPr="005723C7">
        <w:rPr>
          <w:color w:val="000000" w:themeColor="text1"/>
        </w:rPr>
        <w:t>yrovnávací platb</w:t>
      </w:r>
      <w:r w:rsidR="00F7062A" w:rsidRPr="005723C7">
        <w:rPr>
          <w:color w:val="000000" w:themeColor="text1"/>
        </w:rPr>
        <w:t>y</w:t>
      </w:r>
      <w:r w:rsidRPr="005723C7">
        <w:rPr>
          <w:color w:val="000000" w:themeColor="text1"/>
        </w:rPr>
        <w:t xml:space="preserve"> se rozumí finanční prostředky</w:t>
      </w:r>
      <w:r w:rsidR="008B28DD" w:rsidRPr="005723C7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1353DE">
        <w:t xml:space="preserve">, určené na </w:t>
      </w:r>
      <w:r w:rsidR="000372C5" w:rsidRPr="000372C5">
        <w:rPr>
          <w:b/>
        </w:rPr>
        <w:t>kofinancování</w:t>
      </w:r>
      <w:r w:rsidR="00405B4C">
        <w:t xml:space="preserve"> </w:t>
      </w:r>
      <w:r w:rsidR="00405B4C" w:rsidRPr="005723C7">
        <w:rPr>
          <w:b/>
        </w:rPr>
        <w:t>osobních nákladů</w:t>
      </w:r>
      <w:r w:rsidR="000372C5">
        <w:rPr>
          <w:b/>
        </w:rPr>
        <w:t xml:space="preserve"> pracovníků</w:t>
      </w:r>
      <w:r w:rsidR="00117F77">
        <w:rPr>
          <w:b/>
        </w:rPr>
        <w:t>,</w:t>
      </w:r>
      <w:r w:rsidR="00405B4C">
        <w:t xml:space="preserve"> které souvisejí 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 služb</w:t>
      </w:r>
      <w:r w:rsidR="007C28DF">
        <w:t>y</w:t>
      </w:r>
      <w:r w:rsidR="00D525F5">
        <w:t xml:space="preserve"> dle zákona o sociálních službách, č. 108/2006 Sb., ve znění pozdějších předpisů</w:t>
      </w:r>
      <w:r w:rsidR="008B28DD" w:rsidRPr="0084455D">
        <w:t xml:space="preserve">. </w:t>
      </w:r>
    </w:p>
    <w:p w:rsidR="00D45669" w:rsidRPr="005723C7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 w:rsidRPr="005723C7">
        <w:rPr>
          <w:color w:val="000000"/>
        </w:rPr>
        <w:br/>
      </w:r>
      <w:r w:rsidR="00A04E52" w:rsidRPr="005723C7">
        <w:rPr>
          <w:b/>
        </w:rPr>
        <w:t>od 1. 1. 201</w:t>
      </w:r>
      <w:r w:rsidR="007C28DF">
        <w:rPr>
          <w:b/>
        </w:rPr>
        <w:t>7</w:t>
      </w:r>
      <w:r w:rsidR="00A04E52" w:rsidRPr="005723C7">
        <w:rPr>
          <w:b/>
        </w:rPr>
        <w:t xml:space="preserve"> do 3</w:t>
      </w:r>
      <w:r w:rsidR="00D45669" w:rsidRPr="005723C7">
        <w:rPr>
          <w:b/>
        </w:rPr>
        <w:t>1</w:t>
      </w:r>
      <w:r w:rsidR="00A04E52" w:rsidRPr="005723C7">
        <w:rPr>
          <w:b/>
        </w:rPr>
        <w:t xml:space="preserve">. </w:t>
      </w:r>
      <w:r w:rsidR="00D45669" w:rsidRPr="005723C7">
        <w:rPr>
          <w:b/>
        </w:rPr>
        <w:t>12</w:t>
      </w:r>
      <w:r w:rsidR="00A04E52" w:rsidRPr="005723C7">
        <w:rPr>
          <w:b/>
        </w:rPr>
        <w:t>. 201</w:t>
      </w:r>
      <w:r w:rsidR="007C28DF">
        <w:rPr>
          <w:b/>
        </w:rPr>
        <w:t>7</w:t>
      </w:r>
      <w:r w:rsidR="00D45669" w:rsidRPr="005723C7">
        <w:rPr>
          <w:b/>
        </w:rPr>
        <w:t>.</w:t>
      </w:r>
    </w:p>
    <w:p w:rsidR="00DA01C6" w:rsidRPr="00D45669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="00F7062A" w:rsidRPr="00D45669">
        <w:t>,</w:t>
      </w:r>
      <w:r w:rsidR="00F7062A" w:rsidRPr="00D45669">
        <w:rPr>
          <w:color w:val="000000" w:themeColor="text1"/>
        </w:rPr>
        <w:t xml:space="preserve"> </w:t>
      </w:r>
      <w:r w:rsidR="00DA01C6" w:rsidRPr="00D45669">
        <w:rPr>
          <w:color w:val="000000" w:themeColor="text1"/>
        </w:rPr>
        <w:t>jako</w:t>
      </w:r>
      <w:r w:rsidR="00F7062A" w:rsidRPr="00D45669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FF4B31">
        <w:t>7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D45669">
        <w:rPr>
          <w:b/>
        </w:rPr>
        <w:t xml:space="preserve">max. </w:t>
      </w:r>
      <w:r w:rsidR="0082316F" w:rsidRPr="00D45669">
        <w:rPr>
          <w:b/>
        </w:rPr>
        <w:t>do výše</w:t>
      </w:r>
      <w:r w:rsidR="008B784B" w:rsidRPr="00D45669">
        <w:rPr>
          <w:b/>
        </w:rPr>
        <w:t xml:space="preserve"> </w:t>
      </w:r>
      <w:r w:rsidR="00250019">
        <w:rPr>
          <w:b/>
        </w:rPr>
        <w:t>90.000</w:t>
      </w:r>
      <w:r w:rsidR="00D33861" w:rsidRPr="00D45669">
        <w:rPr>
          <w:b/>
        </w:rPr>
        <w:t xml:space="preserve"> </w:t>
      </w:r>
      <w:r w:rsidR="008B784B" w:rsidRPr="00D45669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r w:rsidR="00250019">
        <w:t>devadesát tisíc</w:t>
      </w:r>
      <w:r w:rsidR="007C28DF">
        <w:t xml:space="preserve"> korun</w:t>
      </w:r>
      <w:r w:rsidR="00250019">
        <w:t xml:space="preserve"> českých</w:t>
      </w:r>
      <w:r w:rsidR="001A2868" w:rsidRPr="00D45669">
        <w:t>)</w:t>
      </w:r>
      <w:r w:rsidR="00D525F5">
        <w:t xml:space="preserve">. </w:t>
      </w:r>
    </w:p>
    <w:p w:rsidR="00707158" w:rsidRPr="00990DFF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Pr="00990DFF">
        <w:rPr>
          <w:color w:val="808080"/>
        </w:rPr>
        <w:t xml:space="preserve"> </w:t>
      </w:r>
      <w:r w:rsidR="00707158">
        <w:t>je poskytnut</w:t>
      </w:r>
      <w:r w:rsidR="005B4108" w:rsidRPr="00D45669">
        <w:t>a</w:t>
      </w:r>
      <w:r w:rsidR="00707158" w:rsidRPr="00D45669">
        <w:t xml:space="preserve"> </w:t>
      </w:r>
      <w:r w:rsidR="00707158">
        <w:t>na níže uved</w:t>
      </w:r>
      <w:r w:rsidR="00D45669">
        <w:t>enou</w:t>
      </w:r>
      <w:r w:rsidR="00707158">
        <w:t xml:space="preserve"> sociální služb</w:t>
      </w:r>
      <w:r w:rsidR="00D45669">
        <w:t>u</w:t>
      </w:r>
      <w:r w:rsidR="00707158">
        <w:t xml:space="preserve"> dle zákona o</w:t>
      </w:r>
      <w:r w:rsidR="00BC22C0">
        <w:t xml:space="preserve"> sociálních službách, </w:t>
      </w:r>
      <w:r w:rsidR="00BC22C0" w:rsidRPr="00D45669">
        <w:t>pod čísl</w:t>
      </w:r>
      <w:r w:rsidR="00D45669">
        <w:t>em</w:t>
      </w:r>
      <w:r w:rsidR="00DA01C6" w:rsidRPr="00D45669">
        <w:t xml:space="preserve"> </w:t>
      </w:r>
      <w:r w:rsidR="00707158">
        <w:t>registrace: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1417"/>
      </w:tblGrid>
      <w:tr w:rsidR="00D45669" w:rsidRPr="007D5E9D" w:rsidTr="006075D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669" w:rsidRPr="00D45669" w:rsidRDefault="00D45669" w:rsidP="00D45669">
            <w:pPr>
              <w:pStyle w:val="Odstavecseseznamem"/>
              <w:ind w:left="502"/>
              <w:jc w:val="center"/>
              <w:rPr>
                <w:b/>
                <w:bCs/>
              </w:rPr>
            </w:pPr>
            <w:r w:rsidRPr="00D45669">
              <w:rPr>
                <w:b/>
                <w:bCs/>
              </w:rPr>
              <w:t>Sociální služba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669" w:rsidRPr="007D5E9D" w:rsidRDefault="00D45669" w:rsidP="00FE6174">
            <w:pPr>
              <w:jc w:val="center"/>
              <w:rPr>
                <w:b/>
                <w:bCs/>
              </w:rPr>
            </w:pPr>
            <w:r w:rsidRPr="007D5E9D">
              <w:rPr>
                <w:b/>
                <w:bCs/>
              </w:rPr>
              <w:t>Částka v Kč</w:t>
            </w:r>
          </w:p>
        </w:tc>
      </w:tr>
      <w:tr w:rsidR="00D45669" w:rsidRPr="007D5E9D" w:rsidTr="006075D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69" w:rsidRPr="007D5E9D" w:rsidRDefault="00250019" w:rsidP="00250019">
            <w:pPr>
              <w:rPr>
                <w:color w:val="000000"/>
              </w:rPr>
            </w:pPr>
            <w:r>
              <w:rPr>
                <w:color w:val="000000"/>
              </w:rPr>
              <w:t>Sociální rehabilitace</w:t>
            </w:r>
            <w:r w:rsidR="00D45669" w:rsidRPr="007D5E9D">
              <w:rPr>
                <w:color w:val="000000"/>
              </w:rPr>
              <w:t xml:space="preserve"> </w:t>
            </w:r>
            <w:r w:rsidR="006075DC">
              <w:rPr>
                <w:color w:val="000000"/>
              </w:rPr>
              <w:t>–</w:t>
            </w:r>
            <w:r w:rsidR="00D45669" w:rsidRPr="007D5E9D">
              <w:rPr>
                <w:color w:val="000000"/>
              </w:rPr>
              <w:t xml:space="preserve"> </w:t>
            </w:r>
            <w:r w:rsidR="006075DC">
              <w:rPr>
                <w:color w:val="000000"/>
              </w:rPr>
              <w:t>číslo registrace</w:t>
            </w:r>
            <w:r w:rsidR="00D45669" w:rsidRPr="007D5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3843439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69" w:rsidRPr="007D5E9D" w:rsidRDefault="00D45669" w:rsidP="00250019">
            <w:pPr>
              <w:jc w:val="right"/>
              <w:rPr>
                <w:color w:val="000000"/>
              </w:rPr>
            </w:pPr>
            <w:r w:rsidRPr="007D5E9D">
              <w:rPr>
                <w:color w:val="000000"/>
              </w:rPr>
              <w:t xml:space="preserve"> </w:t>
            </w:r>
            <w:r w:rsidR="00250019">
              <w:rPr>
                <w:color w:val="000000"/>
              </w:rPr>
              <w:t>90.000</w:t>
            </w:r>
          </w:p>
        </w:tc>
      </w:tr>
    </w:tbl>
    <w:p w:rsidR="00D45669" w:rsidRDefault="00D45669" w:rsidP="00D45669">
      <w:pPr>
        <w:pStyle w:val="Odstavecseseznamem"/>
        <w:spacing w:after="120"/>
        <w:ind w:left="357"/>
        <w:jc w:val="both"/>
      </w:pP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 xml:space="preserve">Výše </w:t>
      </w:r>
      <w:r w:rsidR="00D90D1B" w:rsidRPr="00D45669">
        <w:t>dotace</w:t>
      </w:r>
      <w:r w:rsidR="00D45669" w:rsidRPr="00D45669">
        <w:t xml:space="preserve"> </w:t>
      </w:r>
      <w:r w:rsidR="00E652B4" w:rsidRPr="00021C26">
        <w:t>byla odsouhlasena Zastupitelstvem Libereckého kraje dne</w:t>
      </w:r>
      <w:r w:rsidR="00901FA2" w:rsidRPr="00021C26">
        <w:t xml:space="preserve"> </w:t>
      </w:r>
      <w:r w:rsidR="00BA3241">
        <w:t>2</w:t>
      </w:r>
      <w:r w:rsidR="00250019">
        <w:t>9</w:t>
      </w:r>
      <w:r w:rsidR="00E9317E">
        <w:t>.</w:t>
      </w:r>
      <w:r w:rsidR="00BC71BB" w:rsidRPr="009806BA">
        <w:rPr>
          <w:color w:val="808080"/>
        </w:rPr>
        <w:t> </w:t>
      </w:r>
      <w:r w:rsidR="00250019" w:rsidRPr="006A12FB">
        <w:t>8</w:t>
      </w:r>
      <w:r w:rsidR="00E9317E" w:rsidRPr="00E9317E">
        <w:rPr>
          <w:color w:val="000000" w:themeColor="text1"/>
        </w:rPr>
        <w:t>.</w:t>
      </w:r>
      <w:r w:rsidR="00273839">
        <w:t xml:space="preserve"> 201</w:t>
      </w:r>
      <w:r w:rsidR="00BA3241">
        <w:t>7</w:t>
      </w:r>
      <w:r w:rsidR="00E652B4" w:rsidRPr="00021C26">
        <w:t xml:space="preserve">, usnesením č. </w:t>
      </w:r>
      <w:proofErr w:type="spellStart"/>
      <w:r w:rsidR="001A2868" w:rsidRPr="009806BA">
        <w:rPr>
          <w:color w:val="808080"/>
        </w:rPr>
        <w:t>xxx</w:t>
      </w:r>
      <w:proofErr w:type="spellEnd"/>
      <w:r w:rsidR="00E248CC">
        <w:t>/1</w:t>
      </w:r>
      <w:r w:rsidR="00BA3241">
        <w:t>7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lastRenderedPageBreak/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4F3885">
        <w:t>dotace</w:t>
      </w:r>
      <w:r w:rsidR="00837D79">
        <w:rPr>
          <w:color w:val="808080"/>
        </w:rPr>
        <w:t xml:space="preserve">,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483FCD">
        <w:t xml:space="preserve"> 2014 – 2017 a jeho prováděcími částmi</w:t>
      </w:r>
      <w:r w:rsidR="00E21CDD">
        <w:t xml:space="preserve"> a Základní sítí sociálních služeb</w:t>
      </w:r>
      <w:r w:rsidR="00BC22C0">
        <w:t xml:space="preserve"> Libereckého kraje</w:t>
      </w:r>
      <w:r w:rsidR="00E21CDD">
        <w:t xml:space="preserve"> na rok 201</w:t>
      </w:r>
      <w:r w:rsidR="002A4C92">
        <w:t>7</w:t>
      </w:r>
      <w:r w:rsidR="00E21CDD">
        <w:t>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r w:rsidR="00E479D2">
        <w:t>90.000</w:t>
      </w:r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>e</w:t>
      </w:r>
      <w:r w:rsidR="00E21CDD">
        <w:t>,</w:t>
      </w:r>
      <w:r w:rsidR="00E00C54">
        <w:t xml:space="preserve"> uvedený v této smlouvě</w:t>
      </w:r>
      <w:r w:rsidR="002D1A3C">
        <w:t xml:space="preserve"> </w:t>
      </w:r>
      <w:r w:rsidR="002D1A3C" w:rsidRPr="00243729">
        <w:rPr>
          <w:snapToGrid w:val="0"/>
        </w:rPr>
        <w:t xml:space="preserve">do </w:t>
      </w:r>
      <w:r w:rsidR="002D1A3C" w:rsidRPr="001F592B">
        <w:rPr>
          <w:snapToGrid w:val="0"/>
        </w:rPr>
        <w:t>30 k</w:t>
      </w:r>
      <w:r w:rsidR="002D1A3C" w:rsidRPr="00243729">
        <w:rPr>
          <w:snapToGrid w:val="0"/>
        </w:rPr>
        <w:t xml:space="preserve">alendářních dnů po </w:t>
      </w:r>
      <w:r w:rsidR="007B206F">
        <w:t>nabytí účinnosti</w:t>
      </w:r>
      <w:r w:rsidR="007B206F" w:rsidRPr="004D173E">
        <w:t xml:space="preserve"> </w:t>
      </w:r>
      <w:r w:rsidR="002D1A3C" w:rsidRPr="00243729">
        <w:rPr>
          <w:snapToGrid w:val="0"/>
        </w:rPr>
        <w:t>této smlouvy</w:t>
      </w:r>
      <w:r w:rsidR="00732AA8">
        <w:rPr>
          <w:snapToGrid w:val="0"/>
        </w:rPr>
        <w:t>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F75323">
        <w:t>D</w:t>
      </w:r>
      <w:r w:rsidR="0028224D" w:rsidRPr="00F75323">
        <w:t>otace</w:t>
      </w:r>
      <w:r w:rsidRPr="00B27369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837D79" w:rsidRPr="00F75323">
        <w:t>a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1970AE" w:rsidRPr="00CD379A">
        <w:rPr>
          <w:b/>
          <w:color w:val="000000" w:themeColor="text1"/>
        </w:rPr>
        <w:t>5</w:t>
      </w:r>
      <w:r w:rsidRPr="00CD379A">
        <w:rPr>
          <w:b/>
          <w:color w:val="000000" w:themeColor="text1"/>
        </w:rPr>
        <w:t xml:space="preserve">. </w:t>
      </w:r>
      <w:r w:rsidR="00F75323" w:rsidRPr="00CD379A">
        <w:rPr>
          <w:b/>
          <w:color w:val="000000" w:themeColor="text1"/>
        </w:rPr>
        <w:t>2</w:t>
      </w:r>
      <w:r w:rsidRPr="00CD379A">
        <w:rPr>
          <w:b/>
          <w:color w:val="000000" w:themeColor="text1"/>
        </w:rPr>
        <w:t>. 201</w:t>
      </w:r>
      <w:r w:rsidR="002A4C92">
        <w:rPr>
          <w:b/>
          <w:color w:val="000000" w:themeColor="text1"/>
        </w:rPr>
        <w:t>8</w:t>
      </w:r>
      <w:r w:rsidRPr="00B27369">
        <w:rPr>
          <w:color w:val="000000" w:themeColor="text1"/>
        </w:rPr>
        <w:t>, a to formou závěrečného vyúčtování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917EEC">
        <w:rPr>
          <w:color w:val="000000" w:themeColor="text1"/>
        </w:rPr>
        <w:t>2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se závěrečným vyúčtováním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</w:t>
      </w:r>
      <w:r w:rsidR="00A0497A">
        <w:rPr>
          <w:b/>
          <w:color w:val="000000" w:themeColor="text1"/>
        </w:rPr>
        <w:t xml:space="preserve"> </w:t>
      </w:r>
      <w:r w:rsidR="001150DC" w:rsidRPr="001150DC">
        <w:rPr>
          <w:b/>
          <w:color w:val="000000" w:themeColor="text1"/>
        </w:rPr>
        <w:t>průkazná evidence</w:t>
      </w:r>
      <w:r w:rsidR="00721451">
        <w:rPr>
          <w:color w:val="000000"/>
        </w:rPr>
        <w:br/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Závěrečné vyúčtování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2B7D95">
        <w:rPr>
          <w:color w:val="000000" w:themeColor="text1"/>
        </w:rPr>
        <w:t>1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 aby na stejný výdaj nedocházelo k duplicitnímu čerpání finančních prostředků z více zdrojů.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>Příjemce se zavazuje viditelně označit účetní resp. prvotní daňové doklady nebo zjednodušené daňové doklady (např.</w:t>
      </w:r>
      <w:r w:rsidR="009F5F25">
        <w:rPr>
          <w:color w:val="000000" w:themeColor="text1"/>
        </w:rPr>
        <w:t xml:space="preserve"> mzdové listy,</w:t>
      </w:r>
      <w:r>
        <w:rPr>
          <w:color w:val="000000" w:themeColor="text1"/>
        </w:rPr>
        <w:t xml:space="preserve"> faktury, účtenky, paragony, výdajové pokladní doklady</w:t>
      </w:r>
      <w:r w:rsidR="009F5F25">
        <w:rPr>
          <w:color w:val="000000" w:themeColor="text1"/>
        </w:rPr>
        <w:t xml:space="preserve"> atd.</w:t>
      </w:r>
      <w:r>
        <w:rPr>
          <w:color w:val="000000" w:themeColor="text1"/>
        </w:rPr>
        <w:t xml:space="preserve">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 xml:space="preserve">, že na jejich úhradu či </w:t>
      </w:r>
      <w:proofErr w:type="spellStart"/>
      <w:r>
        <w:rPr>
          <w:color w:val="000000" w:themeColor="text1"/>
        </w:rPr>
        <w:t>spoluúhradu</w:t>
      </w:r>
      <w:proofErr w:type="spellEnd"/>
      <w:r>
        <w:rPr>
          <w:color w:val="000000" w:themeColor="text1"/>
        </w:rPr>
        <w:t xml:space="preserve"> bylo použito finančních prostředků z </w:t>
      </w:r>
      <w:r w:rsidRPr="00CD379A">
        <w:rPr>
          <w:color w:val="000000" w:themeColor="text1"/>
        </w:rPr>
        <w:t xml:space="preserve">dotace </w:t>
      </w:r>
      <w:r>
        <w:rPr>
          <w:color w:val="000000" w:themeColor="text1"/>
        </w:rPr>
        <w:t>Libereckého kraje.</w:t>
      </w:r>
    </w:p>
    <w:p w:rsidR="00A04E52" w:rsidRPr="00D86D2E" w:rsidRDefault="001953C4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t xml:space="preserve">Příjemce </w:t>
      </w:r>
      <w:r w:rsidR="00DA01C6">
        <w:t>finanční podpory</w:t>
      </w:r>
      <w:r w:rsidR="00837D79" w:rsidRPr="00A0497A">
        <w:t>,</w:t>
      </w:r>
      <w:r w:rsidR="00837D79">
        <w:rPr>
          <w:color w:val="808080" w:themeColor="background1" w:themeShade="80"/>
        </w:rPr>
        <w:t xml:space="preserve"> </w:t>
      </w:r>
      <w:r w:rsidR="00DA01C6">
        <w:rPr>
          <w:color w:val="000000" w:themeColor="text1"/>
        </w:rPr>
        <w:t>která</w:t>
      </w:r>
      <w:r w:rsidR="00837D79" w:rsidRPr="00DA01C6">
        <w:rPr>
          <w:color w:val="000000" w:themeColor="text1"/>
        </w:rPr>
        <w:t xml:space="preserve"> </w:t>
      </w:r>
      <w:r w:rsidR="00837D79">
        <w:t>je součástí</w:t>
      </w:r>
      <w:r>
        <w:t xml:space="preserve"> vyrovnávací platb</w:t>
      </w:r>
      <w:r w:rsidR="00837D79">
        <w:t>y</w:t>
      </w:r>
      <w:r>
        <w:t xml:space="preserve"> je povinen předložit Průběžné čerpání dotace </w:t>
      </w:r>
      <w:r w:rsidR="00A0497A">
        <w:t>v termínu stanoveném poskytovatelem.</w:t>
      </w:r>
      <w:r>
        <w:t xml:space="preserve"> </w:t>
      </w:r>
      <w:r w:rsidR="00C31EF7">
        <w:t xml:space="preserve">Vzor je uveden v příloze č. </w:t>
      </w:r>
      <w:r w:rsidR="00917EEC">
        <w:t>1</w:t>
      </w:r>
      <w:r w:rsidR="00C31EF7">
        <w:t xml:space="preserve"> </w:t>
      </w:r>
      <w:r w:rsidR="00917EEC">
        <w:t>smlouvy.</w:t>
      </w:r>
      <w:r w:rsidR="00972F35">
        <w:t xml:space="preserve"> 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</w:t>
      </w:r>
      <w:r w:rsidRPr="007B4AD2">
        <w:t>dotace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>Příjemce, který vede účetnictví podle zákona č. 563/1991 Sb., o účetnictví, je povinen své příjmy a výdaje (výnosy a náklady) mít vedeny transparentně s jednoznačnou vazbou ke konkrétní sociální službě (např. analytické účty, účetní střediska, zakázky) a ke konkrétnímu zdroji financování</w:t>
      </w:r>
      <w:r w:rsidR="00F80D6C">
        <w:rPr>
          <w:color w:val="000000" w:themeColor="text1"/>
        </w:rPr>
        <w:t>.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 xml:space="preserve">samostatnou </w:t>
      </w:r>
      <w:r w:rsidRPr="009A6138">
        <w:rPr>
          <w:b/>
          <w:color w:val="000000" w:themeColor="text1"/>
        </w:rPr>
        <w:t>průkaznou evidenci</w:t>
      </w:r>
      <w:r w:rsidR="00550146">
        <w:rPr>
          <w:b/>
          <w:color w:val="000000" w:themeColor="text1"/>
        </w:rPr>
        <w:t xml:space="preserve"> </w:t>
      </w:r>
      <w:r w:rsidR="00550146">
        <w:rPr>
          <w:color w:val="000000" w:themeColor="text1"/>
        </w:rPr>
        <w:t>(např. analytické účty, účetní střediska, zakázky atd.)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7B4AD2">
        <w:t>sociální</w:t>
      </w:r>
      <w:r w:rsidR="007B4AD2" w:rsidRPr="007B4AD2">
        <w:t xml:space="preserve"> </w:t>
      </w:r>
      <w:r w:rsidRPr="007B4AD2">
        <w:t xml:space="preserve">služby </w:t>
      </w:r>
      <w:r w:rsidRPr="00D76685">
        <w:rPr>
          <w:color w:val="000000" w:themeColor="text1"/>
        </w:rPr>
        <w:t xml:space="preserve">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7B4AD2">
        <w:t>služby</w:t>
      </w:r>
      <w:r w:rsidR="007B4AD2" w:rsidRPr="007B4AD2">
        <w:t>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lastRenderedPageBreak/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</w:t>
      </w:r>
      <w:proofErr w:type="spellStart"/>
      <w:r>
        <w:t>nerealizace</w:t>
      </w:r>
      <w:proofErr w:type="spellEnd"/>
      <w:r>
        <w:t xml:space="preserve">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r w:rsidR="00E332E0" w:rsidRPr="006E7830">
        <w:rPr>
          <w:b/>
        </w:rPr>
        <w:t xml:space="preserve">závěrečném </w:t>
      </w:r>
      <w:r w:rsidR="0061751E" w:rsidRPr="006E7830">
        <w:rPr>
          <w:b/>
        </w:rPr>
        <w:t>vyúčtování finanční podpory.</w:t>
      </w:r>
    </w:p>
    <w:p w:rsidR="007A4101" w:rsidRDefault="00A22812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A22812">
        <w:rPr>
          <w:b/>
          <w:noProof/>
        </w:rPr>
        <w:t>Při závěrečném vyúčtování finanční</w:t>
      </w:r>
      <w:r>
        <w:rPr>
          <w:noProof/>
        </w:rPr>
        <w:t xml:space="preserve"> podpory </w:t>
      </w:r>
      <w:r w:rsidR="00CF2B19" w:rsidRPr="003F4E16">
        <w:rPr>
          <w:noProof/>
          <w:color w:val="000000" w:themeColor="text1"/>
        </w:rPr>
        <w:t xml:space="preserve">je poskytovatel </w:t>
      </w:r>
      <w:r w:rsidR="00CF2B19" w:rsidRPr="00A22812">
        <w:rPr>
          <w:b/>
          <w:noProof/>
          <w:color w:val="000000" w:themeColor="text1"/>
        </w:rPr>
        <w:t xml:space="preserve">povinen předložit </w:t>
      </w:r>
      <w:r w:rsidR="007A4101" w:rsidRPr="00A22812">
        <w:rPr>
          <w:b/>
          <w:noProof/>
          <w:color w:val="000000" w:themeColor="text1"/>
        </w:rPr>
        <w:t xml:space="preserve"> </w:t>
      </w:r>
      <w:r w:rsidR="0037437E">
        <w:rPr>
          <w:b/>
          <w:noProof/>
          <w:color w:val="000000" w:themeColor="text1"/>
        </w:rPr>
        <w:t xml:space="preserve"> kopie </w:t>
      </w:r>
      <w:r w:rsidR="007A4101" w:rsidRPr="00A22812">
        <w:rPr>
          <w:b/>
          <w:noProof/>
          <w:color w:val="000000" w:themeColor="text1"/>
        </w:rPr>
        <w:t>účetní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resp. prvotní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účetní</w:t>
      </w:r>
      <w:r w:rsidR="0037437E">
        <w:rPr>
          <w:b/>
          <w:noProof/>
          <w:color w:val="000000" w:themeColor="text1"/>
        </w:rPr>
        <w:t>ch</w:t>
      </w:r>
      <w:r w:rsidR="007A4101" w:rsidRPr="003F4E16">
        <w:rPr>
          <w:noProof/>
          <w:color w:val="000000" w:themeColor="text1"/>
        </w:rPr>
        <w:t xml:space="preserve"> </w:t>
      </w:r>
      <w:r w:rsidR="007A4101" w:rsidRPr="00A22812">
        <w:rPr>
          <w:b/>
          <w:noProof/>
          <w:color w:val="000000" w:themeColor="text1"/>
        </w:rPr>
        <w:t>daňov</w:t>
      </w:r>
      <w:r w:rsidR="0037437E">
        <w:rPr>
          <w:b/>
          <w:noProof/>
          <w:color w:val="000000" w:themeColor="text1"/>
        </w:rPr>
        <w:t>ých</w:t>
      </w:r>
      <w:r w:rsidR="007A4101" w:rsidRPr="00A22812">
        <w:rPr>
          <w:b/>
          <w:noProof/>
          <w:color w:val="000000" w:themeColor="text1"/>
        </w:rPr>
        <w:t xml:space="preserve"> doklad</w:t>
      </w:r>
      <w:r w:rsidR="0037437E">
        <w:rPr>
          <w:b/>
          <w:noProof/>
          <w:color w:val="000000" w:themeColor="text1"/>
        </w:rPr>
        <w:t>ů</w:t>
      </w:r>
      <w:r w:rsidR="00CF2B19" w:rsidRPr="003F4E16">
        <w:rPr>
          <w:noProof/>
          <w:color w:val="000000" w:themeColor="text1"/>
        </w:rPr>
        <w:t xml:space="preserve"> </w:t>
      </w:r>
      <w:r w:rsidR="007A4101" w:rsidRPr="003F4E16">
        <w:rPr>
          <w:noProof/>
          <w:color w:val="000000" w:themeColor="text1"/>
        </w:rPr>
        <w:t xml:space="preserve">a příslušné doklady o zaplacení </w:t>
      </w:r>
      <w:r w:rsidR="00CF2B19"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1970AE" w:rsidRPr="001970AE">
        <w:rPr>
          <w:b/>
        </w:rPr>
        <w:t>5</w:t>
      </w:r>
      <w:r w:rsidR="00D6779D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="001970AE" w:rsidRPr="001970AE">
        <w:rPr>
          <w:b/>
        </w:rPr>
        <w:t>2</w:t>
      </w:r>
      <w:r w:rsidR="006E0F17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Pr="001970AE">
        <w:rPr>
          <w:b/>
        </w:rPr>
        <w:t>201</w:t>
      </w:r>
      <w:r w:rsidR="002A4C92">
        <w:rPr>
          <w:b/>
        </w:rPr>
        <w:t>8</w:t>
      </w:r>
      <w:r w:rsidRPr="001970AE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</w:t>
      </w:r>
      <w:r w:rsidR="002A4C92">
        <w:t>19-</w:t>
      </w:r>
      <w:r w:rsidR="00F9694D">
        <w:t>7964200287</w:t>
      </w:r>
      <w:r w:rsidR="002A4C92">
        <w:t>/0100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FA20BF">
        <w:rPr>
          <w:color w:val="000000"/>
        </w:rPr>
        <w:t xml:space="preserve"> </w:t>
      </w:r>
      <w:r w:rsidR="00C5427B">
        <w:rPr>
          <w:color w:val="000000"/>
        </w:rPr>
        <w:t xml:space="preserve">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</w:t>
      </w:r>
      <w:r w:rsidR="00981933">
        <w:rPr>
          <w:color w:val="000000"/>
        </w:rPr>
        <w:br/>
      </w:r>
      <w:r w:rsidR="001424CE">
        <w:rPr>
          <w:color w:val="000000"/>
        </w:rPr>
        <w:t>a dále číslem registrace podpořené sociální služby.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</w:t>
      </w:r>
      <w:r w:rsidR="002A4C92">
        <w:t>19-</w:t>
      </w:r>
      <w:r w:rsidR="00222295">
        <w:t>7964200287</w:t>
      </w:r>
      <w:r w:rsidR="002A4C92">
        <w:t>/0100</w:t>
      </w:r>
      <w:r w:rsidR="005C109F" w:rsidRPr="00CD379A">
        <w:rPr>
          <w:color w:val="FF0000"/>
        </w:rPr>
        <w:t xml:space="preserve"> </w:t>
      </w:r>
      <w:r w:rsidR="00712C8E">
        <w:rPr>
          <w:color w:val="000000"/>
        </w:rPr>
        <w:t xml:space="preserve"> </w:t>
      </w:r>
      <w:r w:rsidR="00EB1086">
        <w:rPr>
          <w:color w:val="000000"/>
        </w:rPr>
        <w:t xml:space="preserve">do </w:t>
      </w:r>
      <w:r w:rsidR="001970AE" w:rsidRPr="001970AE">
        <w:rPr>
          <w:b/>
          <w:color w:val="000000"/>
        </w:rPr>
        <w:t>5</w:t>
      </w:r>
      <w:r w:rsidR="00EB1086" w:rsidRPr="001970AE">
        <w:rPr>
          <w:b/>
          <w:color w:val="000000"/>
        </w:rPr>
        <w:t xml:space="preserve">. </w:t>
      </w:r>
      <w:r w:rsidR="001970AE" w:rsidRPr="001970AE">
        <w:rPr>
          <w:b/>
          <w:color w:val="000000"/>
        </w:rPr>
        <w:t>2</w:t>
      </w:r>
      <w:r w:rsidR="00EB1086" w:rsidRPr="001970AE">
        <w:rPr>
          <w:b/>
          <w:color w:val="000000"/>
        </w:rPr>
        <w:t>. 201</w:t>
      </w:r>
      <w:r w:rsidR="002A4C92">
        <w:rPr>
          <w:b/>
          <w:color w:val="000000"/>
        </w:rPr>
        <w:t>8</w:t>
      </w:r>
      <w:r w:rsidR="00EB1086">
        <w:rPr>
          <w:color w:val="000000"/>
        </w:rPr>
        <w:t xml:space="preserve"> s variabilním symbolem 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a dále číslem registrace podpořené sociální služby.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 xml:space="preserve">Příjemce bere na vědomí, že porušení povinností stanovených touto smlouvou bude řešeno jako porušení rozpočtové kázně ve smyslu </w:t>
      </w:r>
      <w:proofErr w:type="spellStart"/>
      <w:r w:rsidRPr="001E7F01">
        <w:t>ust</w:t>
      </w:r>
      <w:proofErr w:type="spellEnd"/>
      <w:r w:rsidRPr="001E7F01">
        <w:t>. § 22 zákona č. 250/2000 Sb., o rozpočtových pravidlech územních rozpočtů, v platném znění.</w:t>
      </w:r>
    </w:p>
    <w:p w:rsidR="00A4667F" w:rsidRDefault="00A4667F" w:rsidP="00FD60D2">
      <w:pPr>
        <w:numPr>
          <w:ilvl w:val="0"/>
          <w:numId w:val="8"/>
        </w:numPr>
        <w:jc w:val="both"/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A4667F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>Nesplnění povinnosti dodat</w:t>
      </w:r>
      <w:r w:rsidR="00E44FC8">
        <w:t xml:space="preserve"> závěrečné</w:t>
      </w:r>
      <w:r>
        <w:t xml:space="preserve"> vyúčtování </w:t>
      </w:r>
      <w:r w:rsidRPr="00A4132E">
        <w:t>dle čl. I</w:t>
      </w:r>
      <w:r w:rsidR="00CA3611">
        <w:t>V</w:t>
      </w:r>
      <w:r w:rsidRPr="00A4132E">
        <w:t>. odst.</w:t>
      </w:r>
      <w:r>
        <w:t xml:space="preserve"> 1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E44FC8" w:rsidRDefault="00E44FC8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vrácení nevyčerpaných resp. neprofinancovaných poskytnutých finančních prostředků dle čl. </w:t>
      </w:r>
      <w:r w:rsidR="00B44AFE">
        <w:t>IV</w:t>
      </w:r>
      <w:r>
        <w:t>. odst. 11.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</w:t>
      </w:r>
      <w:r w:rsidRPr="00AF642E">
        <w:t>předložení úplného</w:t>
      </w:r>
      <w:r w:rsidR="00F51439">
        <w:t xml:space="preserve"> závěrečného</w:t>
      </w:r>
      <w:r w:rsidRPr="00AF642E">
        <w:t xml:space="preserve"> vyúčtování poskytnutých finančních</w:t>
      </w:r>
      <w:r w:rsidR="00346578">
        <w:t xml:space="preserve"> </w:t>
      </w:r>
      <w:r w:rsidRPr="00AF642E">
        <w:t xml:space="preserve">prostředků </w:t>
      </w:r>
      <w:r>
        <w:t>dle čl. I</w:t>
      </w:r>
      <w:r w:rsidR="00CA3611">
        <w:t>V</w:t>
      </w:r>
      <w:r>
        <w:t>, odst. 1.</w:t>
      </w:r>
      <w:r w:rsidR="00874A4E">
        <w:t xml:space="preserve">, odst. </w:t>
      </w:r>
      <w:r w:rsidR="00B44AFE">
        <w:t>9</w:t>
      </w:r>
      <w:r w:rsidR="00874A4E">
        <w:t>.</w:t>
      </w:r>
    </w:p>
    <w:p w:rsidR="00A4667F" w:rsidRPr="00874A4E" w:rsidRDefault="00A4667F" w:rsidP="00CA3611">
      <w:pPr>
        <w:pStyle w:val="Odstavecseseznamem"/>
        <w:numPr>
          <w:ilvl w:val="0"/>
          <w:numId w:val="10"/>
        </w:numPr>
        <w:tabs>
          <w:tab w:val="left" w:pos="426"/>
        </w:tabs>
        <w:jc w:val="both"/>
        <w:rPr>
          <w:b/>
        </w:rPr>
      </w:pPr>
      <w:r>
        <w:t>Nesplnění povinnosti předložení průběžné</w:t>
      </w:r>
      <w:r w:rsidR="00E15611">
        <w:t>ho čerpání dotace</w:t>
      </w:r>
      <w:r w:rsidR="002A4C92">
        <w:t>/příspěvku</w:t>
      </w:r>
      <w:r>
        <w:t xml:space="preserve"> dle čl. I</w:t>
      </w:r>
      <w:r w:rsidR="00CA3611">
        <w:t>V</w:t>
      </w:r>
      <w:r>
        <w:t xml:space="preserve">. odst. </w:t>
      </w:r>
      <w:r w:rsidR="00E15611">
        <w:t>4.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příjemce informovat o změnách dle čl. I</w:t>
      </w:r>
      <w:r w:rsidR="00CA3611">
        <w:t>V</w:t>
      </w:r>
      <w:r>
        <w:t xml:space="preserve">. odst. </w:t>
      </w:r>
      <w:r w:rsidR="00CA3611">
        <w:t>7</w:t>
      </w:r>
      <w:r w:rsidR="00346578">
        <w:t>.</w:t>
      </w:r>
      <w:r>
        <w:t xml:space="preserve"> 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vést samostatnou průkaznou účet</w:t>
      </w:r>
      <w:r w:rsidR="00346578">
        <w:t>ní evidenci dle čl. I</w:t>
      </w:r>
      <w:r w:rsidR="00CA3611">
        <w:t>V</w:t>
      </w:r>
      <w:r w:rsidR="00346578">
        <w:t>. odst. 5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</w:pPr>
      <w:r>
        <w:t>Nesplnění povinnosti informovat veřejnost o podpoře Libereckým krajem dle čl.</w:t>
      </w:r>
      <w:r w:rsidR="00346578">
        <w:t xml:space="preserve"> </w:t>
      </w:r>
      <w:r>
        <w:t>I</w:t>
      </w:r>
      <w:r w:rsidR="00CA3611">
        <w:t>V</w:t>
      </w:r>
      <w:r>
        <w:t xml:space="preserve">. odst. </w:t>
      </w:r>
      <w:r w:rsidR="00CA3611">
        <w:t>8</w:t>
      </w:r>
      <w:r>
        <w:t>.</w:t>
      </w:r>
    </w:p>
    <w:p w:rsidR="00D22A2A" w:rsidRDefault="00D22A2A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BB47B4" w:rsidRDefault="00FE7D4A" w:rsidP="00BB47B4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BB47B4" w:rsidRPr="00F54957" w:rsidRDefault="00BB47B4" w:rsidP="003C1E56">
      <w:pPr>
        <w:numPr>
          <w:ilvl w:val="0"/>
          <w:numId w:val="3"/>
        </w:numPr>
        <w:jc w:val="both"/>
      </w:pPr>
      <w:r>
        <w:t xml:space="preserve">V případě rozhodnutí o zrušení registrace </w:t>
      </w:r>
      <w:r w:rsidRPr="00CE4A6D">
        <w:t>příslušné</w:t>
      </w:r>
      <w:r w:rsidR="00CE4A6D" w:rsidRPr="00CE4A6D">
        <w:t xml:space="preserve"> </w:t>
      </w:r>
      <w:r w:rsidRPr="00CE4A6D">
        <w:t xml:space="preserve">sociální služby </w:t>
      </w:r>
      <w:r w:rsidRPr="009A6138">
        <w:t>podle §82 odst. 3 zákona o sociálních službách v průběhu roku</w:t>
      </w:r>
      <w:r>
        <w:t xml:space="preserve">, na který byla </w:t>
      </w:r>
      <w:r w:rsidRPr="001205BC">
        <w:t xml:space="preserve">dotace </w:t>
      </w:r>
      <w:r>
        <w:t>poskytnu</w:t>
      </w:r>
      <w:r w:rsidRPr="00CE4A6D">
        <w:t>ta</w:t>
      </w:r>
      <w:r>
        <w:t>, je příjemce finanční podpory</w:t>
      </w:r>
      <w:r w:rsidRPr="00BB47B4">
        <w:rPr>
          <w:color w:val="808080" w:themeColor="background1" w:themeShade="80"/>
        </w:rPr>
        <w:t xml:space="preserve"> </w:t>
      </w:r>
      <w:r>
        <w:t xml:space="preserve">povinen do 30 kalendářních dnů ode dne ukončení poskytování sociální služby, který je uveden v rozhodnutí o zrušení registrace, provést vyúčtování a finanční vypořádání poskytnuté dotace a současně převést na účet Libereckého kraje, uvedený v této smlouvě </w:t>
      </w:r>
      <w:r>
        <w:lastRenderedPageBreak/>
        <w:t xml:space="preserve">případnou vratku dotace s variabilním symbolem </w:t>
      </w:r>
      <w:r w:rsidRPr="00BC22C0">
        <w:t>č</w:t>
      </w:r>
      <w:r>
        <w:t>.</w:t>
      </w:r>
      <w:r w:rsidRPr="00BB47B4">
        <w:rPr>
          <w:color w:val="808080" w:themeColor="background1" w:themeShade="80"/>
        </w:rPr>
        <w:t xml:space="preserve"> </w:t>
      </w:r>
      <w:r w:rsidRPr="00BB47B4">
        <w:rPr>
          <w:color w:val="000000"/>
        </w:rPr>
        <w:t>0</w:t>
      </w:r>
      <w:r w:rsidR="00B57F4C">
        <w:rPr>
          <w:color w:val="000000"/>
        </w:rPr>
        <w:t>2</w:t>
      </w:r>
      <w:r w:rsidRPr="00BB47B4">
        <w:rPr>
          <w:color w:val="000000"/>
        </w:rPr>
        <w:t xml:space="preserve"> a dále číslem registrace podpořené sociální služby</w:t>
      </w:r>
      <w:r>
        <w:rPr>
          <w:color w:val="000000"/>
        </w:rPr>
        <w:t>.</w:t>
      </w:r>
    </w:p>
    <w:p w:rsidR="00F54957" w:rsidRDefault="00F54957" w:rsidP="00F54957">
      <w:pPr>
        <w:ind w:left="142"/>
        <w:jc w:val="both"/>
      </w:pPr>
    </w:p>
    <w:p w:rsidR="003C1E56" w:rsidRDefault="00136DBE" w:rsidP="003C1E56">
      <w:pPr>
        <w:numPr>
          <w:ilvl w:val="0"/>
          <w:numId w:val="3"/>
        </w:numPr>
        <w:jc w:val="both"/>
      </w:pPr>
      <w:r w:rsidRPr="004D0F1A">
        <w:t>V případě rozhodnutí o přeměně příjemce, fúzi, zániku s likvidací či  rozdělení na dva či</w:t>
      </w:r>
      <w:r w:rsidR="003C1E56">
        <w:t xml:space="preserve"> </w:t>
      </w:r>
      <w:r w:rsidRPr="004D0F1A">
        <w:t xml:space="preserve">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787B34">
        <w:t xml:space="preserve"> </w:t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i/příspěvek</w:t>
      </w:r>
      <w:r w:rsidRPr="004D0F1A">
        <w:t>, je příjemce povinen vrátit celou částku poskytnuté dotace</w:t>
      </w:r>
      <w:r>
        <w:t>/příspěvku</w:t>
      </w:r>
      <w:r w:rsidRPr="004D0F1A">
        <w:t xml:space="preserve">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Pr="004D0F1A">
        <w:t>a bude postupováno dle tohoto zákona.</w:t>
      </w:r>
    </w:p>
    <w:p w:rsidR="00F54957" w:rsidRDefault="00F54957" w:rsidP="00F54957">
      <w:pPr>
        <w:ind w:left="142"/>
        <w:jc w:val="both"/>
      </w:pPr>
    </w:p>
    <w:p w:rsidR="002666C7" w:rsidRDefault="00453603" w:rsidP="003C1E56">
      <w:pPr>
        <w:numPr>
          <w:ilvl w:val="0"/>
          <w:numId w:val="3"/>
        </w:numPr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="00981933">
        <w:rPr>
          <w:color w:val="000000"/>
        </w:rPr>
        <w:br/>
      </w:r>
      <w:r w:rsidRPr="0084455D">
        <w:t xml:space="preserve">a účelnost čerpání platby včetně plnění podmínek této smlouvy. </w:t>
      </w:r>
    </w:p>
    <w:p w:rsidR="00F17D2F" w:rsidRDefault="00F17D2F" w:rsidP="00F17D2F">
      <w:pPr>
        <w:pStyle w:val="Odstavecseseznamem"/>
        <w:numPr>
          <w:ilvl w:val="0"/>
          <w:numId w:val="3"/>
        </w:numPr>
        <w:tabs>
          <w:tab w:val="num" w:pos="426"/>
        </w:tabs>
        <w:spacing w:before="120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</w:t>
      </w:r>
      <w:r w:rsidR="00981933">
        <w:rPr>
          <w:color w:val="000000"/>
        </w:rPr>
        <w:br/>
      </w:r>
      <w:r>
        <w:t xml:space="preserve">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F17D2F" w:rsidRDefault="00F17D2F" w:rsidP="00F17D2F">
      <w:pPr>
        <w:pStyle w:val="Odstavecseseznamem"/>
        <w:spacing w:before="240" w:after="120"/>
        <w:ind w:left="142"/>
        <w:contextualSpacing/>
        <w:jc w:val="both"/>
      </w:pPr>
    </w:p>
    <w:p w:rsidR="00874A4E" w:rsidRPr="00F8505F" w:rsidRDefault="00874A4E" w:rsidP="006D7A1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 w:rsidR="0018108C">
        <w:t>V</w:t>
      </w:r>
      <w:r w:rsidRPr="002E3DF7">
        <w:t>. odst. 1</w:t>
      </w:r>
      <w:r w:rsidR="0018108C">
        <w:t>3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</w:t>
      </w:r>
      <w:r w:rsidR="000A3F8C">
        <w:t>:</w:t>
      </w:r>
      <w:r>
        <w:t xml:space="preserve"> 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 xml:space="preserve">Za opožděné dodání </w:t>
      </w:r>
      <w:r w:rsidR="00BA6099">
        <w:t xml:space="preserve">závěrečného </w:t>
      </w:r>
      <w:r>
        <w:t>vyúčtování dle čl. I</w:t>
      </w:r>
      <w:r w:rsidR="0018108C">
        <w:t>V</w:t>
      </w:r>
      <w:r>
        <w:t xml:space="preserve">. odst. 1 této smlouvy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732D65" w:rsidRDefault="00732D65" w:rsidP="006D7A1F">
      <w:pPr>
        <w:numPr>
          <w:ilvl w:val="1"/>
          <w:numId w:val="7"/>
        </w:numPr>
        <w:spacing w:before="120"/>
        <w:jc w:val="both"/>
      </w:pPr>
      <w:r>
        <w:t>Za nesplnění povinnosti vrácení nevyčerpaných resp. neprofinancovaných poskytnutých finančních prostředků dle čl. IV. odst. 11.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</w:t>
      </w:r>
      <w:r w:rsidR="0018108C">
        <w:t>V</w:t>
      </w:r>
      <w:r>
        <w:t xml:space="preserve">. odst. 1. a </w:t>
      </w:r>
      <w:r w:rsidR="00F473F9">
        <w:t>9</w:t>
      </w:r>
      <w:r>
        <w:t xml:space="preserve">., kdy chybějící doklady příjemce předloží nejpozději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18108C" w:rsidRDefault="0018108C" w:rsidP="0018108C">
      <w:pPr>
        <w:spacing w:before="120"/>
        <w:jc w:val="both"/>
      </w:pPr>
      <w:r>
        <w:t xml:space="preserve">      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18108C" w:rsidRDefault="0018108C" w:rsidP="0018108C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18108C" w:rsidRDefault="0018108C" w:rsidP="0018108C">
      <w:pPr>
        <w:spacing w:before="240"/>
        <w:ind w:left="357"/>
        <w:jc w:val="both"/>
      </w:pPr>
      <w:r>
        <w:t>Počátek lhůty běží od následujícího dne od uplynutí lhůty pro provedení opatření k nápravě.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lastRenderedPageBreak/>
        <w:t>Za nepředložení průběžné</w:t>
      </w:r>
      <w:r w:rsidR="00384FD6">
        <w:t>ho čerpání dotace/příspěvku</w:t>
      </w:r>
      <w:r w:rsidRPr="004D0F1A">
        <w:t xml:space="preserve"> dle čl. I</w:t>
      </w:r>
      <w:r w:rsidR="00384FD6">
        <w:t>V</w:t>
      </w:r>
      <w:r w:rsidRPr="004D0F1A">
        <w:t xml:space="preserve">. odst. </w:t>
      </w:r>
      <w:r>
        <w:t>4</w:t>
      </w:r>
      <w:r w:rsidRPr="004D0F1A">
        <w:t xml:space="preserve"> nejpozději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o změnách uvedených v čl. I</w:t>
      </w:r>
      <w:r w:rsidR="00384FD6">
        <w:t>V</w:t>
      </w:r>
      <w:r w:rsidRPr="004D0F1A">
        <w:t xml:space="preserve">. odst. </w:t>
      </w:r>
      <w:r w:rsidR="00384FD6">
        <w:t>7</w:t>
      </w:r>
      <w:r w:rsidRPr="004D0F1A">
        <w:t xml:space="preserve">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vést samostatnou průkaznou účetní evidenci dle čl. I</w:t>
      </w:r>
      <w:r w:rsidR="00384FD6">
        <w:t>V</w:t>
      </w:r>
      <w:r w:rsidRPr="004D0F1A">
        <w:t xml:space="preserve">. odst. </w:t>
      </w:r>
      <w:r w:rsidR="005A3967">
        <w:t>5</w:t>
      </w:r>
      <w:r w:rsidRPr="004D0F1A">
        <w:t xml:space="preserve">. nejpozději do 14 dnů od uplynutí lhůty pro provedení opatření k nápravě, činí odvod </w:t>
      </w:r>
      <w:r w:rsidR="00384FD6">
        <w:t>5</w:t>
      </w:r>
      <w:r w:rsidRPr="004D0F1A">
        <w:t xml:space="preserve">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 w:rsidR="00384FD6">
        <w:t>V</w:t>
      </w:r>
      <w:r w:rsidRPr="004D0F1A">
        <w:t xml:space="preserve">. odst. </w:t>
      </w:r>
      <w:r w:rsidR="00384FD6">
        <w:t>8</w:t>
      </w:r>
      <w:r w:rsidRPr="004D0F1A">
        <w:t xml:space="preserve"> nejpozději do 14 dnů od uplynutí lhůty pro provedení opatření k nápravě, činí odvod 1% z poskytnuté dotace.</w:t>
      </w:r>
    </w:p>
    <w:p w:rsidR="00D6159A" w:rsidRPr="00D6159A" w:rsidRDefault="00D6159A" w:rsidP="00D6159A">
      <w:pPr>
        <w:numPr>
          <w:ilvl w:val="0"/>
          <w:numId w:val="3"/>
        </w:numPr>
        <w:spacing w:before="120"/>
        <w:jc w:val="both"/>
      </w:pPr>
      <w:r w:rsidRPr="00D6159A">
        <w:t xml:space="preserve">Za nedodržení podmínek uvedených v čl. </w:t>
      </w:r>
      <w:r>
        <w:t>IV</w:t>
      </w:r>
      <w:r w:rsidRPr="00D6159A">
        <w:t>. odst. 1</w:t>
      </w:r>
      <w:r>
        <w:t>3</w:t>
      </w:r>
      <w:r w:rsidRPr="00D6159A">
        <w:t xml:space="preserve"> písm. a. – </w:t>
      </w:r>
      <w:r w:rsidR="003266FF">
        <w:t>g</w:t>
      </w:r>
      <w:r w:rsidRPr="00D6159A">
        <w:t>. se uloží nižší odvod dle sazeb uvedených v čl. V</w:t>
      </w:r>
      <w:r>
        <w:t>.</w:t>
      </w:r>
      <w:r w:rsidRPr="00D6159A">
        <w:t xml:space="preserve"> odst. </w:t>
      </w:r>
      <w:r w:rsidR="000F6936">
        <w:t>5</w:t>
      </w:r>
      <w:r>
        <w:t>.</w:t>
      </w:r>
      <w:r w:rsidRPr="00D6159A">
        <w:t xml:space="preserve"> také v případě, pokud příjemce ještě před doručením výzvy k provedení opatření k nápravě sám dodatečně splní povinnosti uložené mu touto smlouvou. </w:t>
      </w:r>
    </w:p>
    <w:p w:rsidR="00874A4E" w:rsidRDefault="00874A4E" w:rsidP="00FD60D2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390060" w:rsidRPr="00390060" w:rsidRDefault="00874A4E" w:rsidP="00932B19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</w:t>
      </w:r>
      <w:r w:rsidR="00D2148A">
        <w:t xml:space="preserve"> </w:t>
      </w:r>
      <w:r w:rsidR="00BA6099">
        <w:t>19-</w:t>
      </w:r>
      <w:r w:rsidR="00707F43">
        <w:t>7964200287</w:t>
      </w:r>
      <w:r w:rsidR="00BA6099">
        <w:t>/0100</w:t>
      </w:r>
      <w:r w:rsidRPr="00CD379A">
        <w:rPr>
          <w:color w:val="FF0000"/>
        </w:rPr>
        <w:t xml:space="preserve"> </w:t>
      </w:r>
      <w:r>
        <w:t>s variabilním symbolem č.</w:t>
      </w:r>
      <w:r w:rsidR="0095553D" w:rsidRPr="00390060">
        <w:rPr>
          <w:color w:val="000000"/>
        </w:rPr>
        <w:t xml:space="preserve"> 0</w:t>
      </w:r>
      <w:r w:rsidR="00B57F4C">
        <w:rPr>
          <w:color w:val="000000"/>
        </w:rPr>
        <w:t>2</w:t>
      </w:r>
      <w:r w:rsidR="0095553D" w:rsidRPr="00390060">
        <w:rPr>
          <w:color w:val="000000"/>
        </w:rPr>
        <w:t xml:space="preserve"> a dále číslem registrace podpořené sociální služby.</w:t>
      </w:r>
    </w:p>
    <w:p w:rsidR="006E7830" w:rsidRDefault="006E7830" w:rsidP="00C23A58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372961">
        <w:rPr>
          <w:b/>
        </w:rPr>
        <w:t>I</w:t>
      </w:r>
      <w:r w:rsidR="00AD086A"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E149B3" w:rsidRPr="000D530F" w:rsidRDefault="00E149B3" w:rsidP="00432F19">
      <w:pPr>
        <w:numPr>
          <w:ilvl w:val="0"/>
          <w:numId w:val="18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E149B3" w:rsidRPr="00B816D6" w:rsidRDefault="00E149B3" w:rsidP="00432F19">
      <w:pPr>
        <w:pStyle w:val="Odstavecseseznamem"/>
        <w:numPr>
          <w:ilvl w:val="0"/>
          <w:numId w:val="18"/>
        </w:numPr>
        <w:spacing w:before="120"/>
        <w:ind w:left="357" w:hanging="357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Veškeré změny a doplňky k této smlouvě lze činit pouze formou písemných, očíslovaných dodatků.</w:t>
      </w:r>
    </w:p>
    <w:p w:rsidR="00E149B3" w:rsidRPr="000D530F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E149B3" w:rsidRPr="0004229B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4229B">
        <w:lastRenderedPageBreak/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Nedílnou součástí smlouvy jsou tyto přílohy:</w:t>
      </w:r>
    </w:p>
    <w:p w:rsidR="00E149B3" w:rsidRDefault="00E149B3" w:rsidP="00E149B3">
      <w:pPr>
        <w:outlineLvl w:val="0"/>
        <w:rPr>
          <w:bCs/>
        </w:rPr>
      </w:pPr>
      <w:r>
        <w:t xml:space="preserve">P1 </w:t>
      </w:r>
      <w:r>
        <w:rPr>
          <w:bCs/>
        </w:rPr>
        <w:t>Průběžné čerpání dotace</w:t>
      </w:r>
    </w:p>
    <w:p w:rsidR="00E149B3" w:rsidRPr="00E149B3" w:rsidRDefault="00E149B3" w:rsidP="00E149B3">
      <w:pPr>
        <w:outlineLvl w:val="0"/>
        <w:rPr>
          <w:bCs/>
        </w:rPr>
      </w:pPr>
      <w:r w:rsidRPr="00A85E79">
        <w:t xml:space="preserve">P2 </w:t>
      </w:r>
      <w:r>
        <w:t>Z</w:t>
      </w:r>
      <w:r w:rsidRPr="006E509E">
        <w:rPr>
          <w:bCs/>
        </w:rPr>
        <w:t>ávěrečn</w:t>
      </w:r>
      <w:r>
        <w:rPr>
          <w:bCs/>
        </w:rPr>
        <w:t>é vyúčtování dotace</w:t>
      </w:r>
      <w:r w:rsidRPr="002A6D7A">
        <w:rPr>
          <w:b/>
          <w:bCs/>
          <w:sz w:val="28"/>
          <w:szCs w:val="28"/>
        </w:rPr>
        <w:t xml:space="preserve"> </w:t>
      </w:r>
    </w:p>
    <w:p w:rsidR="00E149B3" w:rsidRDefault="00E149B3" w:rsidP="00E149B3">
      <w:pPr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052FBB" w:rsidRDefault="00052FBB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…………………..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 xml:space="preserve">Mgr. </w:t>
      </w:r>
      <w:r w:rsidR="00BA6099">
        <w:t>Pavel Svoboda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BA6099">
        <w:t xml:space="preserve">          </w:t>
      </w:r>
      <w:r w:rsidR="003758CD">
        <w:t>statutární zástupce poskytovatele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6E0C57" w:rsidRDefault="00F7104D" w:rsidP="00C23A58">
      <w:pPr>
        <w:tabs>
          <w:tab w:val="left" w:pos="360"/>
        </w:tabs>
        <w:jc w:val="both"/>
      </w:pPr>
      <w:r>
        <w:t>náměs</w:t>
      </w:r>
      <w:r w:rsidR="00BA6099">
        <w:t>tek</w:t>
      </w:r>
      <w:r>
        <w:t xml:space="preserve"> 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</w:t>
      </w:r>
      <w:r w:rsidR="003758CD">
        <w:t>sociálních služeb</w:t>
      </w:r>
      <w:r w:rsidR="00FB5654">
        <w:t xml:space="preserve">   </w:t>
      </w:r>
      <w:r w:rsidR="00C31B06">
        <w:t xml:space="preserve">  </w:t>
      </w:r>
      <w:r w:rsidR="003758CD">
        <w:t xml:space="preserve"> </w:t>
      </w:r>
      <w:r w:rsidR="00C31B06">
        <w:t xml:space="preserve"> </w:t>
      </w:r>
      <w:r w:rsidR="00FB5654">
        <w:t xml:space="preserve"> </w:t>
      </w:r>
    </w:p>
    <w:p w:rsidR="00A31E27" w:rsidRDefault="00C31B06" w:rsidP="00C23A58">
      <w:pPr>
        <w:tabs>
          <w:tab w:val="left" w:pos="360"/>
        </w:tabs>
        <w:jc w:val="both"/>
        <w:sectPr w:rsidR="00A31E27" w:rsidSect="00BF74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  <w:r>
        <w:tab/>
      </w:r>
      <w:r>
        <w:tab/>
      </w:r>
    </w:p>
    <w:p w:rsidR="00270D7D" w:rsidRDefault="00F97E63" w:rsidP="0045751A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333F">
        <w:rPr>
          <w:b/>
          <w:sz w:val="28"/>
          <w:szCs w:val="28"/>
        </w:rPr>
        <w:t xml:space="preserve">                      </w:t>
      </w:r>
      <w:r>
        <w:rPr>
          <w:sz w:val="20"/>
          <w:szCs w:val="20"/>
        </w:rPr>
        <w:t>Příloha č. 1</w:t>
      </w:r>
      <w:r w:rsidR="0045751A">
        <w:rPr>
          <w:sz w:val="20"/>
          <w:szCs w:val="20"/>
        </w:rPr>
        <w:t xml:space="preserve"> </w:t>
      </w:r>
    </w:p>
    <w:p w:rsidR="00F97E63" w:rsidRPr="008B512B" w:rsidRDefault="00270D7D" w:rsidP="00270D7D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F97E63">
        <w:rPr>
          <w:b/>
          <w:sz w:val="28"/>
          <w:szCs w:val="28"/>
        </w:rPr>
        <w:t>Průběžné čerpání dotace</w:t>
      </w:r>
      <w:r w:rsidR="00C0333F">
        <w:rPr>
          <w:b/>
          <w:sz w:val="28"/>
          <w:szCs w:val="28"/>
        </w:rPr>
        <w:tab/>
      </w:r>
    </w:p>
    <w:tbl>
      <w:tblPr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2070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63" w:rsidRDefault="00270D7D" w:rsidP="00270D7D">
            <w:pPr>
              <w:jc w:val="center"/>
            </w:pPr>
            <w:r>
              <w:t xml:space="preserve">                                                                                                    </w:t>
            </w:r>
            <w:r w:rsidR="001150DC">
              <w:t xml:space="preserve"> </w:t>
            </w:r>
            <w:r>
              <w:t xml:space="preserve"> </w:t>
            </w:r>
            <w:r w:rsidR="00F97E63">
              <w:t>k…………</w:t>
            </w:r>
          </w:p>
          <w:p w:rsidR="00F97E63" w:rsidRDefault="00F97E63" w:rsidP="00FC5C64"/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Pr="003C27CB" w:rsidRDefault="00F97E63" w:rsidP="00BA6099">
            <w:pPr>
              <w:rPr>
                <w:b/>
                <w:bCs/>
                <w:color w:val="000000"/>
              </w:rPr>
            </w:pPr>
            <w:r w:rsidRPr="00A82E4B">
              <w:rPr>
                <w:b/>
                <w:bCs/>
                <w:color w:val="000000" w:themeColor="text1"/>
              </w:rPr>
              <w:t xml:space="preserve">Průběžné čerpání </w:t>
            </w:r>
            <w:r w:rsidRPr="00BA6099">
              <w:rPr>
                <w:b/>
                <w:bCs/>
                <w:color w:val="000000" w:themeColor="text1"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Průběžné čerpání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 čerpání k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C32AE" w:rsidP="00DC3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C32AE" w:rsidP="00DC32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97E63" w:rsidRDefault="00F97E63" w:rsidP="00F97E63"/>
    <w:p w:rsidR="00B03200" w:rsidRDefault="00B03200" w:rsidP="00F97E63"/>
    <w:p w:rsidR="00F97E63" w:rsidRDefault="00F97E63" w:rsidP="00F97E63"/>
    <w:p w:rsidR="00F97E63" w:rsidRDefault="00F97E63" w:rsidP="00F97E63"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  <w:t>jméno, příjmení a podpis odpovědné osoby………………………</w:t>
      </w:r>
    </w:p>
    <w:p w:rsidR="00F97E63" w:rsidRDefault="00F97E63" w:rsidP="00F97E63"/>
    <w:p w:rsidR="00F97E63" w:rsidRDefault="00F97E63" w:rsidP="00F97E63"/>
    <w:p w:rsidR="00F97E63" w:rsidRDefault="00F97E63" w:rsidP="00F97E63"/>
    <w:p w:rsidR="00DD2D9E" w:rsidRDefault="00F97E63" w:rsidP="00DD2D9E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DD2D9E" w:rsidRDefault="00DD2D9E" w:rsidP="00DD2D9E"/>
    <w:p w:rsidR="00DD2D9E" w:rsidRDefault="00DD2D9E" w:rsidP="00DD2D9E"/>
    <w:p w:rsidR="00DD2D9E" w:rsidRDefault="00DD2D9E" w:rsidP="00DD2D9E"/>
    <w:p w:rsidR="002A4C92" w:rsidRDefault="003331EE" w:rsidP="00381D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87207A">
        <w:rPr>
          <w:b/>
          <w:sz w:val="28"/>
          <w:szCs w:val="28"/>
        </w:rPr>
        <w:t xml:space="preserve">       </w:t>
      </w:r>
    </w:p>
    <w:p w:rsidR="00F97E63" w:rsidRPr="00DD2D9E" w:rsidRDefault="002A4C92" w:rsidP="00381DC9"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7207A">
        <w:rPr>
          <w:b/>
          <w:sz w:val="28"/>
          <w:szCs w:val="28"/>
        </w:rPr>
        <w:t xml:space="preserve"> </w:t>
      </w:r>
      <w:r w:rsidR="00134198">
        <w:rPr>
          <w:b/>
          <w:sz w:val="28"/>
          <w:szCs w:val="28"/>
        </w:rPr>
        <w:t>Z</w:t>
      </w:r>
      <w:r w:rsidR="00F97E63">
        <w:rPr>
          <w:b/>
          <w:sz w:val="28"/>
          <w:szCs w:val="28"/>
        </w:rPr>
        <w:t>ávěrečné vyúčtování dotace</w:t>
      </w:r>
      <w:r w:rsidR="00C0333F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sz w:val="20"/>
          <w:szCs w:val="20"/>
        </w:rPr>
        <w:t xml:space="preserve">Příloha č. 2 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Pr="003C27CB" w:rsidRDefault="00ED609D" w:rsidP="00FA736A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F97E63" w:rsidRPr="008D0283">
              <w:rPr>
                <w:b/>
                <w:bCs/>
                <w:color w:val="000000"/>
              </w:rPr>
              <w:t xml:space="preserve">Vyúčtování </w:t>
            </w:r>
            <w:r w:rsidR="00F97E63" w:rsidRPr="001511F1">
              <w:rPr>
                <w:b/>
                <w:bCs/>
                <w:color w:val="000000" w:themeColor="text1"/>
              </w:rPr>
              <w:t xml:space="preserve">dotace </w:t>
            </w:r>
            <w:r w:rsidR="00F97E63" w:rsidRPr="008D0283">
              <w:rPr>
                <w:b/>
                <w:bCs/>
                <w:color w:val="000000"/>
              </w:rPr>
              <w:t xml:space="preserve">dle jednotlivých položek </w:t>
            </w:r>
            <w:r w:rsidR="00F97E63" w:rsidRPr="008D0283">
              <w:rPr>
                <w:color w:val="000000"/>
              </w:rPr>
              <w:t>(v Kč)</w:t>
            </w:r>
            <w:r w:rsidR="00F97E63" w:rsidRPr="008D0283"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4E2982" w:rsidP="004E2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</w:t>
            </w:r>
            <w:r w:rsidR="00F97E63">
              <w:rPr>
                <w:color w:val="000000"/>
              </w:rPr>
              <w:t xml:space="preserve">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585597" w:rsidP="005855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F97E6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F97E63">
              <w:rPr>
                <w:color w:val="000000"/>
                <w:sz w:val="20"/>
                <w:szCs w:val="20"/>
              </w:rPr>
              <w:t>. 201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5855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58559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06E15" w:rsidP="00D06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06E15" w:rsidP="00D06E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A736A" w:rsidRDefault="00FA736A" w:rsidP="00381DC9">
      <w:pPr>
        <w:outlineLvl w:val="0"/>
        <w:rPr>
          <w:b/>
          <w:bCs/>
        </w:rPr>
      </w:pPr>
    </w:p>
    <w:p w:rsidR="00FA736A" w:rsidRDefault="00FA736A" w:rsidP="00381DC9">
      <w:pPr>
        <w:outlineLvl w:val="0"/>
        <w:rPr>
          <w:b/>
          <w:bCs/>
        </w:rPr>
      </w:pPr>
    </w:p>
    <w:p w:rsidR="00F97E63" w:rsidRPr="00426A46" w:rsidRDefault="00F97E63" w:rsidP="00381DC9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97E63" w:rsidRPr="00426A46" w:rsidTr="00FC5C64">
        <w:tc>
          <w:tcPr>
            <w:tcW w:w="115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97E63" w:rsidRPr="00426A46" w:rsidRDefault="00F97E63" w:rsidP="00FC5C64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23" w:type="dxa"/>
          </w:tcPr>
          <w:p w:rsidR="00F97E63" w:rsidRPr="00426A46" w:rsidRDefault="00F97E63" w:rsidP="00FC5C64"/>
        </w:tc>
      </w:tr>
    </w:tbl>
    <w:p w:rsidR="00F97E63" w:rsidRDefault="00F97E63" w:rsidP="00F97E63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3331EE" w:rsidRDefault="00F97E63" w:rsidP="00ED609D">
      <w:pPr>
        <w:spacing w:before="240" w:line="276" w:lineRule="auto"/>
      </w:pPr>
      <w:r>
        <w:t>V …………………………</w:t>
      </w:r>
      <w:proofErr w:type="gramStart"/>
      <w:r>
        <w:t>….dne</w:t>
      </w:r>
      <w:proofErr w:type="gramEnd"/>
      <w:r>
        <w:t>………………….</w:t>
      </w:r>
      <w:r>
        <w:tab/>
      </w:r>
      <w:r>
        <w:tab/>
      </w:r>
      <w:r>
        <w:tab/>
      </w:r>
      <w:r>
        <w:tab/>
        <w:t>jméno, příjmení a podpis odpovědné osoby………………….</w:t>
      </w:r>
    </w:p>
    <w:p w:rsidR="00F97E63" w:rsidRPr="008E0E1D" w:rsidRDefault="003331EE" w:rsidP="003331EE">
      <w:r>
        <w:t>razítko ………………………………………………</w:t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00" w:rsidRDefault="006B2600" w:rsidP="00497C1D">
      <w:r>
        <w:separator/>
      </w:r>
    </w:p>
  </w:endnote>
  <w:endnote w:type="continuationSeparator" w:id="0">
    <w:p w:rsidR="006B2600" w:rsidRDefault="006B2600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A014D3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A014D3">
      <w:rPr>
        <w:b/>
        <w:noProof/>
        <w:color w:val="A6A6A6"/>
        <w:sz w:val="16"/>
        <w:szCs w:val="16"/>
      </w:rPr>
      <w:t>9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4D5" w:rsidRDefault="000324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00" w:rsidRDefault="006B2600" w:rsidP="00497C1D">
      <w:r>
        <w:separator/>
      </w:r>
    </w:p>
  </w:footnote>
  <w:footnote w:type="continuationSeparator" w:id="0">
    <w:p w:rsidR="006B2600" w:rsidRDefault="006B2600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4D5" w:rsidRDefault="000324D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62" w:rsidRDefault="00A27D49" w:rsidP="0011639F">
    <w:pPr>
      <w:ind w:left="3540"/>
    </w:pPr>
    <w:r>
      <w:t xml:space="preserve">                                         </w:t>
    </w:r>
    <w:r w:rsidR="0011639F">
      <w:t xml:space="preserve"> </w:t>
    </w:r>
    <w:r w:rsidR="0017315A">
      <w:tab/>
    </w:r>
    <w:r w:rsidR="0017315A">
      <w:tab/>
      <w:t xml:space="preserve">  </w:t>
    </w:r>
    <w:r w:rsidR="0017315A">
      <w:tab/>
    </w:r>
    <w:r w:rsidR="004E48B0">
      <w:t xml:space="preserve">                               </w:t>
    </w:r>
    <w:r w:rsidR="00226D62">
      <w:t xml:space="preserve">   </w:t>
    </w:r>
  </w:p>
  <w:p w:rsidR="000E4D8D" w:rsidRDefault="00226D62" w:rsidP="000324D5">
    <w:pPr>
      <w:ind w:left="3540"/>
    </w:pPr>
    <w:r>
      <w:t xml:space="preserve">                         </w:t>
    </w:r>
    <w:r w:rsidR="00F90AA0">
      <w:t xml:space="preserve">                                                                          </w:t>
    </w:r>
    <w:r>
      <w:t xml:space="preserve"> </w:t>
    </w:r>
    <w:r w:rsidR="000324D5">
      <w:t xml:space="preserve">  </w:t>
    </w:r>
    <w:r w:rsidR="000324D5">
      <w:tab/>
    </w:r>
    <w:r w:rsidR="000324D5">
      <w:tab/>
    </w:r>
    <w:r w:rsidR="007A72CC">
      <w:t>0</w:t>
    </w:r>
    <w:r w:rsidR="000324D5">
      <w:t>22</w:t>
    </w:r>
    <w:r w:rsidR="0011639F">
      <w:t>_P0</w:t>
    </w:r>
    <w:r w:rsidR="000F4FAC">
      <w:t>3</w:t>
    </w:r>
    <w:r w:rsidR="0011639F">
      <w:t>_</w:t>
    </w:r>
    <w:r w:rsidR="0017315A">
      <w:t>Smlouva_</w:t>
    </w:r>
    <w:r w:rsidR="000F4FAC">
      <w:t>Tyfloservis</w:t>
    </w:r>
    <w:r w:rsidR="000324D5">
      <w:t>_DOC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4D5" w:rsidRDefault="000324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7DE5"/>
    <w:multiLevelType w:val="hybridMultilevel"/>
    <w:tmpl w:val="869C9DBE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  <w:num w:numId="15">
    <w:abstractNumId w:val="7"/>
  </w:num>
  <w:num w:numId="16">
    <w:abstractNumId w:val="17"/>
  </w:num>
  <w:num w:numId="17">
    <w:abstractNumId w:val="0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24D5"/>
    <w:rsid w:val="0003268A"/>
    <w:rsid w:val="00033280"/>
    <w:rsid w:val="00035B42"/>
    <w:rsid w:val="00035E93"/>
    <w:rsid w:val="000372C5"/>
    <w:rsid w:val="000374FC"/>
    <w:rsid w:val="00040719"/>
    <w:rsid w:val="00041238"/>
    <w:rsid w:val="00043E0B"/>
    <w:rsid w:val="000445D4"/>
    <w:rsid w:val="00044B0F"/>
    <w:rsid w:val="00044CD1"/>
    <w:rsid w:val="00046E94"/>
    <w:rsid w:val="00050958"/>
    <w:rsid w:val="00052FBB"/>
    <w:rsid w:val="0005328B"/>
    <w:rsid w:val="00054896"/>
    <w:rsid w:val="00056240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3471"/>
    <w:rsid w:val="00083C91"/>
    <w:rsid w:val="0008465B"/>
    <w:rsid w:val="000846C6"/>
    <w:rsid w:val="0008653D"/>
    <w:rsid w:val="00086E55"/>
    <w:rsid w:val="000904E5"/>
    <w:rsid w:val="00091B5E"/>
    <w:rsid w:val="00094D31"/>
    <w:rsid w:val="0009568D"/>
    <w:rsid w:val="000963A6"/>
    <w:rsid w:val="00096DD5"/>
    <w:rsid w:val="000A1E64"/>
    <w:rsid w:val="000A33A1"/>
    <w:rsid w:val="000A3F8C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0F4FAC"/>
    <w:rsid w:val="000F6936"/>
    <w:rsid w:val="00112CCD"/>
    <w:rsid w:val="00114E97"/>
    <w:rsid w:val="001150DC"/>
    <w:rsid w:val="0011639F"/>
    <w:rsid w:val="00117F77"/>
    <w:rsid w:val="001205BC"/>
    <w:rsid w:val="0012229B"/>
    <w:rsid w:val="0013390F"/>
    <w:rsid w:val="00134198"/>
    <w:rsid w:val="001353DE"/>
    <w:rsid w:val="00136DBE"/>
    <w:rsid w:val="001424CE"/>
    <w:rsid w:val="00144C0B"/>
    <w:rsid w:val="00146139"/>
    <w:rsid w:val="001476E3"/>
    <w:rsid w:val="001508FC"/>
    <w:rsid w:val="001511F1"/>
    <w:rsid w:val="00152B07"/>
    <w:rsid w:val="001531F3"/>
    <w:rsid w:val="00153BEF"/>
    <w:rsid w:val="001700E3"/>
    <w:rsid w:val="00171112"/>
    <w:rsid w:val="0017315A"/>
    <w:rsid w:val="0017374B"/>
    <w:rsid w:val="001756DC"/>
    <w:rsid w:val="001808F4"/>
    <w:rsid w:val="00180CAC"/>
    <w:rsid w:val="0018108C"/>
    <w:rsid w:val="0018117F"/>
    <w:rsid w:val="001905B7"/>
    <w:rsid w:val="001940E3"/>
    <w:rsid w:val="001953C4"/>
    <w:rsid w:val="00195CB3"/>
    <w:rsid w:val="001970AE"/>
    <w:rsid w:val="001A14BB"/>
    <w:rsid w:val="001A2868"/>
    <w:rsid w:val="001A674F"/>
    <w:rsid w:val="001B0B84"/>
    <w:rsid w:val="001B190A"/>
    <w:rsid w:val="001B479A"/>
    <w:rsid w:val="001B5584"/>
    <w:rsid w:val="001B6494"/>
    <w:rsid w:val="001C1743"/>
    <w:rsid w:val="001C5C47"/>
    <w:rsid w:val="001C713A"/>
    <w:rsid w:val="001D2795"/>
    <w:rsid w:val="001D3CB7"/>
    <w:rsid w:val="001D7A88"/>
    <w:rsid w:val="001E72F9"/>
    <w:rsid w:val="001E7309"/>
    <w:rsid w:val="001E7F01"/>
    <w:rsid w:val="001F592B"/>
    <w:rsid w:val="001F627F"/>
    <w:rsid w:val="00203DC5"/>
    <w:rsid w:val="00203FC1"/>
    <w:rsid w:val="00204B9E"/>
    <w:rsid w:val="00211D0A"/>
    <w:rsid w:val="00214233"/>
    <w:rsid w:val="002146C9"/>
    <w:rsid w:val="00220549"/>
    <w:rsid w:val="002214CC"/>
    <w:rsid w:val="00222295"/>
    <w:rsid w:val="00223EBF"/>
    <w:rsid w:val="00224D27"/>
    <w:rsid w:val="00226D62"/>
    <w:rsid w:val="00227909"/>
    <w:rsid w:val="00227A27"/>
    <w:rsid w:val="00231C32"/>
    <w:rsid w:val="002347A8"/>
    <w:rsid w:val="00241FFE"/>
    <w:rsid w:val="00242B5D"/>
    <w:rsid w:val="00243729"/>
    <w:rsid w:val="002455AF"/>
    <w:rsid w:val="002459E5"/>
    <w:rsid w:val="00246CCB"/>
    <w:rsid w:val="00250019"/>
    <w:rsid w:val="00254502"/>
    <w:rsid w:val="002666C7"/>
    <w:rsid w:val="00267755"/>
    <w:rsid w:val="002707CD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F41"/>
    <w:rsid w:val="00291AB9"/>
    <w:rsid w:val="002964A7"/>
    <w:rsid w:val="002A4C92"/>
    <w:rsid w:val="002A5187"/>
    <w:rsid w:val="002A58C0"/>
    <w:rsid w:val="002A5A8D"/>
    <w:rsid w:val="002B118B"/>
    <w:rsid w:val="002B4E6A"/>
    <w:rsid w:val="002B50D3"/>
    <w:rsid w:val="002B7D95"/>
    <w:rsid w:val="002C2271"/>
    <w:rsid w:val="002C3168"/>
    <w:rsid w:val="002C3F29"/>
    <w:rsid w:val="002C555A"/>
    <w:rsid w:val="002C5FC3"/>
    <w:rsid w:val="002D1A3C"/>
    <w:rsid w:val="002E4335"/>
    <w:rsid w:val="002E627F"/>
    <w:rsid w:val="002E639B"/>
    <w:rsid w:val="002E69E2"/>
    <w:rsid w:val="002E7915"/>
    <w:rsid w:val="002F3505"/>
    <w:rsid w:val="002F3D7E"/>
    <w:rsid w:val="002F4260"/>
    <w:rsid w:val="002F5889"/>
    <w:rsid w:val="002F64AE"/>
    <w:rsid w:val="002F6934"/>
    <w:rsid w:val="003011D5"/>
    <w:rsid w:val="00307CCB"/>
    <w:rsid w:val="00313137"/>
    <w:rsid w:val="003134EC"/>
    <w:rsid w:val="003157AC"/>
    <w:rsid w:val="00321E90"/>
    <w:rsid w:val="00322F26"/>
    <w:rsid w:val="003266FF"/>
    <w:rsid w:val="0033295C"/>
    <w:rsid w:val="003331EE"/>
    <w:rsid w:val="00340A9B"/>
    <w:rsid w:val="00346578"/>
    <w:rsid w:val="0035399F"/>
    <w:rsid w:val="00360492"/>
    <w:rsid w:val="0036228B"/>
    <w:rsid w:val="0036310E"/>
    <w:rsid w:val="00366872"/>
    <w:rsid w:val="00370F75"/>
    <w:rsid w:val="00372961"/>
    <w:rsid w:val="0037437E"/>
    <w:rsid w:val="003758CD"/>
    <w:rsid w:val="00380B39"/>
    <w:rsid w:val="00380EE5"/>
    <w:rsid w:val="00381DC9"/>
    <w:rsid w:val="00384FD6"/>
    <w:rsid w:val="003854C3"/>
    <w:rsid w:val="00386A5E"/>
    <w:rsid w:val="00386B54"/>
    <w:rsid w:val="00390060"/>
    <w:rsid w:val="00390C40"/>
    <w:rsid w:val="0039100D"/>
    <w:rsid w:val="00394F92"/>
    <w:rsid w:val="00395909"/>
    <w:rsid w:val="00397C86"/>
    <w:rsid w:val="00397D37"/>
    <w:rsid w:val="003A1047"/>
    <w:rsid w:val="003A2ABE"/>
    <w:rsid w:val="003A3D24"/>
    <w:rsid w:val="003A4484"/>
    <w:rsid w:val="003A6D66"/>
    <w:rsid w:val="003A7778"/>
    <w:rsid w:val="003B43FA"/>
    <w:rsid w:val="003C1E56"/>
    <w:rsid w:val="003C28C6"/>
    <w:rsid w:val="003C78B0"/>
    <w:rsid w:val="003D0AAB"/>
    <w:rsid w:val="003D380D"/>
    <w:rsid w:val="003D46D6"/>
    <w:rsid w:val="003D4DC8"/>
    <w:rsid w:val="003E1FCC"/>
    <w:rsid w:val="003E2925"/>
    <w:rsid w:val="003F17E0"/>
    <w:rsid w:val="003F4E16"/>
    <w:rsid w:val="003F5E2F"/>
    <w:rsid w:val="00403822"/>
    <w:rsid w:val="00403C76"/>
    <w:rsid w:val="00405B4C"/>
    <w:rsid w:val="00406B40"/>
    <w:rsid w:val="00406C35"/>
    <w:rsid w:val="004075DE"/>
    <w:rsid w:val="004134A1"/>
    <w:rsid w:val="004204AD"/>
    <w:rsid w:val="004307FF"/>
    <w:rsid w:val="00430EC0"/>
    <w:rsid w:val="00432F19"/>
    <w:rsid w:val="00433154"/>
    <w:rsid w:val="00434E97"/>
    <w:rsid w:val="004456DF"/>
    <w:rsid w:val="0044657F"/>
    <w:rsid w:val="0044674C"/>
    <w:rsid w:val="00447B0E"/>
    <w:rsid w:val="0045234F"/>
    <w:rsid w:val="00453603"/>
    <w:rsid w:val="00453BEE"/>
    <w:rsid w:val="00454966"/>
    <w:rsid w:val="00456198"/>
    <w:rsid w:val="0045751A"/>
    <w:rsid w:val="0046338E"/>
    <w:rsid w:val="00464DB6"/>
    <w:rsid w:val="004742EB"/>
    <w:rsid w:val="00475066"/>
    <w:rsid w:val="00483FCD"/>
    <w:rsid w:val="00484B43"/>
    <w:rsid w:val="004913BC"/>
    <w:rsid w:val="004962CF"/>
    <w:rsid w:val="00497C1D"/>
    <w:rsid w:val="004A2EE2"/>
    <w:rsid w:val="004A5EEA"/>
    <w:rsid w:val="004B007C"/>
    <w:rsid w:val="004B5DB9"/>
    <w:rsid w:val="004C35D4"/>
    <w:rsid w:val="004C70A3"/>
    <w:rsid w:val="004D079F"/>
    <w:rsid w:val="004D5E23"/>
    <w:rsid w:val="004D641A"/>
    <w:rsid w:val="004E13F0"/>
    <w:rsid w:val="004E2982"/>
    <w:rsid w:val="004E2F87"/>
    <w:rsid w:val="004E3DB3"/>
    <w:rsid w:val="004E3FE3"/>
    <w:rsid w:val="004E48B0"/>
    <w:rsid w:val="004E6252"/>
    <w:rsid w:val="004E6ABE"/>
    <w:rsid w:val="004E7526"/>
    <w:rsid w:val="004F3885"/>
    <w:rsid w:val="004F5751"/>
    <w:rsid w:val="0050081C"/>
    <w:rsid w:val="00501EC2"/>
    <w:rsid w:val="00502013"/>
    <w:rsid w:val="00506C86"/>
    <w:rsid w:val="00510135"/>
    <w:rsid w:val="0051328E"/>
    <w:rsid w:val="00517DB7"/>
    <w:rsid w:val="005202B3"/>
    <w:rsid w:val="0052095D"/>
    <w:rsid w:val="00520A2C"/>
    <w:rsid w:val="00520E8D"/>
    <w:rsid w:val="00522FFC"/>
    <w:rsid w:val="005242A3"/>
    <w:rsid w:val="00532136"/>
    <w:rsid w:val="00540D89"/>
    <w:rsid w:val="00541EE9"/>
    <w:rsid w:val="00543FE9"/>
    <w:rsid w:val="00545905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3BE4"/>
    <w:rsid w:val="00565973"/>
    <w:rsid w:val="005678A8"/>
    <w:rsid w:val="00567908"/>
    <w:rsid w:val="00567E29"/>
    <w:rsid w:val="0057081F"/>
    <w:rsid w:val="005723C7"/>
    <w:rsid w:val="00573550"/>
    <w:rsid w:val="00581028"/>
    <w:rsid w:val="00583CEB"/>
    <w:rsid w:val="00583F92"/>
    <w:rsid w:val="00585597"/>
    <w:rsid w:val="0058761A"/>
    <w:rsid w:val="00590FA4"/>
    <w:rsid w:val="00593C8D"/>
    <w:rsid w:val="0059590E"/>
    <w:rsid w:val="0059659C"/>
    <w:rsid w:val="00597EF4"/>
    <w:rsid w:val="005A0927"/>
    <w:rsid w:val="005A0D21"/>
    <w:rsid w:val="005A1723"/>
    <w:rsid w:val="005A3967"/>
    <w:rsid w:val="005A6356"/>
    <w:rsid w:val="005A6EE3"/>
    <w:rsid w:val="005B4108"/>
    <w:rsid w:val="005C109F"/>
    <w:rsid w:val="005C33CF"/>
    <w:rsid w:val="005C397B"/>
    <w:rsid w:val="005C544A"/>
    <w:rsid w:val="005C5596"/>
    <w:rsid w:val="005C7E16"/>
    <w:rsid w:val="005D1ED7"/>
    <w:rsid w:val="005D2961"/>
    <w:rsid w:val="005D4E77"/>
    <w:rsid w:val="005E4598"/>
    <w:rsid w:val="005E48E1"/>
    <w:rsid w:val="005E5FCE"/>
    <w:rsid w:val="005E6963"/>
    <w:rsid w:val="005F0549"/>
    <w:rsid w:val="005F4A66"/>
    <w:rsid w:val="005F5655"/>
    <w:rsid w:val="00604815"/>
    <w:rsid w:val="0060482F"/>
    <w:rsid w:val="006075DC"/>
    <w:rsid w:val="0061433E"/>
    <w:rsid w:val="00614FB1"/>
    <w:rsid w:val="00615C9E"/>
    <w:rsid w:val="0061751E"/>
    <w:rsid w:val="00620C2C"/>
    <w:rsid w:val="006213F0"/>
    <w:rsid w:val="00625EE5"/>
    <w:rsid w:val="0062665F"/>
    <w:rsid w:val="00630C05"/>
    <w:rsid w:val="00630F8F"/>
    <w:rsid w:val="00634931"/>
    <w:rsid w:val="00636501"/>
    <w:rsid w:val="00637007"/>
    <w:rsid w:val="00642EB6"/>
    <w:rsid w:val="006437C0"/>
    <w:rsid w:val="0064384A"/>
    <w:rsid w:val="00644D09"/>
    <w:rsid w:val="00645946"/>
    <w:rsid w:val="00653772"/>
    <w:rsid w:val="00656A53"/>
    <w:rsid w:val="006621FE"/>
    <w:rsid w:val="00663C0D"/>
    <w:rsid w:val="00666C7A"/>
    <w:rsid w:val="00666ED2"/>
    <w:rsid w:val="00670A19"/>
    <w:rsid w:val="00673E66"/>
    <w:rsid w:val="0067570A"/>
    <w:rsid w:val="00677345"/>
    <w:rsid w:val="006855A7"/>
    <w:rsid w:val="00690671"/>
    <w:rsid w:val="00690DB3"/>
    <w:rsid w:val="0069746B"/>
    <w:rsid w:val="006A12FB"/>
    <w:rsid w:val="006A400C"/>
    <w:rsid w:val="006A54D5"/>
    <w:rsid w:val="006A62CC"/>
    <w:rsid w:val="006B056F"/>
    <w:rsid w:val="006B0CB6"/>
    <w:rsid w:val="006B0D2D"/>
    <w:rsid w:val="006B0F2D"/>
    <w:rsid w:val="006B2600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3312"/>
    <w:rsid w:val="0070410E"/>
    <w:rsid w:val="007059C6"/>
    <w:rsid w:val="00707158"/>
    <w:rsid w:val="00707A84"/>
    <w:rsid w:val="00707CEB"/>
    <w:rsid w:val="00707F43"/>
    <w:rsid w:val="007117B2"/>
    <w:rsid w:val="00711A8C"/>
    <w:rsid w:val="00712C8E"/>
    <w:rsid w:val="00721451"/>
    <w:rsid w:val="0072786D"/>
    <w:rsid w:val="00727EA1"/>
    <w:rsid w:val="0073155A"/>
    <w:rsid w:val="00732AA8"/>
    <w:rsid w:val="00732D65"/>
    <w:rsid w:val="0073462E"/>
    <w:rsid w:val="00734CEF"/>
    <w:rsid w:val="00735325"/>
    <w:rsid w:val="00737819"/>
    <w:rsid w:val="007401F7"/>
    <w:rsid w:val="00744802"/>
    <w:rsid w:val="007472AE"/>
    <w:rsid w:val="00747333"/>
    <w:rsid w:val="00750024"/>
    <w:rsid w:val="007517EA"/>
    <w:rsid w:val="007632F1"/>
    <w:rsid w:val="007676F1"/>
    <w:rsid w:val="00774871"/>
    <w:rsid w:val="0077487E"/>
    <w:rsid w:val="00783E72"/>
    <w:rsid w:val="007840F0"/>
    <w:rsid w:val="00785B6A"/>
    <w:rsid w:val="00787B34"/>
    <w:rsid w:val="007907F1"/>
    <w:rsid w:val="00794F0F"/>
    <w:rsid w:val="00794FCF"/>
    <w:rsid w:val="007952B0"/>
    <w:rsid w:val="00796C52"/>
    <w:rsid w:val="007A029E"/>
    <w:rsid w:val="007A2372"/>
    <w:rsid w:val="007A3784"/>
    <w:rsid w:val="007A4101"/>
    <w:rsid w:val="007A72CC"/>
    <w:rsid w:val="007B0CB2"/>
    <w:rsid w:val="007B206F"/>
    <w:rsid w:val="007B4AD2"/>
    <w:rsid w:val="007B745C"/>
    <w:rsid w:val="007C28DF"/>
    <w:rsid w:val="007C2EBD"/>
    <w:rsid w:val="007C5536"/>
    <w:rsid w:val="007D041D"/>
    <w:rsid w:val="007D37A7"/>
    <w:rsid w:val="007E0F10"/>
    <w:rsid w:val="007E3E35"/>
    <w:rsid w:val="007E6590"/>
    <w:rsid w:val="007F4150"/>
    <w:rsid w:val="007F6B12"/>
    <w:rsid w:val="0080391E"/>
    <w:rsid w:val="00803BAC"/>
    <w:rsid w:val="00803D03"/>
    <w:rsid w:val="00807C7F"/>
    <w:rsid w:val="00812F0D"/>
    <w:rsid w:val="00816289"/>
    <w:rsid w:val="008207EA"/>
    <w:rsid w:val="0082316F"/>
    <w:rsid w:val="00824E3B"/>
    <w:rsid w:val="00827682"/>
    <w:rsid w:val="008304A3"/>
    <w:rsid w:val="0083050B"/>
    <w:rsid w:val="00831200"/>
    <w:rsid w:val="00834C08"/>
    <w:rsid w:val="00837D79"/>
    <w:rsid w:val="00841AE4"/>
    <w:rsid w:val="0084455D"/>
    <w:rsid w:val="00844CAD"/>
    <w:rsid w:val="0084519F"/>
    <w:rsid w:val="00846481"/>
    <w:rsid w:val="008472D8"/>
    <w:rsid w:val="00850B41"/>
    <w:rsid w:val="0086145E"/>
    <w:rsid w:val="00861E55"/>
    <w:rsid w:val="00862E83"/>
    <w:rsid w:val="00866AE2"/>
    <w:rsid w:val="00872034"/>
    <w:rsid w:val="0087207A"/>
    <w:rsid w:val="00874A4E"/>
    <w:rsid w:val="0087537B"/>
    <w:rsid w:val="00882C8E"/>
    <w:rsid w:val="008859AE"/>
    <w:rsid w:val="00892AF4"/>
    <w:rsid w:val="00892F9C"/>
    <w:rsid w:val="008930CC"/>
    <w:rsid w:val="00893C11"/>
    <w:rsid w:val="00897D21"/>
    <w:rsid w:val="008A10A3"/>
    <w:rsid w:val="008A20D5"/>
    <w:rsid w:val="008A5910"/>
    <w:rsid w:val="008A64C8"/>
    <w:rsid w:val="008B0DE6"/>
    <w:rsid w:val="008B0EA3"/>
    <w:rsid w:val="008B124A"/>
    <w:rsid w:val="008B28DD"/>
    <w:rsid w:val="008B3B85"/>
    <w:rsid w:val="008B3F6C"/>
    <w:rsid w:val="008B5BA3"/>
    <w:rsid w:val="008B784B"/>
    <w:rsid w:val="008C0B47"/>
    <w:rsid w:val="008C21BB"/>
    <w:rsid w:val="008C456F"/>
    <w:rsid w:val="008C679C"/>
    <w:rsid w:val="008C6B8B"/>
    <w:rsid w:val="008D14C6"/>
    <w:rsid w:val="008D3172"/>
    <w:rsid w:val="008D5170"/>
    <w:rsid w:val="008E02CD"/>
    <w:rsid w:val="008E2655"/>
    <w:rsid w:val="008E38D0"/>
    <w:rsid w:val="008E4666"/>
    <w:rsid w:val="008E54FE"/>
    <w:rsid w:val="008E6951"/>
    <w:rsid w:val="008E6AE6"/>
    <w:rsid w:val="008E6BFA"/>
    <w:rsid w:val="008E7B27"/>
    <w:rsid w:val="008F368C"/>
    <w:rsid w:val="008F6799"/>
    <w:rsid w:val="008F7B8A"/>
    <w:rsid w:val="00901FA2"/>
    <w:rsid w:val="00903420"/>
    <w:rsid w:val="00905440"/>
    <w:rsid w:val="00910019"/>
    <w:rsid w:val="009115B0"/>
    <w:rsid w:val="00916A24"/>
    <w:rsid w:val="00917EEC"/>
    <w:rsid w:val="009208D5"/>
    <w:rsid w:val="0092167F"/>
    <w:rsid w:val="00921A72"/>
    <w:rsid w:val="009233EF"/>
    <w:rsid w:val="00926927"/>
    <w:rsid w:val="0093109B"/>
    <w:rsid w:val="00932B19"/>
    <w:rsid w:val="00941DE3"/>
    <w:rsid w:val="0095553D"/>
    <w:rsid w:val="0096182E"/>
    <w:rsid w:val="00970B0C"/>
    <w:rsid w:val="00972045"/>
    <w:rsid w:val="00972F35"/>
    <w:rsid w:val="00975790"/>
    <w:rsid w:val="00977B86"/>
    <w:rsid w:val="009806BA"/>
    <w:rsid w:val="00980930"/>
    <w:rsid w:val="00981933"/>
    <w:rsid w:val="00990DFF"/>
    <w:rsid w:val="00990FB0"/>
    <w:rsid w:val="009927D1"/>
    <w:rsid w:val="009A0726"/>
    <w:rsid w:val="009A33A6"/>
    <w:rsid w:val="009A4837"/>
    <w:rsid w:val="009A556B"/>
    <w:rsid w:val="009A6138"/>
    <w:rsid w:val="009B2B15"/>
    <w:rsid w:val="009C1C2A"/>
    <w:rsid w:val="009C217A"/>
    <w:rsid w:val="009C398C"/>
    <w:rsid w:val="009D0A85"/>
    <w:rsid w:val="009D0DD4"/>
    <w:rsid w:val="009D2344"/>
    <w:rsid w:val="009D5251"/>
    <w:rsid w:val="009E3D5A"/>
    <w:rsid w:val="009E5368"/>
    <w:rsid w:val="009E53EF"/>
    <w:rsid w:val="009E679A"/>
    <w:rsid w:val="009E79E5"/>
    <w:rsid w:val="009F5F25"/>
    <w:rsid w:val="009F7271"/>
    <w:rsid w:val="00A014D3"/>
    <w:rsid w:val="00A0337F"/>
    <w:rsid w:val="00A034DF"/>
    <w:rsid w:val="00A0497A"/>
    <w:rsid w:val="00A04C4D"/>
    <w:rsid w:val="00A04E52"/>
    <w:rsid w:val="00A07518"/>
    <w:rsid w:val="00A11EDC"/>
    <w:rsid w:val="00A121FA"/>
    <w:rsid w:val="00A12542"/>
    <w:rsid w:val="00A1444B"/>
    <w:rsid w:val="00A14BE1"/>
    <w:rsid w:val="00A17221"/>
    <w:rsid w:val="00A22812"/>
    <w:rsid w:val="00A23E2F"/>
    <w:rsid w:val="00A23EC1"/>
    <w:rsid w:val="00A277AA"/>
    <w:rsid w:val="00A27D49"/>
    <w:rsid w:val="00A30309"/>
    <w:rsid w:val="00A31891"/>
    <w:rsid w:val="00A318AF"/>
    <w:rsid w:val="00A31E27"/>
    <w:rsid w:val="00A32E23"/>
    <w:rsid w:val="00A34225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561C7"/>
    <w:rsid w:val="00A56BAC"/>
    <w:rsid w:val="00A576D2"/>
    <w:rsid w:val="00A57A0D"/>
    <w:rsid w:val="00A61B21"/>
    <w:rsid w:val="00A6543E"/>
    <w:rsid w:val="00A72F77"/>
    <w:rsid w:val="00A7330F"/>
    <w:rsid w:val="00A73FFA"/>
    <w:rsid w:val="00A76D6B"/>
    <w:rsid w:val="00A77A4B"/>
    <w:rsid w:val="00A805BC"/>
    <w:rsid w:val="00A80C4E"/>
    <w:rsid w:val="00A81A38"/>
    <w:rsid w:val="00A821DA"/>
    <w:rsid w:val="00A84E5A"/>
    <w:rsid w:val="00A85092"/>
    <w:rsid w:val="00A87F52"/>
    <w:rsid w:val="00A977B7"/>
    <w:rsid w:val="00AA32AF"/>
    <w:rsid w:val="00AA3CA3"/>
    <w:rsid w:val="00AB1620"/>
    <w:rsid w:val="00AB179D"/>
    <w:rsid w:val="00AB3380"/>
    <w:rsid w:val="00AB39A1"/>
    <w:rsid w:val="00AC4DD0"/>
    <w:rsid w:val="00AC507E"/>
    <w:rsid w:val="00AD086A"/>
    <w:rsid w:val="00AD38B6"/>
    <w:rsid w:val="00AD3B10"/>
    <w:rsid w:val="00AD494D"/>
    <w:rsid w:val="00AD5956"/>
    <w:rsid w:val="00AE4BC3"/>
    <w:rsid w:val="00AE5B6D"/>
    <w:rsid w:val="00AE6009"/>
    <w:rsid w:val="00AF1E47"/>
    <w:rsid w:val="00AF39CE"/>
    <w:rsid w:val="00AF4CE2"/>
    <w:rsid w:val="00B00590"/>
    <w:rsid w:val="00B00EF8"/>
    <w:rsid w:val="00B01BE1"/>
    <w:rsid w:val="00B01C13"/>
    <w:rsid w:val="00B03200"/>
    <w:rsid w:val="00B03C98"/>
    <w:rsid w:val="00B06623"/>
    <w:rsid w:val="00B06740"/>
    <w:rsid w:val="00B0686B"/>
    <w:rsid w:val="00B15C44"/>
    <w:rsid w:val="00B173FD"/>
    <w:rsid w:val="00B21FF6"/>
    <w:rsid w:val="00B22100"/>
    <w:rsid w:val="00B27369"/>
    <w:rsid w:val="00B274BE"/>
    <w:rsid w:val="00B336C1"/>
    <w:rsid w:val="00B37FCF"/>
    <w:rsid w:val="00B413FE"/>
    <w:rsid w:val="00B432DC"/>
    <w:rsid w:val="00B44AFE"/>
    <w:rsid w:val="00B47C74"/>
    <w:rsid w:val="00B504AB"/>
    <w:rsid w:val="00B50C72"/>
    <w:rsid w:val="00B514A2"/>
    <w:rsid w:val="00B523EF"/>
    <w:rsid w:val="00B5240F"/>
    <w:rsid w:val="00B56DDB"/>
    <w:rsid w:val="00B57F4C"/>
    <w:rsid w:val="00B57FE6"/>
    <w:rsid w:val="00B67EE5"/>
    <w:rsid w:val="00B70B90"/>
    <w:rsid w:val="00B729C5"/>
    <w:rsid w:val="00B771F5"/>
    <w:rsid w:val="00B80899"/>
    <w:rsid w:val="00B81BC4"/>
    <w:rsid w:val="00B82A28"/>
    <w:rsid w:val="00B82B1D"/>
    <w:rsid w:val="00B854B1"/>
    <w:rsid w:val="00B926AB"/>
    <w:rsid w:val="00B92E0D"/>
    <w:rsid w:val="00B936B9"/>
    <w:rsid w:val="00BA302D"/>
    <w:rsid w:val="00BA3241"/>
    <w:rsid w:val="00BA52FC"/>
    <w:rsid w:val="00BA6099"/>
    <w:rsid w:val="00BB241C"/>
    <w:rsid w:val="00BB47B4"/>
    <w:rsid w:val="00BB6885"/>
    <w:rsid w:val="00BB71AF"/>
    <w:rsid w:val="00BC15AD"/>
    <w:rsid w:val="00BC22C0"/>
    <w:rsid w:val="00BC6B8A"/>
    <w:rsid w:val="00BC71BB"/>
    <w:rsid w:val="00BD21C0"/>
    <w:rsid w:val="00BD49CD"/>
    <w:rsid w:val="00BE38EF"/>
    <w:rsid w:val="00BE397A"/>
    <w:rsid w:val="00BF1378"/>
    <w:rsid w:val="00BF1A3C"/>
    <w:rsid w:val="00BF3ED5"/>
    <w:rsid w:val="00BF4CDA"/>
    <w:rsid w:val="00BF7493"/>
    <w:rsid w:val="00C0068A"/>
    <w:rsid w:val="00C00742"/>
    <w:rsid w:val="00C01950"/>
    <w:rsid w:val="00C02B3E"/>
    <w:rsid w:val="00C0333F"/>
    <w:rsid w:val="00C04AB5"/>
    <w:rsid w:val="00C04D0E"/>
    <w:rsid w:val="00C136C9"/>
    <w:rsid w:val="00C174D3"/>
    <w:rsid w:val="00C17F45"/>
    <w:rsid w:val="00C22742"/>
    <w:rsid w:val="00C230B7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00E"/>
    <w:rsid w:val="00C46BAC"/>
    <w:rsid w:val="00C5427B"/>
    <w:rsid w:val="00C6042B"/>
    <w:rsid w:val="00C6337B"/>
    <w:rsid w:val="00C65E44"/>
    <w:rsid w:val="00C8191F"/>
    <w:rsid w:val="00C83512"/>
    <w:rsid w:val="00C84844"/>
    <w:rsid w:val="00C86BE8"/>
    <w:rsid w:val="00C91E1B"/>
    <w:rsid w:val="00C951F9"/>
    <w:rsid w:val="00C95333"/>
    <w:rsid w:val="00C956A6"/>
    <w:rsid w:val="00C9602B"/>
    <w:rsid w:val="00C96488"/>
    <w:rsid w:val="00CA3611"/>
    <w:rsid w:val="00CA4FB8"/>
    <w:rsid w:val="00CB702A"/>
    <w:rsid w:val="00CC561C"/>
    <w:rsid w:val="00CC74B1"/>
    <w:rsid w:val="00CC7623"/>
    <w:rsid w:val="00CD15CC"/>
    <w:rsid w:val="00CD379A"/>
    <w:rsid w:val="00CD6610"/>
    <w:rsid w:val="00CD7FE9"/>
    <w:rsid w:val="00CE0970"/>
    <w:rsid w:val="00CE18AB"/>
    <w:rsid w:val="00CE4872"/>
    <w:rsid w:val="00CE4A6D"/>
    <w:rsid w:val="00CE6CB0"/>
    <w:rsid w:val="00CF0826"/>
    <w:rsid w:val="00CF10AC"/>
    <w:rsid w:val="00CF22FB"/>
    <w:rsid w:val="00CF2B19"/>
    <w:rsid w:val="00CF5F45"/>
    <w:rsid w:val="00D031F7"/>
    <w:rsid w:val="00D04094"/>
    <w:rsid w:val="00D04BA6"/>
    <w:rsid w:val="00D06E15"/>
    <w:rsid w:val="00D06E96"/>
    <w:rsid w:val="00D07072"/>
    <w:rsid w:val="00D07415"/>
    <w:rsid w:val="00D13165"/>
    <w:rsid w:val="00D2148A"/>
    <w:rsid w:val="00D22A2A"/>
    <w:rsid w:val="00D22F52"/>
    <w:rsid w:val="00D248FA"/>
    <w:rsid w:val="00D251FB"/>
    <w:rsid w:val="00D25C53"/>
    <w:rsid w:val="00D2722B"/>
    <w:rsid w:val="00D272E5"/>
    <w:rsid w:val="00D319A4"/>
    <w:rsid w:val="00D321A2"/>
    <w:rsid w:val="00D33861"/>
    <w:rsid w:val="00D36DB5"/>
    <w:rsid w:val="00D45669"/>
    <w:rsid w:val="00D525F5"/>
    <w:rsid w:val="00D52F6E"/>
    <w:rsid w:val="00D5505D"/>
    <w:rsid w:val="00D55BAA"/>
    <w:rsid w:val="00D57412"/>
    <w:rsid w:val="00D60345"/>
    <w:rsid w:val="00D6159A"/>
    <w:rsid w:val="00D6779D"/>
    <w:rsid w:val="00D70345"/>
    <w:rsid w:val="00D76685"/>
    <w:rsid w:val="00D775AE"/>
    <w:rsid w:val="00D8164B"/>
    <w:rsid w:val="00D823D9"/>
    <w:rsid w:val="00D83F33"/>
    <w:rsid w:val="00D843A8"/>
    <w:rsid w:val="00D8635C"/>
    <w:rsid w:val="00D86D2E"/>
    <w:rsid w:val="00D86F12"/>
    <w:rsid w:val="00D90D1B"/>
    <w:rsid w:val="00D92DCB"/>
    <w:rsid w:val="00D9569D"/>
    <w:rsid w:val="00D96F1A"/>
    <w:rsid w:val="00D97796"/>
    <w:rsid w:val="00D97DA7"/>
    <w:rsid w:val="00D97EFB"/>
    <w:rsid w:val="00DA01C6"/>
    <w:rsid w:val="00DA36D3"/>
    <w:rsid w:val="00DC0087"/>
    <w:rsid w:val="00DC150E"/>
    <w:rsid w:val="00DC32AE"/>
    <w:rsid w:val="00DC4B09"/>
    <w:rsid w:val="00DC5B21"/>
    <w:rsid w:val="00DC7B3F"/>
    <w:rsid w:val="00DD07B8"/>
    <w:rsid w:val="00DD1354"/>
    <w:rsid w:val="00DD2D9E"/>
    <w:rsid w:val="00DD4903"/>
    <w:rsid w:val="00DE301F"/>
    <w:rsid w:val="00DE6F1B"/>
    <w:rsid w:val="00DE7CE0"/>
    <w:rsid w:val="00DF019D"/>
    <w:rsid w:val="00DF42E6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4905"/>
    <w:rsid w:val="00E149B3"/>
    <w:rsid w:val="00E15611"/>
    <w:rsid w:val="00E160B7"/>
    <w:rsid w:val="00E16E80"/>
    <w:rsid w:val="00E21CDD"/>
    <w:rsid w:val="00E248CC"/>
    <w:rsid w:val="00E30C4C"/>
    <w:rsid w:val="00E332E0"/>
    <w:rsid w:val="00E33596"/>
    <w:rsid w:val="00E361A2"/>
    <w:rsid w:val="00E40664"/>
    <w:rsid w:val="00E40C80"/>
    <w:rsid w:val="00E44C7C"/>
    <w:rsid w:val="00E44FC8"/>
    <w:rsid w:val="00E479D2"/>
    <w:rsid w:val="00E5701C"/>
    <w:rsid w:val="00E5748F"/>
    <w:rsid w:val="00E62C66"/>
    <w:rsid w:val="00E63EE7"/>
    <w:rsid w:val="00E652B4"/>
    <w:rsid w:val="00E72BED"/>
    <w:rsid w:val="00E750EF"/>
    <w:rsid w:val="00E7609A"/>
    <w:rsid w:val="00E80FFB"/>
    <w:rsid w:val="00E831C1"/>
    <w:rsid w:val="00E84A54"/>
    <w:rsid w:val="00E87546"/>
    <w:rsid w:val="00E91BA8"/>
    <w:rsid w:val="00E92F53"/>
    <w:rsid w:val="00E9317E"/>
    <w:rsid w:val="00E956E5"/>
    <w:rsid w:val="00E97FBC"/>
    <w:rsid w:val="00EA333C"/>
    <w:rsid w:val="00EA627D"/>
    <w:rsid w:val="00EB0524"/>
    <w:rsid w:val="00EB0D29"/>
    <w:rsid w:val="00EB1086"/>
    <w:rsid w:val="00EC4949"/>
    <w:rsid w:val="00ED0161"/>
    <w:rsid w:val="00ED06B3"/>
    <w:rsid w:val="00ED0997"/>
    <w:rsid w:val="00ED1190"/>
    <w:rsid w:val="00ED609D"/>
    <w:rsid w:val="00EE090A"/>
    <w:rsid w:val="00EE0A23"/>
    <w:rsid w:val="00EE5E58"/>
    <w:rsid w:val="00EE7938"/>
    <w:rsid w:val="00EE79D0"/>
    <w:rsid w:val="00EF178A"/>
    <w:rsid w:val="00EF2ADB"/>
    <w:rsid w:val="00EF7131"/>
    <w:rsid w:val="00F0119E"/>
    <w:rsid w:val="00F01B71"/>
    <w:rsid w:val="00F070C6"/>
    <w:rsid w:val="00F111DB"/>
    <w:rsid w:val="00F11D93"/>
    <w:rsid w:val="00F12F3A"/>
    <w:rsid w:val="00F14C37"/>
    <w:rsid w:val="00F15F1F"/>
    <w:rsid w:val="00F16B79"/>
    <w:rsid w:val="00F17D2F"/>
    <w:rsid w:val="00F17D8A"/>
    <w:rsid w:val="00F26709"/>
    <w:rsid w:val="00F27950"/>
    <w:rsid w:val="00F31AAC"/>
    <w:rsid w:val="00F32C70"/>
    <w:rsid w:val="00F37DAF"/>
    <w:rsid w:val="00F43AE8"/>
    <w:rsid w:val="00F43EDB"/>
    <w:rsid w:val="00F46F63"/>
    <w:rsid w:val="00F473F9"/>
    <w:rsid w:val="00F478EA"/>
    <w:rsid w:val="00F51439"/>
    <w:rsid w:val="00F523A6"/>
    <w:rsid w:val="00F52D22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323"/>
    <w:rsid w:val="00F75895"/>
    <w:rsid w:val="00F763F6"/>
    <w:rsid w:val="00F80D6C"/>
    <w:rsid w:val="00F812C7"/>
    <w:rsid w:val="00F81F3B"/>
    <w:rsid w:val="00F84808"/>
    <w:rsid w:val="00F872F4"/>
    <w:rsid w:val="00F90AA0"/>
    <w:rsid w:val="00F91ACF"/>
    <w:rsid w:val="00F9694D"/>
    <w:rsid w:val="00F97E63"/>
    <w:rsid w:val="00FA1540"/>
    <w:rsid w:val="00FA18F1"/>
    <w:rsid w:val="00FA20BF"/>
    <w:rsid w:val="00FA6FCE"/>
    <w:rsid w:val="00FA736A"/>
    <w:rsid w:val="00FA77AA"/>
    <w:rsid w:val="00FB23F7"/>
    <w:rsid w:val="00FB5654"/>
    <w:rsid w:val="00FC56EE"/>
    <w:rsid w:val="00FD0ACB"/>
    <w:rsid w:val="00FD0FED"/>
    <w:rsid w:val="00FD2362"/>
    <w:rsid w:val="00FD3B5D"/>
    <w:rsid w:val="00FD60D2"/>
    <w:rsid w:val="00FE05C3"/>
    <w:rsid w:val="00FE1382"/>
    <w:rsid w:val="00FE541B"/>
    <w:rsid w:val="00FE5BA7"/>
    <w:rsid w:val="00FE7D4A"/>
    <w:rsid w:val="00FF06B9"/>
    <w:rsid w:val="00FF16C8"/>
    <w:rsid w:val="00FF24C4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66F5-D7DF-4304-ACB6-E53A3065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2797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Ahmadi Diana</cp:lastModifiedBy>
  <cp:revision>42</cp:revision>
  <cp:lastPrinted>2017-08-11T08:29:00Z</cp:lastPrinted>
  <dcterms:created xsi:type="dcterms:W3CDTF">2017-07-17T12:39:00Z</dcterms:created>
  <dcterms:modified xsi:type="dcterms:W3CDTF">2017-08-11T08:29:00Z</dcterms:modified>
</cp:coreProperties>
</file>