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54405F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o   p o s k y t n u t í </w:t>
      </w:r>
    </w:p>
    <w:p w:rsidR="00937FCD" w:rsidRDefault="00937FCD" w:rsidP="0054405F">
      <w:pPr>
        <w:spacing w:before="120"/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4523BC" w:rsidRPr="00B141AC" w:rsidRDefault="004523BC" w:rsidP="0054405F">
      <w:pPr>
        <w:spacing w:before="120"/>
        <w:jc w:val="center"/>
        <w:rPr>
          <w:b/>
        </w:rPr>
      </w:pPr>
      <w:r w:rsidRPr="00B141AC">
        <w:rPr>
          <w:b/>
        </w:rPr>
        <w:t>č. OLP/</w:t>
      </w:r>
      <w:r w:rsidR="00334251">
        <w:rPr>
          <w:b/>
        </w:rPr>
        <w:t>2</w:t>
      </w:r>
      <w:r w:rsidR="00B832B7">
        <w:rPr>
          <w:b/>
        </w:rPr>
        <w:t>629</w:t>
      </w:r>
      <w:r>
        <w:rPr>
          <w:b/>
        </w:rPr>
        <w:t>/201</w:t>
      </w:r>
      <w:r w:rsidR="00937FCD">
        <w:rPr>
          <w:b/>
        </w:rPr>
        <w:t>7</w:t>
      </w:r>
    </w:p>
    <w:p w:rsidR="004523BC" w:rsidRPr="00B141AC" w:rsidRDefault="004523BC" w:rsidP="0054405F">
      <w:pPr>
        <w:spacing w:before="120" w:line="276" w:lineRule="auto"/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34251">
        <w:t>29. 8</w:t>
      </w:r>
      <w:r w:rsidR="00937FCD">
        <w:t>. 2017</w:t>
      </w:r>
      <w:r w:rsidRPr="00B141AC">
        <w:t xml:space="preserve"> usnesením č. </w:t>
      </w:r>
      <w:r w:rsidR="00334251">
        <w:t>……..</w:t>
      </w:r>
      <w:r w:rsidRPr="00B141AC">
        <w:t>/</w:t>
      </w:r>
      <w:r>
        <w:t>1</w:t>
      </w:r>
      <w:r w:rsidR="00937FCD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54405F">
      <w:pPr>
        <w:spacing w:before="120" w:line="276" w:lineRule="auto"/>
        <w:jc w:val="both"/>
      </w:pPr>
    </w:p>
    <w:p w:rsidR="0054405F" w:rsidRPr="00B141AC" w:rsidRDefault="0054405F" w:rsidP="0054405F">
      <w:pPr>
        <w:spacing w:before="120" w:line="276" w:lineRule="auto"/>
        <w:jc w:val="both"/>
      </w:pPr>
      <w:r w:rsidRPr="00B141AC">
        <w:t>Smluvní strany:</w:t>
      </w:r>
    </w:p>
    <w:p w:rsidR="0054405F" w:rsidRPr="00B141AC" w:rsidRDefault="0054405F" w:rsidP="0054405F">
      <w:pPr>
        <w:spacing w:before="120" w:line="276" w:lineRule="auto"/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54405F" w:rsidRPr="00B141AC" w:rsidRDefault="0054405F" w:rsidP="0054405F">
      <w:pPr>
        <w:spacing w:before="120" w:line="276" w:lineRule="auto"/>
        <w:jc w:val="both"/>
      </w:pPr>
      <w:r>
        <w:t xml:space="preserve">se sídlem </w:t>
      </w:r>
      <w:r w:rsidRPr="00B141AC">
        <w:t>U Jezu 642/2a, 461 80 Liberec 2</w:t>
      </w:r>
    </w:p>
    <w:p w:rsidR="0054405F" w:rsidRPr="0005491D" w:rsidRDefault="0054405F" w:rsidP="0054405F">
      <w:pPr>
        <w:spacing w:before="120" w:line="276" w:lineRule="auto"/>
        <w:jc w:val="both"/>
      </w:pPr>
      <w:r>
        <w:t xml:space="preserve">zastoupený Martinem Půtou, hejtmanem, </w:t>
      </w:r>
      <w:r w:rsidRPr="0005491D">
        <w:t xml:space="preserve">na základě plné moci Markem </w:t>
      </w:r>
      <w:proofErr w:type="spellStart"/>
      <w:r w:rsidRPr="0005491D">
        <w:t>Pieterem</w:t>
      </w:r>
      <w:proofErr w:type="spellEnd"/>
      <w:r w:rsidRPr="0005491D">
        <w:t>, náměstkem hejtmana řízení resortu dopravy, investic a veřejných zakázek</w:t>
      </w:r>
    </w:p>
    <w:p w:rsidR="0054405F" w:rsidRDefault="0054405F" w:rsidP="0054405F">
      <w:pPr>
        <w:spacing w:before="120" w:line="276" w:lineRule="auto"/>
        <w:jc w:val="both"/>
      </w:pPr>
      <w:r>
        <w:t>IČO</w:t>
      </w:r>
      <w:r w:rsidRPr="00B141AC">
        <w:t>: 70891508</w:t>
      </w:r>
    </w:p>
    <w:p w:rsidR="0054405F" w:rsidRPr="00B141AC" w:rsidRDefault="0054405F" w:rsidP="0054405F">
      <w:pPr>
        <w:spacing w:before="120" w:line="276" w:lineRule="auto"/>
        <w:jc w:val="both"/>
      </w:pPr>
      <w:r>
        <w:t>DIČ: CZ70891508</w:t>
      </w:r>
    </w:p>
    <w:p w:rsidR="0054405F" w:rsidRPr="00B141AC" w:rsidRDefault="0054405F" w:rsidP="0054405F">
      <w:pPr>
        <w:spacing w:before="120" w:line="276" w:lineRule="auto"/>
        <w:jc w:val="both"/>
      </w:pPr>
      <w:r>
        <w:t>bankovní spojení</w:t>
      </w:r>
      <w:r w:rsidRPr="00B141AC">
        <w:t xml:space="preserve">: </w:t>
      </w:r>
      <w:r>
        <w:t>Komerční banka, a.s.</w:t>
      </w:r>
    </w:p>
    <w:p w:rsidR="0054405F" w:rsidRPr="00B141AC" w:rsidRDefault="0054405F" w:rsidP="0054405F">
      <w:pPr>
        <w:spacing w:before="120" w:line="276" w:lineRule="auto"/>
        <w:jc w:val="both"/>
      </w:pPr>
      <w:r>
        <w:t>číslo účtu</w:t>
      </w:r>
      <w:r w:rsidRPr="00B141AC">
        <w:t xml:space="preserve">: </w:t>
      </w:r>
      <w:r w:rsidRPr="006A3DB3">
        <w:t>19-7964</w:t>
      </w:r>
      <w:r>
        <w:t>00</w:t>
      </w:r>
      <w:r w:rsidRPr="006A3DB3">
        <w:t>02</w:t>
      </w:r>
      <w:r>
        <w:t>7</w:t>
      </w:r>
      <w:r w:rsidRPr="006A3DB3">
        <w:t>7/0100</w:t>
      </w:r>
    </w:p>
    <w:p w:rsidR="0054405F" w:rsidRPr="00B141AC" w:rsidRDefault="0054405F" w:rsidP="0054405F">
      <w:pPr>
        <w:spacing w:before="120" w:line="276" w:lineRule="auto"/>
        <w:jc w:val="both"/>
      </w:pPr>
      <w:r w:rsidRPr="00B141AC">
        <w:t>dále jen „</w:t>
      </w:r>
      <w:r w:rsidRPr="00725ADF">
        <w:rPr>
          <w:b/>
          <w:i/>
        </w:rPr>
        <w:t>poskytovatel</w:t>
      </w:r>
      <w:r>
        <w:t>“</w:t>
      </w:r>
    </w:p>
    <w:p w:rsidR="0054405F" w:rsidRPr="00B141AC" w:rsidRDefault="0054405F" w:rsidP="0054405F">
      <w:pPr>
        <w:spacing w:before="120" w:line="276" w:lineRule="auto"/>
        <w:jc w:val="both"/>
        <w:rPr>
          <w:sz w:val="20"/>
          <w:szCs w:val="20"/>
        </w:rPr>
      </w:pPr>
    </w:p>
    <w:p w:rsidR="0054405F" w:rsidRPr="00B141AC" w:rsidRDefault="0054405F" w:rsidP="0054405F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54405F">
      <w:pPr>
        <w:spacing w:before="120" w:line="276" w:lineRule="auto"/>
        <w:jc w:val="both"/>
        <w:rPr>
          <w:sz w:val="20"/>
          <w:szCs w:val="20"/>
        </w:rPr>
      </w:pPr>
    </w:p>
    <w:p w:rsidR="001968D0" w:rsidRPr="00B141AC" w:rsidRDefault="007E4046" w:rsidP="0054405F">
      <w:pPr>
        <w:spacing w:before="120" w:line="276" w:lineRule="auto"/>
        <w:jc w:val="both"/>
        <w:rPr>
          <w:b/>
        </w:rPr>
      </w:pPr>
      <w:r>
        <w:rPr>
          <w:b/>
        </w:rPr>
        <w:t xml:space="preserve">Obec </w:t>
      </w:r>
      <w:r w:rsidR="00B832B7">
        <w:rPr>
          <w:b/>
        </w:rPr>
        <w:t>Jestřabí v Krkonoších</w:t>
      </w:r>
    </w:p>
    <w:p w:rsidR="001968D0" w:rsidRPr="00B141AC" w:rsidRDefault="001968D0" w:rsidP="0054405F">
      <w:pPr>
        <w:spacing w:before="120" w:line="276" w:lineRule="auto"/>
        <w:jc w:val="both"/>
      </w:pPr>
      <w:r w:rsidRPr="00B141AC">
        <w:t>se sídlem</w:t>
      </w:r>
      <w:r w:rsidR="0054405F">
        <w:t xml:space="preserve"> </w:t>
      </w:r>
      <w:r w:rsidR="00B832B7">
        <w:t>Roudnice 42</w:t>
      </w:r>
      <w:r w:rsidR="007E4046">
        <w:t xml:space="preserve">, </w:t>
      </w:r>
      <w:r w:rsidR="00B832B7">
        <w:t>514 01 Jestřabí v Krkonoších</w:t>
      </w:r>
    </w:p>
    <w:p w:rsidR="001968D0" w:rsidRDefault="0054405F" w:rsidP="0054405F">
      <w:pPr>
        <w:spacing w:before="120" w:line="276" w:lineRule="auto"/>
        <w:jc w:val="both"/>
      </w:pPr>
      <w:r>
        <w:t xml:space="preserve">zastoupená </w:t>
      </w:r>
      <w:r w:rsidR="00B832B7">
        <w:t>Bc</w:t>
      </w:r>
      <w:r w:rsidR="007E4046">
        <w:t xml:space="preserve">. </w:t>
      </w:r>
      <w:r w:rsidR="00B832B7">
        <w:t>Zdeňkou Haasovou</w:t>
      </w:r>
      <w:r w:rsidR="00B97ECA">
        <w:t>, starost</w:t>
      </w:r>
      <w:r w:rsidR="00B832B7">
        <w:t>kou</w:t>
      </w:r>
    </w:p>
    <w:p w:rsidR="001968D0" w:rsidRDefault="0054405F" w:rsidP="0054405F">
      <w:pPr>
        <w:spacing w:before="120" w:line="276" w:lineRule="auto"/>
        <w:jc w:val="both"/>
      </w:pPr>
      <w:r>
        <w:t>IČO</w:t>
      </w:r>
      <w:r w:rsidR="001968D0">
        <w:t xml:space="preserve">: </w:t>
      </w:r>
      <w:r w:rsidR="00AF23B0">
        <w:t>00</w:t>
      </w:r>
      <w:r w:rsidR="00B832B7">
        <w:t>275794</w:t>
      </w:r>
    </w:p>
    <w:p w:rsidR="001968D0" w:rsidRDefault="0054405F" w:rsidP="0054405F">
      <w:pPr>
        <w:spacing w:before="120" w:line="276" w:lineRule="auto"/>
        <w:jc w:val="both"/>
      </w:pPr>
      <w:r>
        <w:t>DIČ</w:t>
      </w:r>
      <w:r w:rsidR="001968D0">
        <w:t>: CZ</w:t>
      </w:r>
      <w:r w:rsidR="00B832B7" w:rsidRPr="00B832B7">
        <w:t>00275794</w:t>
      </w:r>
    </w:p>
    <w:p w:rsidR="001968D0" w:rsidRDefault="0054405F" w:rsidP="0054405F">
      <w:pPr>
        <w:spacing w:before="120" w:line="276" w:lineRule="auto"/>
        <w:jc w:val="both"/>
      </w:pPr>
      <w:r>
        <w:t>Bankovní spojení</w:t>
      </w:r>
      <w:r w:rsidR="001968D0">
        <w:t xml:space="preserve">: </w:t>
      </w:r>
      <w:r w:rsidR="00B832B7">
        <w:t>Komerční banka, a.s.</w:t>
      </w:r>
    </w:p>
    <w:p w:rsidR="001968D0" w:rsidRDefault="0054405F" w:rsidP="0054405F">
      <w:pPr>
        <w:spacing w:before="120" w:line="276" w:lineRule="auto"/>
        <w:jc w:val="both"/>
      </w:pPr>
      <w:r>
        <w:t>Číslo účtu</w:t>
      </w:r>
      <w:r w:rsidR="001968D0">
        <w:t xml:space="preserve">: </w:t>
      </w:r>
      <w:r w:rsidR="00B832B7">
        <w:t>4524581/0100</w:t>
      </w:r>
    </w:p>
    <w:p w:rsidR="001968D0" w:rsidRDefault="001968D0" w:rsidP="0054405F">
      <w:pPr>
        <w:spacing w:before="120" w:line="276" w:lineRule="auto"/>
        <w:jc w:val="both"/>
      </w:pPr>
      <w:r>
        <w:t>dále jen „</w:t>
      </w:r>
      <w:r w:rsidRPr="0054405F">
        <w:rPr>
          <w:b/>
          <w:i/>
        </w:rPr>
        <w:t>příjemce</w:t>
      </w:r>
      <w:r w:rsidR="0054405F">
        <w:t>“</w:t>
      </w:r>
    </w:p>
    <w:p w:rsidR="004523BC" w:rsidRDefault="004523BC" w:rsidP="0054405F">
      <w:pPr>
        <w:spacing w:before="120" w:line="276" w:lineRule="auto"/>
        <w:jc w:val="both"/>
      </w:pPr>
    </w:p>
    <w:p w:rsidR="004523BC" w:rsidRPr="006B5AE8" w:rsidRDefault="004523BC" w:rsidP="0054405F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54405F">
      <w:pPr>
        <w:spacing w:before="120" w:line="276" w:lineRule="auto"/>
        <w:jc w:val="both"/>
      </w:pPr>
    </w:p>
    <w:p w:rsidR="004523BC" w:rsidRDefault="004523BC" w:rsidP="0054405F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54405F">
      <w:pPr>
        <w:spacing w:before="120" w:line="276" w:lineRule="auto"/>
        <w:jc w:val="center"/>
        <w:rPr>
          <w:b/>
        </w:rPr>
      </w:pPr>
    </w:p>
    <w:p w:rsidR="0054405F" w:rsidRDefault="0054405F" w:rsidP="0054405F">
      <w:pPr>
        <w:jc w:val="center"/>
        <w:rPr>
          <w:b/>
        </w:rPr>
      </w:pPr>
    </w:p>
    <w:p w:rsidR="004523BC" w:rsidRDefault="004523BC" w:rsidP="0054405F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54405F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54405F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Smluvní strany uzavírají smlouvu o poskytnutí účelové </w:t>
      </w:r>
      <w:r w:rsidR="00B832B7">
        <w:t>ne</w:t>
      </w:r>
      <w:r>
        <w:t>investiční</w:t>
      </w:r>
      <w:r w:rsidR="002A1078">
        <w:t xml:space="preserve"> </w:t>
      </w:r>
      <w:r w:rsidRPr="00B141AC">
        <w:t>dotace</w:t>
      </w:r>
      <w:r>
        <w:t xml:space="preserve"> na projekt s názvem:</w:t>
      </w:r>
    </w:p>
    <w:p w:rsidR="004523BC" w:rsidRDefault="00E61C70" w:rsidP="0054405F">
      <w:pPr>
        <w:spacing w:before="120" w:line="276" w:lineRule="auto"/>
        <w:ind w:left="360"/>
        <w:jc w:val="center"/>
        <w:rPr>
          <w:b/>
        </w:rPr>
      </w:pPr>
      <w:r w:rsidRPr="00E61C70">
        <w:rPr>
          <w:b/>
        </w:rPr>
        <w:t>„</w:t>
      </w:r>
      <w:r w:rsidR="00B832B7" w:rsidRPr="00B832B7">
        <w:rPr>
          <w:b/>
        </w:rPr>
        <w:t xml:space="preserve">Oprava cyklotrasy K8 úsek Jestřabí - </w:t>
      </w:r>
      <w:proofErr w:type="spellStart"/>
      <w:r w:rsidR="00B832B7" w:rsidRPr="00B832B7">
        <w:rPr>
          <w:b/>
        </w:rPr>
        <w:t>Zabylý</w:t>
      </w:r>
      <w:proofErr w:type="spellEnd"/>
      <w:r w:rsidRPr="00E61C70">
        <w:rPr>
          <w:b/>
        </w:rPr>
        <w:t>“</w:t>
      </w:r>
      <w:r w:rsidR="001968D0">
        <w:rPr>
          <w:b/>
        </w:rPr>
        <w:t>,</w:t>
      </w:r>
    </w:p>
    <w:p w:rsidR="004523BC" w:rsidRPr="000D530F" w:rsidRDefault="004523BC" w:rsidP="0054405F">
      <w:pPr>
        <w:spacing w:before="120" w:line="276" w:lineRule="auto"/>
        <w:ind w:left="284"/>
        <w:jc w:val="both"/>
      </w:pPr>
      <w:r w:rsidRPr="000D530F">
        <w:t xml:space="preserve">který byl schválen usnesením Zastupitelstva Libereckého kraje č. </w:t>
      </w:r>
      <w:r w:rsidR="00497F39">
        <w:t>….</w:t>
      </w:r>
      <w:r w:rsidRPr="000D530F">
        <w:t>/1</w:t>
      </w:r>
      <w:r w:rsidR="00F96621">
        <w:t>7</w:t>
      </w:r>
      <w:r w:rsidRPr="000D530F">
        <w:t xml:space="preserve">/ZK ze dne </w:t>
      </w:r>
      <w:r w:rsidR="00497F39">
        <w:t>29. 8</w:t>
      </w:r>
      <w:r w:rsidR="004A1FA7">
        <w:t>. 2017</w:t>
      </w:r>
      <w:r w:rsidRPr="000D530F">
        <w:t>.</w:t>
      </w:r>
    </w:p>
    <w:p w:rsidR="004523BC" w:rsidRPr="0054405F" w:rsidRDefault="004523BC" w:rsidP="0054405F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B832B7" w:rsidRPr="0054405F">
        <w:t xml:space="preserve">oprava nebezpečných úseků krkonošské cyklotrasy K8 po účelových komunikacích na </w:t>
      </w:r>
      <w:proofErr w:type="spellStart"/>
      <w:r w:rsidR="00B832B7" w:rsidRPr="0054405F">
        <w:t>p.p.č</w:t>
      </w:r>
      <w:proofErr w:type="spellEnd"/>
      <w:r w:rsidR="00B832B7" w:rsidRPr="0054405F">
        <w:t>. 1474/1, 1462, 1488/2 a 1439/2 a</w:t>
      </w:r>
      <w:r w:rsidR="0009243F">
        <w:t>ž po</w:t>
      </w:r>
      <w:r w:rsidR="00B832B7" w:rsidRPr="0054405F">
        <w:t xml:space="preserve"> navazující komunikaci ve </w:t>
      </w:r>
      <w:proofErr w:type="spellStart"/>
      <w:r w:rsidR="00B832B7" w:rsidRPr="0054405F">
        <w:t>Stromkovicích</w:t>
      </w:r>
      <w:proofErr w:type="spellEnd"/>
      <w:r w:rsidR="00B832B7" w:rsidRPr="0054405F">
        <w:t>.</w:t>
      </w:r>
    </w:p>
    <w:p w:rsidR="004523BC" w:rsidRDefault="004523BC" w:rsidP="0054405F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p w:rsidR="0054405F" w:rsidRDefault="0054405F" w:rsidP="0054405F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2243"/>
        <w:gridCol w:w="3071"/>
      </w:tblGrid>
      <w:tr w:rsidR="004523BC" w:rsidRPr="00B141AC" w:rsidTr="0054405F">
        <w:tc>
          <w:tcPr>
            <w:tcW w:w="3898" w:type="dxa"/>
            <w:vAlign w:val="center"/>
          </w:tcPr>
          <w:p w:rsidR="004523BC" w:rsidRPr="00B141AC" w:rsidRDefault="004523BC" w:rsidP="0054405F">
            <w:pPr>
              <w:spacing w:before="120" w:line="276" w:lineRule="auto"/>
              <w:ind w:firstLine="709"/>
              <w:jc w:val="center"/>
            </w:pPr>
            <w:r w:rsidRPr="00B141AC">
              <w:t>Název parametru</w:t>
            </w:r>
          </w:p>
        </w:tc>
        <w:tc>
          <w:tcPr>
            <w:tcW w:w="2243" w:type="dxa"/>
            <w:vAlign w:val="center"/>
          </w:tcPr>
          <w:p w:rsidR="004523BC" w:rsidRPr="00B141AC" w:rsidRDefault="004523BC" w:rsidP="0054405F">
            <w:pPr>
              <w:spacing w:before="120" w:line="276" w:lineRule="auto"/>
              <w:ind w:firstLine="709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B52905" w:rsidP="0054405F">
            <w:pPr>
              <w:spacing w:before="120" w:line="276" w:lineRule="auto"/>
              <w:ind w:firstLine="709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54405F">
        <w:tc>
          <w:tcPr>
            <w:tcW w:w="3898" w:type="dxa"/>
            <w:vAlign w:val="center"/>
          </w:tcPr>
          <w:p w:rsidR="004523BC" w:rsidRPr="00620AFA" w:rsidRDefault="00B832B7" w:rsidP="0054405F">
            <w:pPr>
              <w:spacing w:before="120" w:line="276" w:lineRule="auto"/>
              <w:jc w:val="center"/>
            </w:pPr>
            <w:r w:rsidRPr="00B85F8D">
              <w:rPr>
                <w:sz w:val="22"/>
                <w:szCs w:val="22"/>
              </w:rPr>
              <w:t>Oprava úseku cyklotrasy K8</w:t>
            </w:r>
          </w:p>
        </w:tc>
        <w:tc>
          <w:tcPr>
            <w:tcW w:w="2243" w:type="dxa"/>
            <w:vAlign w:val="center"/>
          </w:tcPr>
          <w:p w:rsidR="006F7479" w:rsidRPr="00620AFA" w:rsidRDefault="00B832B7" w:rsidP="0054405F">
            <w:pPr>
              <w:spacing w:before="120" w:line="276" w:lineRule="auto"/>
              <w:ind w:firstLine="709"/>
              <w:jc w:val="center"/>
            </w:pPr>
            <w:r>
              <w:t>km</w:t>
            </w:r>
          </w:p>
        </w:tc>
        <w:tc>
          <w:tcPr>
            <w:tcW w:w="3071" w:type="dxa"/>
            <w:vAlign w:val="center"/>
          </w:tcPr>
          <w:p w:rsidR="006F7479" w:rsidRPr="00620AFA" w:rsidRDefault="00B832B7" w:rsidP="0054405F">
            <w:pPr>
              <w:spacing w:before="120" w:line="276" w:lineRule="auto"/>
              <w:ind w:firstLine="709"/>
              <w:jc w:val="center"/>
            </w:pPr>
            <w:r>
              <w:t>2</w:t>
            </w:r>
          </w:p>
        </w:tc>
      </w:tr>
    </w:tbl>
    <w:p w:rsidR="0054405F" w:rsidRDefault="0054405F" w:rsidP="0054405F">
      <w:pPr>
        <w:spacing w:before="120" w:line="276" w:lineRule="auto"/>
        <w:ind w:left="426"/>
        <w:jc w:val="both"/>
      </w:pPr>
    </w:p>
    <w:p w:rsidR="004321DE" w:rsidRDefault="004321DE" w:rsidP="0054405F">
      <w:pPr>
        <w:spacing w:before="120" w:line="276" w:lineRule="auto"/>
        <w:ind w:left="284"/>
        <w:jc w:val="both"/>
      </w:pPr>
      <w:r w:rsidRPr="004321DE">
        <w:t>Za naplnění závazného parametru je považováno naplnění nejméně 90% hodnoty závazného parametru</w:t>
      </w:r>
    </w:p>
    <w:p w:rsidR="00C92297" w:rsidRPr="00FA6B96" w:rsidRDefault="00C92297" w:rsidP="0054405F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C92297">
        <w:t>Finanční prostředky z rozpočtu poskytovatele mohou být použity v souladu s</w:t>
      </w:r>
      <w:r w:rsidR="002512A5">
        <w:t> </w:t>
      </w:r>
      <w:r w:rsidRPr="00C92297">
        <w:t>účelem</w:t>
      </w:r>
      <w:r w:rsidR="002512A5">
        <w:t xml:space="preserve"> </w:t>
      </w:r>
      <w:r w:rsidRPr="00C92297">
        <w:t xml:space="preserve">projektu </w:t>
      </w:r>
      <w:r w:rsidR="00282E22">
        <w:t xml:space="preserve">na </w:t>
      </w:r>
      <w:r w:rsidR="00282E22" w:rsidRPr="00282E22">
        <w:t>pořízení dlouhodobého hmotného majetku do vlastnictví příjemce na projekt uvedený v čl. I. odst. 1</w:t>
      </w:r>
      <w:r w:rsidR="00282E22">
        <w:t>.</w:t>
      </w:r>
    </w:p>
    <w:p w:rsidR="00DB45F5" w:rsidRDefault="00DB45F5" w:rsidP="0054405F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54405F">
      <w:pPr>
        <w:jc w:val="center"/>
        <w:outlineLvl w:val="0"/>
        <w:rPr>
          <w:b/>
        </w:rPr>
      </w:pPr>
      <w:r w:rsidRPr="00FF1874">
        <w:rPr>
          <w:b/>
        </w:rPr>
        <w:t>Článek II.</w:t>
      </w:r>
      <w:r>
        <w:rPr>
          <w:b/>
        </w:rPr>
        <w:t xml:space="preserve"> </w:t>
      </w:r>
    </w:p>
    <w:p w:rsidR="004523BC" w:rsidRDefault="004523BC" w:rsidP="0054405F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54405F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</w:t>
      </w:r>
      <w:r w:rsidRPr="0054405F">
        <w:rPr>
          <w:b/>
        </w:rPr>
        <w:t xml:space="preserve">maximálně </w:t>
      </w:r>
      <w:r w:rsidR="00E31EB4" w:rsidRPr="0054405F">
        <w:rPr>
          <w:b/>
        </w:rPr>
        <w:t>1.</w:t>
      </w:r>
      <w:r w:rsidR="00CA0880" w:rsidRPr="0054405F">
        <w:rPr>
          <w:b/>
        </w:rPr>
        <w:t>10</w:t>
      </w:r>
      <w:r w:rsidR="00E31EB4" w:rsidRPr="0054405F">
        <w:rPr>
          <w:b/>
        </w:rPr>
        <w:t>0.000</w:t>
      </w:r>
      <w:r w:rsidR="00E61C70" w:rsidRPr="0054405F">
        <w:rPr>
          <w:b/>
        </w:rPr>
        <w:t xml:space="preserve"> </w:t>
      </w:r>
      <w:r w:rsidRPr="0054405F">
        <w:rPr>
          <w:b/>
        </w:rPr>
        <w:t>Kč</w:t>
      </w:r>
      <w:r w:rsidR="00E31EB4">
        <w:t xml:space="preserve"> (slovy: </w:t>
      </w:r>
      <w:proofErr w:type="spellStart"/>
      <w:r w:rsidR="00E31EB4">
        <w:t>Jedenmilión</w:t>
      </w:r>
      <w:r w:rsidR="00CA0880">
        <w:t>sto</w:t>
      </w:r>
      <w:r w:rsidR="00E31EB4">
        <w:t>tisíckorunčeských</w:t>
      </w:r>
      <w:proofErr w:type="spellEnd"/>
      <w:r w:rsidR="00E31EB4">
        <w:t>)</w:t>
      </w:r>
      <w:r w:rsidR="00E164C2">
        <w:t>.</w:t>
      </w:r>
    </w:p>
    <w:p w:rsidR="006D4203" w:rsidRDefault="006D4203" w:rsidP="0054405F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A96BAC">
        <w:t xml:space="preserve">Finanční prostředky </w:t>
      </w:r>
      <w:r>
        <w:t xml:space="preserve">budou </w:t>
      </w:r>
      <w:r w:rsidRPr="00A96BAC">
        <w:t xml:space="preserve">příjemci poskytnuty ve výši odpovídající závěrečnému vyúčtování a po odsouhlasení poskytovatelem. V závěrečném vyúčtování příjemce prokáže splatnost investičních výdajů akce (fakturu), jejichž pokrytí je požadováno v rámci projektu. K závěrečnému vyúčtování předloží příjemce dotace kopie účetních resp. prvotních daňových dokladů nebo zjednodušených daňových dokladů (např. faktury, účtenky, paragony, výdajové pokladní doklady) týkající se realizovaného projektu </w:t>
      </w:r>
      <w:r w:rsidRPr="00AB6283">
        <w:t>(a to ve výši, resp. do výše celkových způsobilých výdajů projektu).</w:t>
      </w:r>
    </w:p>
    <w:p w:rsidR="006D4203" w:rsidRPr="0080568B" w:rsidRDefault="006D4203" w:rsidP="0054405F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>Příjemci bude poskytnuta záloha ve výši max. 90 % z celkové přiznané dotace.</w:t>
      </w:r>
      <w:r w:rsidRPr="0054405F">
        <w:t xml:space="preserve"> Finanční prostředky budou převedeny do 30 kalendářních dnů po nabytí účinnosti této smlouvy na účet příjemce v případě, kdy o zálohu příjemce písemně požádá. Zbývající část finančních prostředků bude převedena na účet příjemce do 15 kalendářních dnů ode dne, kdy poskytovatel písemně potvrdí příjemci správnost předloženého úplného závěrečného </w:t>
      </w:r>
      <w:r w:rsidRPr="0054405F">
        <w:lastRenderedPageBreak/>
        <w:t>vyúčtování, ve výši odpovídající smluvním podmínkám, maximálně do výše přiznané dotace snížené o poskytnutou zálohu.</w:t>
      </w:r>
    </w:p>
    <w:p w:rsidR="006D4203" w:rsidRPr="0080568B" w:rsidRDefault="006D4203" w:rsidP="0054405F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 xml:space="preserve">V případě, že nebude poskytnuta záloha, budou finanční prostředky převedeny na účet příjemce do 30 dnů </w:t>
      </w:r>
      <w:r w:rsidRPr="0054405F"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C92297" w:rsidRDefault="00C92297" w:rsidP="0054405F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54405F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54405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54405F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1C059D">
        <w:t xml:space="preserve">O použití a využití poskytovatelem poskytnutých </w:t>
      </w:r>
      <w:r w:rsidRPr="0054405F"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AB4BED">
        <w:t>1. 1. 2017</w:t>
      </w:r>
      <w:r w:rsidRPr="00634533">
        <w:t xml:space="preserve">. </w:t>
      </w:r>
      <w:r w:rsidRPr="00AB4BED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AB4BED">
        <w:t>charge</w:t>
      </w:r>
      <w:proofErr w:type="spellEnd"/>
      <w:r w:rsidRPr="00AB4BED">
        <w:t xml:space="preserve"> musí příjemce současně doložit i náležitosti uvedené v čl. III odst. </w:t>
      </w:r>
      <w:r w:rsidR="00496156" w:rsidRPr="00AB4BED">
        <w:t>9</w:t>
      </w:r>
      <w:r w:rsidRPr="00AB4BED">
        <w:t>.</w:t>
      </w:r>
      <w:r w:rsidR="002410C8" w:rsidRPr="00AB4BED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C5D98" w:rsidRPr="0054405F">
        <w:t>1. 10. 2017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CC5D98" w:rsidRPr="0054405F">
        <w:t>31. 10. 2018</w:t>
      </w:r>
      <w:r w:rsidR="00642543" w:rsidRPr="0054405F">
        <w:t>.</w:t>
      </w:r>
    </w:p>
    <w:p w:rsidR="00AB4BED" w:rsidRPr="0054405F" w:rsidRDefault="009811D4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221232">
        <w:t>Ukončením realizace projektu se rozumí předčasné užívání stavby, které je stvrzeno předáním protokolu k předčasnému užívání stavby</w:t>
      </w:r>
      <w:r w:rsidR="00AB4BED" w:rsidRPr="0054405F">
        <w:t>.</w:t>
      </w:r>
      <w:r w:rsidR="004523BC" w:rsidRPr="0054405F">
        <w:t xml:space="preserve"> </w:t>
      </w:r>
    </w:p>
    <w:p w:rsidR="004523BC" w:rsidRPr="009133EC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4405F"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54405F">
        <w:t>do</w:t>
      </w:r>
      <w:r w:rsidR="0004229B" w:rsidRPr="0054405F">
        <w:t xml:space="preserve"> </w:t>
      </w:r>
      <w:r w:rsidR="00CC5D98" w:rsidRPr="0054405F">
        <w:t>20. 12. 2018</w:t>
      </w:r>
      <w:r w:rsidR="00D53E64" w:rsidRPr="0054405F">
        <w:t xml:space="preserve">. </w:t>
      </w:r>
      <w:r w:rsidRPr="0054405F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AB4BED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</w:t>
      </w:r>
      <w:r w:rsidRPr="004D0F1A">
        <w:lastRenderedPageBreak/>
        <w:t>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B31036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54405F"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54405F"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B31036">
        <w:t xml:space="preserve">Pokud má být způsobilým výdajem i DPH dle čl. III. odst. </w:t>
      </w:r>
      <w:r w:rsidR="002852C0" w:rsidRPr="00B31036">
        <w:t>3</w:t>
      </w:r>
      <w:r w:rsidRPr="00B31036">
        <w:t xml:space="preserve">. a je uplatněn režim revers </w:t>
      </w:r>
      <w:proofErr w:type="spellStart"/>
      <w:r w:rsidRPr="00B31036">
        <w:t>charge</w:t>
      </w:r>
      <w:proofErr w:type="spellEnd"/>
      <w:r w:rsidRPr="00B31036">
        <w:t xml:space="preserve"> musí být příjemcem předloženy následující podklady: </w:t>
      </w:r>
    </w:p>
    <w:p w:rsidR="004523BC" w:rsidRPr="00B31036" w:rsidRDefault="004523BC" w:rsidP="0054405F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851" w:hanging="284"/>
        <w:jc w:val="both"/>
      </w:pPr>
      <w:r w:rsidRPr="00B31036">
        <w:rPr>
          <w:b/>
          <w:bCs/>
        </w:rPr>
        <w:t>kopie daňového přiznání k DPH podle § 101 zákona o DPH,</w:t>
      </w:r>
    </w:p>
    <w:p w:rsidR="004523BC" w:rsidRPr="00B31036" w:rsidRDefault="004523BC" w:rsidP="0054405F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851" w:hanging="284"/>
        <w:jc w:val="both"/>
      </w:pPr>
      <w:r w:rsidRPr="00B31036">
        <w:rPr>
          <w:b/>
          <w:bCs/>
        </w:rPr>
        <w:t>kopie evidence pro daňové účely podle § 100 zákona o DPH (s náležitostmi dle § 92a),</w:t>
      </w:r>
    </w:p>
    <w:p w:rsidR="004523BC" w:rsidRPr="00B31036" w:rsidRDefault="004523BC" w:rsidP="0054405F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851" w:hanging="284"/>
        <w:jc w:val="both"/>
      </w:pPr>
      <w:r w:rsidRPr="00B31036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54405F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B31036" w:rsidRDefault="004523BC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9811D4">
        <w:rPr>
          <w:b/>
        </w:rPr>
        <w:t xml:space="preserve">originál </w:t>
      </w:r>
      <w:r w:rsidR="00B07B19" w:rsidRPr="009811D4">
        <w:rPr>
          <w:b/>
        </w:rPr>
        <w:t>závěrečného vyúčtování</w:t>
      </w:r>
      <w:r w:rsidR="004B5CD9" w:rsidRPr="009811D4">
        <w:rPr>
          <w:b/>
        </w:rPr>
        <w:t xml:space="preserve"> projektu</w:t>
      </w:r>
      <w:r w:rsidR="00B07B19" w:rsidRPr="009811D4">
        <w:rPr>
          <w:b/>
        </w:rPr>
        <w:t xml:space="preserve"> dle přílohy č. 1 a </w:t>
      </w:r>
      <w:r w:rsidR="004B5CD9" w:rsidRPr="009811D4">
        <w:rPr>
          <w:b/>
        </w:rPr>
        <w:t xml:space="preserve">originál </w:t>
      </w:r>
      <w:r w:rsidRPr="009811D4">
        <w:rPr>
          <w:b/>
        </w:rPr>
        <w:t>závěrečné zprávy o realizaci projektu dle přílohy č. 2 této smlouvy</w:t>
      </w:r>
      <w:r w:rsidRPr="00C9643A">
        <w:t>,</w:t>
      </w:r>
    </w:p>
    <w:p w:rsidR="009811D4" w:rsidRPr="00221232" w:rsidRDefault="009811D4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221232">
        <w:rPr>
          <w:b/>
        </w:rPr>
        <w:t>kopii protokolu o předání a převzetí projektu mezi příjemcem a zhotovitelem (doklad o ukončení realizace projektu)</w:t>
      </w:r>
      <w:r w:rsidRPr="00221232">
        <w:t>, ve kterém budou uvedeny parametry, které byly v rámci projektu zhotoveny. (Ukončením realizace projektu se rozumí předčasné užívání stavby, které je stvrzeno předáním protokolu k předčasnému užívání stavby,</w:t>
      </w:r>
    </w:p>
    <w:p w:rsidR="009811D4" w:rsidRPr="00283B67" w:rsidRDefault="009811D4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  <w:rPr>
          <w:i/>
        </w:rPr>
      </w:pPr>
      <w:r w:rsidRPr="00221232">
        <w:t>dvě fotografie znázorňující místo, kde byl projekt realizován,</w:t>
      </w:r>
    </w:p>
    <w:p w:rsidR="009811D4" w:rsidRPr="00221232" w:rsidRDefault="009811D4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221232">
        <w:rPr>
          <w:b/>
        </w:rPr>
        <w:t>kopie účetních resp. prvotních daňových dokladů</w:t>
      </w:r>
      <w:r w:rsidRPr="00221232">
        <w:t xml:space="preserve"> nebo zjednodušených daňových dokladů (např. faktury, účtenky, paragony, výdajové pokladní doklady) týkající se realizovaného projektu (a to </w:t>
      </w:r>
      <w:r w:rsidRPr="00221232">
        <w:rPr>
          <w:b/>
        </w:rPr>
        <w:t>ve výši, resp. do výše celkových způsobilých výdajů projektu, ze které plyne nárok pro výpočet dotace z rozpočtu Libereckého kraje</w:t>
      </w:r>
      <w:r w:rsidRPr="00221232">
        <w:t xml:space="preserve">), </w:t>
      </w:r>
    </w:p>
    <w:p w:rsidR="009811D4" w:rsidRPr="00221232" w:rsidRDefault="009811D4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221232">
        <w:rPr>
          <w:b/>
        </w:rPr>
        <w:t>výpisy z účtu</w:t>
      </w:r>
      <w:r w:rsidRPr="00221232"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9811D4" w:rsidRPr="00B31036" w:rsidRDefault="009811D4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221232">
        <w:rPr>
          <w:b/>
        </w:rPr>
        <w:t>smlouvu o dílo nebo objednávku, pracovní smlouvu nebo dohodu o práci konané mimo pracovní poměr</w:t>
      </w:r>
      <w:r w:rsidRPr="00221232"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8851FE" w:rsidRPr="00225062" w:rsidRDefault="008851FE" w:rsidP="0054405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851" w:hanging="284"/>
        <w:jc w:val="both"/>
      </w:pPr>
      <w:r w:rsidRPr="00F46483">
        <w:rPr>
          <w:b/>
        </w:rPr>
        <w:lastRenderedPageBreak/>
        <w:t>doklad o informování veřejnosti</w:t>
      </w:r>
      <w:r>
        <w:t xml:space="preserve"> o skutečnosti, že projekt byl podpořen Libereckým krajem</w:t>
      </w:r>
      <w:r w:rsidR="0045634F">
        <w:t>,</w:t>
      </w:r>
      <w:r w:rsidR="0045634F" w:rsidRPr="0045634F">
        <w:t xml:space="preserve"> </w:t>
      </w:r>
      <w:r w:rsidR="0045634F">
        <w:t>doklady o naplnění čl. III, odst. 17.</w:t>
      </w:r>
    </w:p>
    <w:p w:rsidR="004523BC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</w:t>
      </w:r>
      <w:r w:rsidR="00800539">
        <w:t>0</w:t>
      </w:r>
      <w:r w:rsidR="007E1750">
        <w:t>0</w:t>
      </w:r>
      <w:r w:rsidRPr="00612775">
        <w:t>02</w:t>
      </w:r>
      <w:r w:rsidR="00800539">
        <w:t>7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7E1750">
        <w:t>2</w:t>
      </w:r>
      <w:r w:rsidR="00EA1147">
        <w:t>629</w:t>
      </w:r>
      <w:r w:rsidR="00B31036">
        <w:t xml:space="preserve">2017. </w:t>
      </w:r>
      <w:r w:rsidRPr="00612775">
        <w:t xml:space="preserve">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800539" w:rsidRPr="00800539">
        <w:t>19-7964000277/0100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7E1750">
        <w:t>2</w:t>
      </w:r>
      <w:r w:rsidR="00EA1147">
        <w:t>629</w:t>
      </w:r>
      <w:r w:rsidR="00B31036">
        <w:t>2017.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8851FE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851FE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8851FE">
        <w:t>dopravy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8851FE">
        <w:t xml:space="preserve">(např. </w:t>
      </w:r>
      <w:proofErr w:type="spellStart"/>
      <w:r w:rsidR="00605C85" w:rsidRPr="008851FE">
        <w:t>print</w:t>
      </w:r>
      <w:proofErr w:type="spellEnd"/>
      <w:r w:rsidR="00605C85" w:rsidRPr="008851FE">
        <w:t xml:space="preserve"> </w:t>
      </w:r>
      <w:proofErr w:type="spellStart"/>
      <w:r w:rsidR="00605C85" w:rsidRPr="008851FE">
        <w:t>screen</w:t>
      </w:r>
      <w:proofErr w:type="spellEnd"/>
      <w:r w:rsidR="00605C85" w:rsidRPr="008851FE">
        <w:t xml:space="preserve"> webových stránek, využití loga LK, </w:t>
      </w:r>
      <w:r w:rsidR="00BE1102" w:rsidRPr="008851FE">
        <w:t xml:space="preserve">tisková zpráva, </w:t>
      </w:r>
      <w:r w:rsidR="00605C85" w:rsidRPr="008851FE">
        <w:t>ústní informace)</w:t>
      </w:r>
      <w:r w:rsidRPr="008851FE">
        <w:t xml:space="preserve"> </w:t>
      </w:r>
      <w:r w:rsidR="00BB7057" w:rsidRPr="008851FE">
        <w:t>Tat</w:t>
      </w:r>
      <w:r w:rsidR="00BB7057">
        <w:t>o povinnost se nevztahuje na projekty realizované před nabytím účinnosti smlouvy.</w:t>
      </w:r>
    </w:p>
    <w:p w:rsidR="004523BC" w:rsidRDefault="008073F0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54405F">
      <w:pPr>
        <w:numPr>
          <w:ilvl w:val="1"/>
          <w:numId w:val="36"/>
        </w:numPr>
        <w:spacing w:before="120" w:line="276" w:lineRule="auto"/>
        <w:ind w:left="851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54405F">
      <w:pPr>
        <w:numPr>
          <w:ilvl w:val="1"/>
          <w:numId w:val="36"/>
        </w:numPr>
        <w:spacing w:before="120" w:line="276" w:lineRule="auto"/>
        <w:ind w:left="851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54405F">
      <w:pPr>
        <w:numPr>
          <w:ilvl w:val="1"/>
          <w:numId w:val="36"/>
        </w:numPr>
        <w:spacing w:before="120" w:line="276" w:lineRule="auto"/>
        <w:ind w:left="851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54405F">
      <w:pPr>
        <w:numPr>
          <w:ilvl w:val="1"/>
          <w:numId w:val="36"/>
        </w:numPr>
        <w:spacing w:before="120" w:line="276" w:lineRule="auto"/>
        <w:ind w:left="851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  <w:r w:rsidR="006D07DC">
        <w:t>.</w:t>
      </w:r>
    </w:p>
    <w:p w:rsidR="000A112A" w:rsidRDefault="00EE7A15" w:rsidP="0054405F">
      <w:pPr>
        <w:numPr>
          <w:ilvl w:val="1"/>
          <w:numId w:val="36"/>
        </w:numPr>
        <w:spacing w:before="120" w:line="276" w:lineRule="auto"/>
        <w:ind w:left="851"/>
      </w:pPr>
      <w:r>
        <w:lastRenderedPageBreak/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  <w:r w:rsidR="006D07DC">
        <w:t>.</w:t>
      </w:r>
    </w:p>
    <w:p w:rsidR="005A6A2B" w:rsidRPr="000A112A" w:rsidRDefault="00605C85" w:rsidP="0054405F">
      <w:pPr>
        <w:numPr>
          <w:ilvl w:val="1"/>
          <w:numId w:val="36"/>
        </w:numPr>
        <w:spacing w:before="120" w:line="276" w:lineRule="auto"/>
        <w:ind w:left="851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54405F">
      <w:pPr>
        <w:numPr>
          <w:ilvl w:val="1"/>
          <w:numId w:val="36"/>
        </w:numPr>
        <w:spacing w:before="120" w:line="276" w:lineRule="auto"/>
        <w:ind w:left="851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54405F">
      <w:pPr>
        <w:numPr>
          <w:ilvl w:val="1"/>
          <w:numId w:val="36"/>
        </w:numPr>
        <w:spacing w:before="120" w:line="276" w:lineRule="auto"/>
        <w:ind w:left="851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54405F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54405F">
      <w:pPr>
        <w:spacing w:before="120" w:line="276" w:lineRule="auto"/>
        <w:jc w:val="center"/>
        <w:outlineLvl w:val="0"/>
        <w:rPr>
          <w:b/>
        </w:rPr>
      </w:pPr>
    </w:p>
    <w:p w:rsidR="004523BC" w:rsidRPr="00035CEC" w:rsidRDefault="004523BC" w:rsidP="0054405F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54405F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lastRenderedPageBreak/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4405F" w:rsidRDefault="004523BC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54405F">
        <w:t> </w:t>
      </w:r>
      <w:r w:rsidR="008C722E">
        <w:t>tabulce</w:t>
      </w:r>
      <w:r w:rsidR="0054405F">
        <w:t>;</w:t>
      </w:r>
    </w:p>
    <w:p w:rsidR="0054405F" w:rsidRDefault="00406CAF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>
        <w:t xml:space="preserve">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>ve lhůtě uvedené níže v</w:t>
      </w:r>
      <w:r w:rsidR="0054405F">
        <w:t> </w:t>
      </w:r>
      <w:r w:rsidR="003A4DE5">
        <w:t>tabulce</w:t>
      </w:r>
      <w:r w:rsidR="0054405F">
        <w:t>;</w:t>
      </w:r>
    </w:p>
    <w:p w:rsidR="002327B6" w:rsidRDefault="004523BC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54405F">
        <w:t> </w:t>
      </w:r>
      <w:r w:rsidR="002327B6">
        <w:t>tabulce</w:t>
      </w:r>
      <w:r w:rsidR="0054405F">
        <w:t>;</w:t>
      </w:r>
      <w:r w:rsidR="002327B6">
        <w:t xml:space="preserve"> </w:t>
      </w:r>
    </w:p>
    <w:p w:rsidR="002327B6" w:rsidDel="00D60AB1" w:rsidRDefault="00406CAF" w:rsidP="0054405F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54405F" w:rsidRDefault="00DB03CE" w:rsidP="0054405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54405F">
              <w:rPr>
                <w:color w:val="000000"/>
                <w:sz w:val="20"/>
              </w:rPr>
              <w:t>L</w:t>
            </w:r>
            <w:r w:rsidR="002327B6" w:rsidRPr="0054405F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54405F" w:rsidRDefault="002327B6" w:rsidP="0054405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54405F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54405F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54405F" w:rsidRDefault="002327B6" w:rsidP="0054405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54405F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54405F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54405F" w:rsidRDefault="009C035D" w:rsidP="0054405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54405F">
              <w:rPr>
                <w:color w:val="000000"/>
                <w:sz w:val="20"/>
              </w:rPr>
              <w:t xml:space="preserve">4 </w:t>
            </w:r>
            <w:r w:rsidR="002327B6" w:rsidRPr="0054405F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54405F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426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54405F">
      <w:pPr>
        <w:pStyle w:val="Odstavecseseznamem"/>
        <w:numPr>
          <w:ilvl w:val="0"/>
          <w:numId w:val="45"/>
        </w:numPr>
        <w:spacing w:before="120" w:line="276" w:lineRule="auto"/>
        <w:ind w:left="993" w:right="227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54405F">
        <w:t>.</w:t>
      </w:r>
    </w:p>
    <w:p w:rsidR="00230555" w:rsidRDefault="007E081F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lastRenderedPageBreak/>
        <w:t xml:space="preserve">Za nedodržení podmínek uvedených v čl. III. odst. 18 písm. a. – f. se uloží nižší odvod </w:t>
      </w:r>
      <w:r w:rsidR="005B1634" w:rsidRPr="000D530F">
        <w:t xml:space="preserve">dle sazeb uvedených v čl. IV odst. 3.1 -3.6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54405F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E06FF4">
        <w:t xml:space="preserve">. </w:t>
      </w:r>
      <w:r w:rsidR="001412C6" w:rsidRPr="00612775">
        <w:t>19-7964</w:t>
      </w:r>
      <w:r w:rsidR="001412C6">
        <w:t>00</w:t>
      </w:r>
      <w:r w:rsidR="001412C6" w:rsidRPr="00612775">
        <w:t>02</w:t>
      </w:r>
      <w:r w:rsidR="001412C6">
        <w:t>7</w:t>
      </w:r>
      <w:r w:rsidR="001412C6" w:rsidRPr="00612775">
        <w:t>7/0100</w:t>
      </w:r>
      <w:r w:rsidR="00E06FF4">
        <w:t xml:space="preserve"> </w:t>
      </w:r>
      <w:r w:rsidR="008C0EFD">
        <w:t xml:space="preserve"> s variabilním symb</w:t>
      </w:r>
      <w:r w:rsidR="00DB5C73">
        <w:t>olem č.</w:t>
      </w:r>
      <w:r w:rsidR="00E06FF4" w:rsidRPr="00E06FF4">
        <w:t xml:space="preserve"> </w:t>
      </w:r>
      <w:r w:rsidR="001412C6">
        <w:t>2</w:t>
      </w:r>
      <w:r w:rsidR="00EA1147">
        <w:t>629</w:t>
      </w:r>
      <w:r w:rsidR="00E06FF4">
        <w:t xml:space="preserve">2017.         </w:t>
      </w:r>
    </w:p>
    <w:p w:rsidR="001412C6" w:rsidRDefault="001412C6" w:rsidP="0054405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5440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5440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54405F" w:rsidRDefault="0054405F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A514B7">
        <w:t>Příjemce prohlašuje, že smlouva byla schválena příslušným orgánem obce na základě zákona č. 128/2000 Sb., o obcích (obecní zřízení).</w:t>
      </w:r>
    </w:p>
    <w:p w:rsidR="00445BE3" w:rsidRDefault="00445BE3" w:rsidP="0054405F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54405F" w:rsidRDefault="00445BE3" w:rsidP="0054405F">
      <w:pPr>
        <w:pStyle w:val="Odstavecseseznamem"/>
        <w:numPr>
          <w:ilvl w:val="0"/>
          <w:numId w:val="46"/>
        </w:numPr>
        <w:spacing w:before="120" w:line="276" w:lineRule="auto"/>
        <w:jc w:val="both"/>
      </w:pPr>
      <w:r>
        <w:t xml:space="preserve">P1 </w:t>
      </w:r>
      <w:r w:rsidRPr="0054405F">
        <w:t>Závěrečné vyúčtování/vypořádání projektu podpořeného z </w:t>
      </w:r>
      <w:r w:rsidR="002C5176" w:rsidRPr="0054405F">
        <w:t>rozpočtu</w:t>
      </w:r>
      <w:r w:rsidR="0054405F">
        <w:t xml:space="preserve"> Libereckého kraje</w:t>
      </w:r>
    </w:p>
    <w:p w:rsidR="00445BE3" w:rsidRPr="0054405F" w:rsidRDefault="00445BE3" w:rsidP="0054405F">
      <w:pPr>
        <w:pStyle w:val="Odstavecseseznamem"/>
        <w:numPr>
          <w:ilvl w:val="0"/>
          <w:numId w:val="46"/>
        </w:numPr>
        <w:spacing w:before="120" w:line="276" w:lineRule="auto"/>
        <w:jc w:val="both"/>
      </w:pPr>
      <w:r w:rsidRPr="00A85E79">
        <w:t xml:space="preserve">P2 </w:t>
      </w:r>
      <w:r w:rsidRPr="0054405F">
        <w:t>Průběžná/závěrečná*zpráva o realizaci projektu</w:t>
      </w:r>
      <w:r w:rsidRPr="0054405F">
        <w:rPr>
          <w:b/>
          <w:bCs/>
          <w:sz w:val="28"/>
          <w:szCs w:val="28"/>
        </w:rPr>
        <w:t xml:space="preserve"> </w:t>
      </w:r>
    </w:p>
    <w:p w:rsidR="009C035D" w:rsidRDefault="009C035D" w:rsidP="0054405F">
      <w:pPr>
        <w:spacing w:before="120" w:line="276" w:lineRule="auto"/>
        <w:ind w:left="357"/>
        <w:jc w:val="both"/>
      </w:pPr>
    </w:p>
    <w:p w:rsidR="004523BC" w:rsidRDefault="004523BC" w:rsidP="0054405F">
      <w:pPr>
        <w:spacing w:before="120" w:line="276" w:lineRule="auto"/>
        <w:jc w:val="both"/>
      </w:pPr>
    </w:p>
    <w:p w:rsidR="004523BC" w:rsidRDefault="0054405F" w:rsidP="0054405F">
      <w:pPr>
        <w:tabs>
          <w:tab w:val="left" w:pos="482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</w:t>
      </w:r>
      <w:r w:rsidR="00EA1147">
        <w:t> Jestřabí v Krkonoších</w:t>
      </w:r>
      <w:r w:rsidR="00934E2F">
        <w:t xml:space="preserve"> </w:t>
      </w:r>
      <w:r w:rsidR="004523BC">
        <w:t>dne: ………….</w:t>
      </w:r>
    </w:p>
    <w:p w:rsidR="004523BC" w:rsidRDefault="004523BC" w:rsidP="0054405F">
      <w:pPr>
        <w:spacing w:before="120" w:line="276" w:lineRule="auto"/>
        <w:jc w:val="both"/>
      </w:pPr>
    </w:p>
    <w:p w:rsidR="004523BC" w:rsidRDefault="0054405F" w:rsidP="0054405F">
      <w:pPr>
        <w:tabs>
          <w:tab w:val="left" w:pos="4820"/>
        </w:tabs>
        <w:spacing w:before="120" w:line="276" w:lineRule="auto"/>
        <w:jc w:val="both"/>
      </w:pPr>
      <w:r>
        <w:t>Poskytovatel:</w:t>
      </w:r>
      <w:r>
        <w:tab/>
      </w:r>
      <w:r w:rsidR="004523BC">
        <w:t>Příjemce:</w:t>
      </w:r>
    </w:p>
    <w:p w:rsidR="004523BC" w:rsidRDefault="004523BC" w:rsidP="0054405F">
      <w:pPr>
        <w:spacing w:before="120" w:line="276" w:lineRule="auto"/>
        <w:jc w:val="both"/>
      </w:pPr>
    </w:p>
    <w:p w:rsidR="004523BC" w:rsidRDefault="004523BC" w:rsidP="0054405F">
      <w:pPr>
        <w:spacing w:before="120" w:line="276" w:lineRule="auto"/>
        <w:jc w:val="both"/>
      </w:pPr>
    </w:p>
    <w:p w:rsidR="004523BC" w:rsidRDefault="004523BC" w:rsidP="0054405F">
      <w:pPr>
        <w:spacing w:before="120" w:line="276" w:lineRule="auto"/>
        <w:jc w:val="both"/>
      </w:pPr>
    </w:p>
    <w:p w:rsidR="004523BC" w:rsidRDefault="0054405F" w:rsidP="0054405F">
      <w:pPr>
        <w:tabs>
          <w:tab w:val="left" w:pos="4820"/>
        </w:tabs>
        <w:spacing w:before="120" w:line="276" w:lineRule="auto"/>
        <w:jc w:val="both"/>
      </w:pPr>
      <w:r>
        <w:t>…………………………………..</w:t>
      </w:r>
      <w:r>
        <w:tab/>
        <w:t>….</w:t>
      </w:r>
      <w:r w:rsidR="004523BC">
        <w:t>……………………………….</w:t>
      </w:r>
    </w:p>
    <w:p w:rsidR="0054405F" w:rsidRDefault="0054405F" w:rsidP="0054405F">
      <w:pPr>
        <w:tabs>
          <w:tab w:val="left" w:pos="4820"/>
        </w:tabs>
        <w:spacing w:before="120" w:line="276" w:lineRule="auto"/>
        <w:jc w:val="both"/>
      </w:pPr>
      <w:r>
        <w:t>Marek Pieter, náměstek hejtmana</w:t>
      </w:r>
      <w:r>
        <w:tab/>
        <w:t>Bc. Zdeňka Haasová, starostka</w:t>
      </w:r>
    </w:p>
    <w:p w:rsidR="004523BC" w:rsidRDefault="004523BC" w:rsidP="0054405F">
      <w:pPr>
        <w:spacing w:before="120" w:line="276" w:lineRule="auto"/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1B5F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fmt="numberInDash" w:start="1"/>
          <w:cols w:space="708"/>
          <w:docGrid w:linePitch="360"/>
        </w:sect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F3503D">
      <w:pPr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645E5B" w:rsidRDefault="00645E5B" w:rsidP="00645E5B">
      <w:pPr>
        <w:jc w:val="right"/>
        <w:outlineLvl w:val="0"/>
        <w:rPr>
          <w:bCs/>
        </w:rPr>
      </w:pPr>
      <w:r>
        <w:rPr>
          <w:bCs/>
        </w:rPr>
        <w:t>Příloha č. 1</w:t>
      </w:r>
    </w:p>
    <w:p w:rsidR="00645E5B" w:rsidRPr="002A6D7A" w:rsidRDefault="00645E5B" w:rsidP="00645E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>
        <w:rPr>
          <w:b/>
          <w:bCs/>
          <w:sz w:val="28"/>
          <w:szCs w:val="28"/>
        </w:rPr>
        <w:t> 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645E5B" w:rsidRPr="002A6D7A" w:rsidTr="00B7493D">
        <w:trPr>
          <w:trHeight w:val="541"/>
        </w:trPr>
        <w:tc>
          <w:tcPr>
            <w:tcW w:w="1996" w:type="pct"/>
            <w:vAlign w:val="center"/>
          </w:tcPr>
          <w:p w:rsidR="00645E5B" w:rsidRPr="00E561F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876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753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45E5B" w:rsidRPr="002A6D7A" w:rsidTr="00B7493D">
        <w:tc>
          <w:tcPr>
            <w:tcW w:w="115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45E5B" w:rsidRPr="002A6D7A" w:rsidTr="00B7493D">
        <w:tc>
          <w:tcPr>
            <w:tcW w:w="5650" w:type="dxa"/>
          </w:tcPr>
          <w:p w:rsidR="00645E5B" w:rsidRPr="002A6D7A" w:rsidRDefault="00645E5B" w:rsidP="00B7493D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  <w:jc w:val="both"/>
      </w:pPr>
      <w:r w:rsidRPr="002A6D7A">
        <w:t>Plátce DPH uvede částky bez DPH.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jc w:val="both"/>
        <w:rPr>
          <w:sz w:val="16"/>
          <w:szCs w:val="16"/>
        </w:rPr>
      </w:pPr>
    </w:p>
    <w:p w:rsidR="00645E5B" w:rsidRPr="002A6D7A" w:rsidRDefault="00645E5B" w:rsidP="00645E5B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645E5B" w:rsidRPr="002A6D7A" w:rsidRDefault="00645E5B" w:rsidP="00645E5B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1B5F03" w:rsidRDefault="00645E5B" w:rsidP="00202962">
      <w:pPr>
        <w:autoSpaceDE w:val="0"/>
        <w:autoSpaceDN w:val="0"/>
      </w:pPr>
      <w:r w:rsidRPr="002A6D7A">
        <w:lastRenderedPageBreak/>
        <w:t>Podpis osoby zodpovědné za vyúčtování dotace a popř. razítko organizace...............................</w:t>
      </w:r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Účetní doklady jsou průkazné účetní záznamy, které musí obsahovat: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a) označení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b) obsah účetního případu a jeho účastníky,</w:t>
      </w:r>
    </w:p>
    <w:p w:rsidR="00202962" w:rsidRPr="002A6D7A" w:rsidRDefault="00202962" w:rsidP="00202962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02962" w:rsidRPr="002A6D7A" w:rsidRDefault="00202962" w:rsidP="00202962">
      <w:pPr>
        <w:autoSpaceDE w:val="0"/>
        <w:autoSpaceDN w:val="0"/>
      </w:pPr>
      <w:r w:rsidRPr="002A6D7A">
        <w:t>d) okamžik vyhotovení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02962" w:rsidRPr="002A6D7A" w:rsidRDefault="00202962" w:rsidP="00202962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e) evidenční číslo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f) rozsah a předmět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g) datum vystavení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h) datum uskutečnění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645E5B" w:rsidRDefault="00202962" w:rsidP="00202962">
      <w:pPr>
        <w:autoSpaceDE w:val="0"/>
        <w:autoSpaceDN w:val="0"/>
        <w:jc w:val="both"/>
        <w:outlineLvl w:val="0"/>
      </w:pPr>
      <w:r w:rsidRPr="002A6D7A">
        <w:t>k) výši daně celkem zaokrouhlenou na desetihaléře nahoru, popřípadě uvedenou i v haléřích.</w:t>
      </w: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Pr="00202962" w:rsidRDefault="00202962" w:rsidP="00202962">
      <w:pPr>
        <w:spacing w:line="480" w:lineRule="auto"/>
        <w:jc w:val="right"/>
      </w:pPr>
      <w:r w:rsidRPr="00202962">
        <w:lastRenderedPageBreak/>
        <w:t xml:space="preserve">Příloha č. 2    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02962">
        <w:rPr>
          <w:b/>
          <w:bCs/>
          <w:sz w:val="28"/>
          <w:szCs w:val="28"/>
        </w:rPr>
        <w:t>Průběžná/závěrečná</w:t>
      </w:r>
      <w:r w:rsidRPr="00202962">
        <w:rPr>
          <w:b/>
          <w:bCs/>
          <w:sz w:val="28"/>
          <w:szCs w:val="28"/>
          <w:vertAlign w:val="superscript"/>
        </w:rPr>
        <w:t>*</w:t>
      </w:r>
      <w:r w:rsidRPr="0020296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Oblast podpory: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DOPRAVA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Název programu: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INDIVIDUÁLNÍ ŽÁDOST O DOTACI V OBLASTI DOPRAVY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65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02962">
              <w:rPr>
                <w:b/>
                <w:bCs/>
              </w:rPr>
              <w:t>Forma dotace*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investiční dotace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neinvestiční dotace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…………………………….Kč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 xml:space="preserve">……….Kč, </w:t>
            </w:r>
            <w:proofErr w:type="spellStart"/>
            <w:r w:rsidRPr="00202962">
              <w:t>tj</w:t>
            </w:r>
            <w:proofErr w:type="spellEnd"/>
            <w:r w:rsidRPr="00202962">
              <w:t xml:space="preserve">……………% na celkových skutečných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 xml:space="preserve">                                              nákladech projektu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zahájení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ukončení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77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částka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Skutečná výše dotace poskytnutá z programu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absolutní výše dotace v Kč</w:t>
            </w:r>
          </w:p>
        </w:tc>
        <w:tc>
          <w:tcPr>
            <w:tcW w:w="3600" w:type="dxa"/>
            <w:gridSpan w:val="4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výše dotace v jednotlivých letech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02962" w:rsidRPr="00202962" w:rsidRDefault="00202962" w:rsidP="00202962"/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02962">
              <w:t xml:space="preserve">  </w:t>
            </w: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02962">
        <w:rPr>
          <w:i/>
          <w:iCs/>
        </w:rPr>
        <w:t>* nehodící se škrtněte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02962">
        <w:rPr>
          <w:b/>
          <w:bCs/>
        </w:rPr>
        <w:t>Popis realizace projektu: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02962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Zpracoval: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Schválil (statutární zástupce příjemce):</w:t>
            </w: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Datum</w:t>
            </w: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0296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02962" w:rsidRPr="00202962" w:rsidRDefault="00202962" w:rsidP="00202962">
      <w:pPr>
        <w:autoSpaceDE w:val="0"/>
        <w:autoSpaceDN w:val="0"/>
        <w:rPr>
          <w:b/>
          <w:bCs/>
        </w:rPr>
      </w:pPr>
    </w:p>
    <w:p w:rsidR="00202962" w:rsidRPr="00202962" w:rsidRDefault="00202962" w:rsidP="00202962">
      <w:pPr>
        <w:autoSpaceDE w:val="0"/>
        <w:autoSpaceDN w:val="0"/>
        <w:rPr>
          <w:b/>
          <w:sz w:val="20"/>
          <w:szCs w:val="20"/>
        </w:rPr>
      </w:pPr>
      <w:r w:rsidRPr="00202962">
        <w:rPr>
          <w:b/>
          <w:bCs/>
        </w:rPr>
        <w:t>Doplňující informace (fotodokumentace projektu, články, publikace, CD a další):</w:t>
      </w:r>
    </w:p>
    <w:p w:rsidR="00202962" w:rsidRPr="00202962" w:rsidRDefault="00202962" w:rsidP="00202962">
      <w:pPr>
        <w:outlineLvl w:val="0"/>
        <w:rPr>
          <w:bCs/>
        </w:rPr>
      </w:pPr>
    </w:p>
    <w:p w:rsidR="00202962" w:rsidRPr="002A6D7A" w:rsidRDefault="00202962" w:rsidP="00645E5B">
      <w:pPr>
        <w:autoSpaceDE w:val="0"/>
        <w:autoSpaceDN w:val="0"/>
        <w:jc w:val="both"/>
        <w:outlineLvl w:val="0"/>
      </w:pPr>
    </w:p>
    <w:p w:rsidR="004523BC" w:rsidRPr="00577773" w:rsidRDefault="004523BC" w:rsidP="00645E5B">
      <w:pPr>
        <w:jc w:val="right"/>
        <w:outlineLvl w:val="0"/>
        <w:rPr>
          <w:bCs/>
        </w:rPr>
      </w:pPr>
    </w:p>
    <w:sectPr w:rsidR="004523BC" w:rsidRPr="00577773" w:rsidSect="00202962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4D" w:rsidRDefault="0023384D">
      <w:r>
        <w:separator/>
      </w:r>
    </w:p>
  </w:endnote>
  <w:endnote w:type="continuationSeparator" w:id="0">
    <w:p w:rsidR="0023384D" w:rsidRDefault="0023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6613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33E">
          <w:rPr>
            <w:noProof/>
          </w:rPr>
          <w:t>- 1 -</w:t>
        </w:r>
        <w:r>
          <w:fldChar w:fldCharType="end"/>
        </w:r>
      </w:p>
    </w:sdtContent>
  </w:sdt>
  <w:p w:rsidR="001B5F03" w:rsidRDefault="001B5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94682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33E">
          <w:rPr>
            <w:noProof/>
          </w:rPr>
          <w:t>- 12 -</w:t>
        </w:r>
        <w:r>
          <w:fldChar w:fldCharType="end"/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4D" w:rsidRDefault="0023384D">
      <w:r>
        <w:separator/>
      </w:r>
    </w:p>
  </w:footnote>
  <w:footnote w:type="continuationSeparator" w:id="0">
    <w:p w:rsidR="0023384D" w:rsidRDefault="0023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BA" w:rsidRDefault="004A0C62">
    <w:pPr>
      <w:pStyle w:val="Zhlav"/>
    </w:pPr>
    <w:r>
      <w:tab/>
    </w:r>
    <w:r>
      <w:tab/>
      <w:t>P</w:t>
    </w:r>
    <w:r w:rsidR="009F133E">
      <w:t>11</w:t>
    </w:r>
    <w:r>
      <w:t>_smlouva</w:t>
    </w:r>
    <w:r w:rsidR="00036DBA">
      <w:tab/>
    </w:r>
    <w:r w:rsidR="00036DB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E5704E"/>
    <w:multiLevelType w:val="multilevel"/>
    <w:tmpl w:val="6A26C26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FF5829"/>
    <w:multiLevelType w:val="hybridMultilevel"/>
    <w:tmpl w:val="A55C50E6"/>
    <w:lvl w:ilvl="0" w:tplc="CAC4545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EA6613E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52142CB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5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7"/>
  </w:num>
  <w:num w:numId="24">
    <w:abstractNumId w:val="36"/>
  </w:num>
  <w:num w:numId="25">
    <w:abstractNumId w:val="29"/>
  </w:num>
  <w:num w:numId="26">
    <w:abstractNumId w:val="22"/>
  </w:num>
  <w:num w:numId="27">
    <w:abstractNumId w:val="3"/>
  </w:num>
  <w:num w:numId="28">
    <w:abstractNumId w:val="34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2"/>
  </w:num>
  <w:num w:numId="36">
    <w:abstractNumId w:val="30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3"/>
  </w:num>
  <w:num w:numId="45">
    <w:abstractNumId w:val="1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F18"/>
    <w:rsid w:val="000325A0"/>
    <w:rsid w:val="00032990"/>
    <w:rsid w:val="00033897"/>
    <w:rsid w:val="00035CEC"/>
    <w:rsid w:val="00036DBA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1EC"/>
    <w:rsid w:val="00083ABA"/>
    <w:rsid w:val="000842BA"/>
    <w:rsid w:val="00084898"/>
    <w:rsid w:val="0008504E"/>
    <w:rsid w:val="0008560A"/>
    <w:rsid w:val="00087CAD"/>
    <w:rsid w:val="00091029"/>
    <w:rsid w:val="000915E8"/>
    <w:rsid w:val="0009243F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1D86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F60"/>
    <w:rsid w:val="001356EE"/>
    <w:rsid w:val="00136D24"/>
    <w:rsid w:val="001403E4"/>
    <w:rsid w:val="001412C6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968D0"/>
    <w:rsid w:val="001A016C"/>
    <w:rsid w:val="001A0C5F"/>
    <w:rsid w:val="001A74B0"/>
    <w:rsid w:val="001B3AA5"/>
    <w:rsid w:val="001B3E95"/>
    <w:rsid w:val="001B5F03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E6634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2962"/>
    <w:rsid w:val="00204711"/>
    <w:rsid w:val="002061CB"/>
    <w:rsid w:val="00206278"/>
    <w:rsid w:val="00213A6C"/>
    <w:rsid w:val="002171AC"/>
    <w:rsid w:val="00221397"/>
    <w:rsid w:val="00223D84"/>
    <w:rsid w:val="002263F8"/>
    <w:rsid w:val="00230555"/>
    <w:rsid w:val="002327B6"/>
    <w:rsid w:val="0023384D"/>
    <w:rsid w:val="002410C8"/>
    <w:rsid w:val="00241393"/>
    <w:rsid w:val="00241743"/>
    <w:rsid w:val="002503EB"/>
    <w:rsid w:val="00250771"/>
    <w:rsid w:val="002512A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E22"/>
    <w:rsid w:val="00283B67"/>
    <w:rsid w:val="002852C0"/>
    <w:rsid w:val="00293283"/>
    <w:rsid w:val="002947D1"/>
    <w:rsid w:val="00297EDF"/>
    <w:rsid w:val="002A0291"/>
    <w:rsid w:val="002A1078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176"/>
    <w:rsid w:val="002D0BB6"/>
    <w:rsid w:val="002D1676"/>
    <w:rsid w:val="002D212B"/>
    <w:rsid w:val="002D6EE2"/>
    <w:rsid w:val="002D736F"/>
    <w:rsid w:val="002E3DF7"/>
    <w:rsid w:val="002E6617"/>
    <w:rsid w:val="002E6AF7"/>
    <w:rsid w:val="002F001E"/>
    <w:rsid w:val="002F150C"/>
    <w:rsid w:val="002F1DC6"/>
    <w:rsid w:val="002F348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B79"/>
    <w:rsid w:val="00324C83"/>
    <w:rsid w:val="0032534C"/>
    <w:rsid w:val="003268FA"/>
    <w:rsid w:val="00327EED"/>
    <w:rsid w:val="00330990"/>
    <w:rsid w:val="0033425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2E32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669D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21DE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634F"/>
    <w:rsid w:val="004632FF"/>
    <w:rsid w:val="00463C36"/>
    <w:rsid w:val="00464029"/>
    <w:rsid w:val="00471D2D"/>
    <w:rsid w:val="004725B6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97F39"/>
    <w:rsid w:val="004A0642"/>
    <w:rsid w:val="004A0995"/>
    <w:rsid w:val="004A0C62"/>
    <w:rsid w:val="004A1FA7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1C6D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405F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A79E2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2543"/>
    <w:rsid w:val="00643D53"/>
    <w:rsid w:val="00643DB9"/>
    <w:rsid w:val="00643F89"/>
    <w:rsid w:val="00645784"/>
    <w:rsid w:val="00645E5B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07DC"/>
    <w:rsid w:val="006D4203"/>
    <w:rsid w:val="006D5A75"/>
    <w:rsid w:val="006D698B"/>
    <w:rsid w:val="006E0104"/>
    <w:rsid w:val="006E1845"/>
    <w:rsid w:val="006E1D42"/>
    <w:rsid w:val="006E2C89"/>
    <w:rsid w:val="006F2AF7"/>
    <w:rsid w:val="006F36A4"/>
    <w:rsid w:val="006F3914"/>
    <w:rsid w:val="006F6EAB"/>
    <w:rsid w:val="006F7479"/>
    <w:rsid w:val="00702257"/>
    <w:rsid w:val="00707BF2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EA2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1750"/>
    <w:rsid w:val="007E3122"/>
    <w:rsid w:val="007E3FCE"/>
    <w:rsid w:val="007E4046"/>
    <w:rsid w:val="007E41E5"/>
    <w:rsid w:val="007E7086"/>
    <w:rsid w:val="007F0936"/>
    <w:rsid w:val="007F19C6"/>
    <w:rsid w:val="008002BB"/>
    <w:rsid w:val="00800539"/>
    <w:rsid w:val="00805A8B"/>
    <w:rsid w:val="00806451"/>
    <w:rsid w:val="008073F0"/>
    <w:rsid w:val="008134AB"/>
    <w:rsid w:val="008140EF"/>
    <w:rsid w:val="00816004"/>
    <w:rsid w:val="00822A53"/>
    <w:rsid w:val="0082570C"/>
    <w:rsid w:val="00825747"/>
    <w:rsid w:val="00825FCB"/>
    <w:rsid w:val="00826332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51FE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6670"/>
    <w:rsid w:val="008A7CF0"/>
    <w:rsid w:val="008B2986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3629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4E2F"/>
    <w:rsid w:val="00936D1F"/>
    <w:rsid w:val="00937FCD"/>
    <w:rsid w:val="009409BB"/>
    <w:rsid w:val="009415F0"/>
    <w:rsid w:val="00942D38"/>
    <w:rsid w:val="00943A9F"/>
    <w:rsid w:val="009440A2"/>
    <w:rsid w:val="00944F98"/>
    <w:rsid w:val="00946FEB"/>
    <w:rsid w:val="00947B28"/>
    <w:rsid w:val="009504BD"/>
    <w:rsid w:val="00951304"/>
    <w:rsid w:val="0096110C"/>
    <w:rsid w:val="009621D3"/>
    <w:rsid w:val="00963182"/>
    <w:rsid w:val="00964D99"/>
    <w:rsid w:val="00970B63"/>
    <w:rsid w:val="009716D3"/>
    <w:rsid w:val="0097751F"/>
    <w:rsid w:val="0098025C"/>
    <w:rsid w:val="009811D4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133E"/>
    <w:rsid w:val="009F29BA"/>
    <w:rsid w:val="009F2CAA"/>
    <w:rsid w:val="009F4CBB"/>
    <w:rsid w:val="009F690F"/>
    <w:rsid w:val="00A01A1E"/>
    <w:rsid w:val="00A02B03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4BED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3B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1036"/>
    <w:rsid w:val="00B342FF"/>
    <w:rsid w:val="00B35860"/>
    <w:rsid w:val="00B36C65"/>
    <w:rsid w:val="00B37221"/>
    <w:rsid w:val="00B52650"/>
    <w:rsid w:val="00B52905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2B7"/>
    <w:rsid w:val="00B83F8E"/>
    <w:rsid w:val="00B84501"/>
    <w:rsid w:val="00B84726"/>
    <w:rsid w:val="00B8585D"/>
    <w:rsid w:val="00B93497"/>
    <w:rsid w:val="00B94797"/>
    <w:rsid w:val="00B97D02"/>
    <w:rsid w:val="00B97ECA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4049"/>
    <w:rsid w:val="00BF7D01"/>
    <w:rsid w:val="00C02902"/>
    <w:rsid w:val="00C05C4C"/>
    <w:rsid w:val="00C1080B"/>
    <w:rsid w:val="00C125B8"/>
    <w:rsid w:val="00C1347A"/>
    <w:rsid w:val="00C17AE0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286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297"/>
    <w:rsid w:val="00C925A1"/>
    <w:rsid w:val="00C938E1"/>
    <w:rsid w:val="00C93BD0"/>
    <w:rsid w:val="00C9643A"/>
    <w:rsid w:val="00C97D73"/>
    <w:rsid w:val="00CA0880"/>
    <w:rsid w:val="00CA13F1"/>
    <w:rsid w:val="00CA1B59"/>
    <w:rsid w:val="00CA2567"/>
    <w:rsid w:val="00CA5896"/>
    <w:rsid w:val="00CA6C0C"/>
    <w:rsid w:val="00CA7A45"/>
    <w:rsid w:val="00CB0515"/>
    <w:rsid w:val="00CB143C"/>
    <w:rsid w:val="00CB1659"/>
    <w:rsid w:val="00CB7592"/>
    <w:rsid w:val="00CC41C0"/>
    <w:rsid w:val="00CC5D98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13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524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B7A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E7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57A"/>
    <w:rsid w:val="00E03AE5"/>
    <w:rsid w:val="00E05DBD"/>
    <w:rsid w:val="00E06E2E"/>
    <w:rsid w:val="00E06FF4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1EB4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1C70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1147"/>
    <w:rsid w:val="00EA21A9"/>
    <w:rsid w:val="00EA2E49"/>
    <w:rsid w:val="00EA4D11"/>
    <w:rsid w:val="00EB2DD6"/>
    <w:rsid w:val="00EB2E05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3D"/>
    <w:rsid w:val="00F3508F"/>
    <w:rsid w:val="00F35730"/>
    <w:rsid w:val="00F40971"/>
    <w:rsid w:val="00F462CF"/>
    <w:rsid w:val="00F46483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621"/>
    <w:rsid w:val="00FA0351"/>
    <w:rsid w:val="00FA06C2"/>
    <w:rsid w:val="00FA144B"/>
    <w:rsid w:val="00FA3ACB"/>
    <w:rsid w:val="00FA3BAA"/>
    <w:rsid w:val="00FA5BD7"/>
    <w:rsid w:val="00FA6B96"/>
    <w:rsid w:val="00FA7EB9"/>
    <w:rsid w:val="00FB1E12"/>
    <w:rsid w:val="00FB29A0"/>
    <w:rsid w:val="00FB2DDB"/>
    <w:rsid w:val="00FB3AFF"/>
    <w:rsid w:val="00FB3D33"/>
    <w:rsid w:val="00FB5E6F"/>
    <w:rsid w:val="00FB7A02"/>
    <w:rsid w:val="00FC0B55"/>
    <w:rsid w:val="00FC1121"/>
    <w:rsid w:val="00FC125B"/>
    <w:rsid w:val="00FC1C6A"/>
    <w:rsid w:val="00FC66F9"/>
    <w:rsid w:val="00FD18BF"/>
    <w:rsid w:val="00FD53C1"/>
    <w:rsid w:val="00FD7D64"/>
    <w:rsid w:val="00FE1E2B"/>
    <w:rsid w:val="00FE4C44"/>
    <w:rsid w:val="00FE6F64"/>
    <w:rsid w:val="00FE6F9B"/>
    <w:rsid w:val="00FF1874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A251-0DFB-4DC5-AD5B-7DCDDE1D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3679</Words>
  <Characters>21386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12</cp:revision>
  <cp:lastPrinted>2017-07-24T13:47:00Z</cp:lastPrinted>
  <dcterms:created xsi:type="dcterms:W3CDTF">2017-07-25T10:29:00Z</dcterms:created>
  <dcterms:modified xsi:type="dcterms:W3CDTF">2017-08-01T06:09:00Z</dcterms:modified>
</cp:coreProperties>
</file>