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3"/>
        <w:gridCol w:w="7214"/>
      </w:tblGrid>
      <w:tr w:rsidR="00671C69" w:rsidTr="00285A1B">
        <w:tc>
          <w:tcPr>
            <w:tcW w:w="7213" w:type="dxa"/>
          </w:tcPr>
          <w:p w:rsidR="00671C69" w:rsidRDefault="00671C69" w:rsidP="0005590C">
            <w:pPr>
              <w:jc w:val="center"/>
              <w:rPr>
                <w:rFonts w:ascii="Arial" w:hAnsi="Arial" w:cs="Arial"/>
                <w:b/>
                <w:sz w:val="28"/>
                <w:szCs w:val="28"/>
                <w:lang w:val="cs-CZ"/>
              </w:rPr>
            </w:pPr>
            <w:bookmarkStart w:id="0" w:name="_GoBack"/>
            <w:bookmarkEnd w:id="0"/>
            <w:r w:rsidRPr="00266705">
              <w:rPr>
                <w:rFonts w:ascii="Arial" w:hAnsi="Arial" w:cs="Arial"/>
                <w:b/>
                <w:sz w:val="28"/>
                <w:szCs w:val="28"/>
                <w:lang w:val="cs-CZ"/>
              </w:rPr>
              <w:t>Dohoda o společném zadávacím řízení pro Východosaskou síť II (OSN II)</w:t>
            </w:r>
          </w:p>
          <w:p w:rsidR="00671C69" w:rsidRPr="00CF3D04" w:rsidRDefault="00671C69" w:rsidP="0005590C">
            <w:pPr>
              <w:pStyle w:val="Nzev"/>
              <w:rPr>
                <w:rFonts w:ascii="Arial" w:hAnsi="Arial" w:cs="Arial"/>
                <w:sz w:val="22"/>
                <w:szCs w:val="22"/>
              </w:rPr>
            </w:pPr>
            <w:r>
              <w:rPr>
                <w:rFonts w:ascii="Arial" w:hAnsi="Arial" w:cs="Arial"/>
                <w:sz w:val="22"/>
                <w:szCs w:val="22"/>
              </w:rPr>
              <w:t>LK: č. OLP/829/2016</w:t>
            </w:r>
          </w:p>
          <w:p w:rsidR="00A637C2" w:rsidRDefault="00A637C2" w:rsidP="0005590C">
            <w:pPr>
              <w:jc w:val="center"/>
              <w:rPr>
                <w:rFonts w:ascii="Arial" w:hAnsi="Arial" w:cs="Arial"/>
                <w:sz w:val="22"/>
                <w:szCs w:val="22"/>
                <w:lang w:val="cs-CZ"/>
              </w:rPr>
            </w:pPr>
          </w:p>
          <w:p w:rsidR="00671C69" w:rsidRPr="00CF3D04" w:rsidRDefault="006D0C15" w:rsidP="0005590C">
            <w:pPr>
              <w:jc w:val="center"/>
              <w:rPr>
                <w:rFonts w:ascii="Arial" w:hAnsi="Arial" w:cs="Arial"/>
                <w:sz w:val="22"/>
                <w:szCs w:val="22"/>
              </w:rPr>
            </w:pPr>
            <w:r>
              <w:rPr>
                <w:rFonts w:ascii="Arial" w:hAnsi="Arial" w:cs="Arial"/>
                <w:sz w:val="22"/>
                <w:szCs w:val="22"/>
                <w:lang w:val="cs-CZ"/>
              </w:rPr>
              <w:t>M</w:t>
            </w:r>
            <w:r w:rsidR="00671C69" w:rsidRPr="00266705">
              <w:rPr>
                <w:rFonts w:ascii="Arial" w:hAnsi="Arial" w:cs="Arial"/>
                <w:sz w:val="22"/>
                <w:szCs w:val="22"/>
                <w:lang w:val="cs-CZ"/>
              </w:rPr>
              <w:t>ezi</w:t>
            </w:r>
          </w:p>
          <w:p w:rsidR="00671C69" w:rsidRPr="00CF3D04" w:rsidRDefault="00671C69" w:rsidP="0005590C">
            <w:pPr>
              <w:jc w:val="center"/>
              <w:rPr>
                <w:rFonts w:ascii="Arial" w:hAnsi="Arial" w:cs="Arial"/>
                <w:sz w:val="22"/>
                <w:szCs w:val="22"/>
              </w:rPr>
            </w:pPr>
          </w:p>
          <w:p w:rsidR="00671C69" w:rsidRPr="00CF3D04" w:rsidRDefault="00671C69" w:rsidP="0005590C">
            <w:pPr>
              <w:pStyle w:val="Odstavecseseznamem"/>
              <w:rPr>
                <w:rFonts w:ascii="Arial" w:hAnsi="Arial" w:cs="Arial"/>
                <w:sz w:val="22"/>
                <w:szCs w:val="22"/>
              </w:rPr>
            </w:pPr>
          </w:p>
          <w:p w:rsidR="00671C69" w:rsidRPr="00266705" w:rsidRDefault="00671C69" w:rsidP="0005590C">
            <w:pPr>
              <w:numPr>
                <w:ilvl w:val="0"/>
                <w:numId w:val="1"/>
              </w:numPr>
              <w:rPr>
                <w:rFonts w:ascii="Arial" w:hAnsi="Arial" w:cs="Arial"/>
                <w:sz w:val="22"/>
                <w:szCs w:val="22"/>
              </w:rPr>
            </w:pPr>
            <w:r w:rsidRPr="00266705">
              <w:rPr>
                <w:rFonts w:ascii="Arial" w:hAnsi="Arial" w:cs="Arial"/>
                <w:b/>
                <w:sz w:val="22"/>
                <w:szCs w:val="22"/>
                <w:lang w:val="cs-CZ"/>
              </w:rPr>
              <w:t>Libereckým krajem</w:t>
            </w:r>
          </w:p>
          <w:p w:rsidR="00671C69" w:rsidRDefault="00671C69" w:rsidP="0005590C">
            <w:pPr>
              <w:ind w:left="720"/>
              <w:rPr>
                <w:rFonts w:ascii="Arial" w:hAnsi="Arial" w:cs="Arial"/>
                <w:sz w:val="22"/>
                <w:szCs w:val="22"/>
                <w:lang w:val="cs-CZ"/>
              </w:rPr>
            </w:pPr>
            <w:r>
              <w:rPr>
                <w:rFonts w:ascii="Arial" w:hAnsi="Arial" w:cs="Arial"/>
                <w:sz w:val="22"/>
                <w:szCs w:val="22"/>
                <w:lang w:val="cs-CZ"/>
              </w:rPr>
              <w:t>Krajský úřad Libereckého kraje</w:t>
            </w:r>
          </w:p>
          <w:p w:rsidR="00671C69" w:rsidRDefault="00671C69" w:rsidP="0005590C">
            <w:pPr>
              <w:ind w:left="720"/>
              <w:rPr>
                <w:rFonts w:ascii="Arial" w:hAnsi="Arial" w:cs="Arial"/>
                <w:sz w:val="22"/>
                <w:szCs w:val="22"/>
                <w:lang w:val="cs-CZ"/>
              </w:rPr>
            </w:pPr>
            <w:r>
              <w:rPr>
                <w:rFonts w:ascii="Arial" w:hAnsi="Arial" w:cs="Arial"/>
                <w:sz w:val="22"/>
                <w:szCs w:val="22"/>
                <w:lang w:val="cs-CZ"/>
              </w:rPr>
              <w:t xml:space="preserve">se sídlem </w:t>
            </w:r>
            <w:r w:rsidRPr="00266705">
              <w:rPr>
                <w:rFonts w:ascii="Arial" w:hAnsi="Arial" w:cs="Arial"/>
                <w:sz w:val="22"/>
                <w:szCs w:val="22"/>
                <w:lang w:val="cs-CZ"/>
              </w:rPr>
              <w:t>U Jezu 642/2a, 461 80 Liberec 2</w:t>
            </w:r>
          </w:p>
          <w:p w:rsidR="00671C69" w:rsidRPr="00CF3D04" w:rsidRDefault="00671C69" w:rsidP="0005590C">
            <w:pPr>
              <w:ind w:left="720"/>
              <w:rPr>
                <w:rFonts w:ascii="Arial" w:hAnsi="Arial" w:cs="Arial"/>
                <w:b/>
                <w:sz w:val="22"/>
                <w:szCs w:val="22"/>
              </w:rPr>
            </w:pPr>
            <w:r w:rsidRPr="00266705">
              <w:rPr>
                <w:rFonts w:ascii="Arial" w:hAnsi="Arial" w:cs="Arial"/>
                <w:sz w:val="22"/>
                <w:szCs w:val="22"/>
                <w:lang w:val="cs-CZ"/>
              </w:rPr>
              <w:t>IČ:</w:t>
            </w:r>
            <w:r w:rsidRPr="00CF3D04">
              <w:rPr>
                <w:rFonts w:ascii="Arial" w:hAnsi="Arial" w:cs="Arial"/>
                <w:sz w:val="22"/>
                <w:szCs w:val="22"/>
              </w:rPr>
              <w:t xml:space="preserve"> 70891508</w:t>
            </w:r>
          </w:p>
          <w:p w:rsidR="00671C69" w:rsidRPr="00CF3D04" w:rsidRDefault="00671C69" w:rsidP="0005590C">
            <w:pPr>
              <w:ind w:firstLine="708"/>
              <w:rPr>
                <w:rFonts w:ascii="Arial" w:hAnsi="Arial" w:cs="Arial"/>
                <w:sz w:val="22"/>
                <w:szCs w:val="22"/>
              </w:rPr>
            </w:pPr>
            <w:r w:rsidRPr="00266705">
              <w:rPr>
                <w:rFonts w:ascii="Arial" w:hAnsi="Arial" w:cs="Arial"/>
                <w:sz w:val="22"/>
                <w:szCs w:val="22"/>
                <w:lang w:val="cs-CZ"/>
              </w:rPr>
              <w:t>zastoupeným hejtmanem panem Martinem Půtou</w:t>
            </w:r>
          </w:p>
          <w:p w:rsidR="00671C69" w:rsidRPr="00CF3D04" w:rsidRDefault="00671C69" w:rsidP="0005590C">
            <w:pPr>
              <w:ind w:firstLine="708"/>
              <w:rPr>
                <w:rFonts w:ascii="Arial" w:hAnsi="Arial" w:cs="Arial"/>
                <w:sz w:val="22"/>
                <w:szCs w:val="22"/>
              </w:rPr>
            </w:pPr>
          </w:p>
          <w:p w:rsidR="00671C69" w:rsidRPr="00CF3D04" w:rsidRDefault="00671C69" w:rsidP="0005590C">
            <w:pPr>
              <w:ind w:firstLine="708"/>
              <w:rPr>
                <w:rFonts w:ascii="Arial" w:hAnsi="Arial" w:cs="Arial"/>
                <w:sz w:val="22"/>
                <w:szCs w:val="22"/>
              </w:rPr>
            </w:pPr>
            <w:r w:rsidRPr="00266705">
              <w:rPr>
                <w:rFonts w:ascii="Arial" w:hAnsi="Arial" w:cs="Arial"/>
                <w:sz w:val="22"/>
                <w:szCs w:val="22"/>
                <w:lang w:val="cs-CZ"/>
              </w:rPr>
              <w:t>– dále jen Liberecký kraj (LK) –</w:t>
            </w:r>
          </w:p>
          <w:p w:rsidR="00671C69" w:rsidRPr="00CF3D04" w:rsidRDefault="00671C69" w:rsidP="0005590C">
            <w:pPr>
              <w:pStyle w:val="Odstavecseseznamem"/>
              <w:rPr>
                <w:rFonts w:ascii="Arial" w:hAnsi="Arial" w:cs="Arial"/>
                <w:sz w:val="22"/>
                <w:szCs w:val="22"/>
              </w:rPr>
            </w:pPr>
          </w:p>
          <w:p w:rsidR="00671C69" w:rsidRPr="00CF3D04" w:rsidRDefault="00671C69" w:rsidP="0005590C">
            <w:pPr>
              <w:jc w:val="center"/>
              <w:rPr>
                <w:rFonts w:ascii="Arial" w:hAnsi="Arial" w:cs="Arial"/>
                <w:sz w:val="22"/>
                <w:szCs w:val="22"/>
              </w:rPr>
            </w:pPr>
            <w:r w:rsidRPr="00266705">
              <w:rPr>
                <w:rFonts w:ascii="Arial" w:hAnsi="Arial" w:cs="Arial"/>
                <w:sz w:val="22"/>
                <w:szCs w:val="22"/>
                <w:lang w:val="cs-CZ"/>
              </w:rPr>
              <w:t>a</w:t>
            </w:r>
          </w:p>
          <w:p w:rsidR="00671C69" w:rsidRPr="00CF3D04" w:rsidRDefault="00671C69" w:rsidP="0005590C">
            <w:pPr>
              <w:pStyle w:val="Odstavecseseznamem"/>
              <w:rPr>
                <w:rFonts w:ascii="Arial" w:hAnsi="Arial" w:cs="Arial"/>
                <w:sz w:val="22"/>
                <w:szCs w:val="22"/>
              </w:rPr>
            </w:pPr>
          </w:p>
          <w:p w:rsidR="00671C69" w:rsidRPr="00266705" w:rsidRDefault="00671C69" w:rsidP="0005590C">
            <w:pPr>
              <w:numPr>
                <w:ilvl w:val="0"/>
                <w:numId w:val="1"/>
              </w:numPr>
              <w:rPr>
                <w:rFonts w:ascii="Arial" w:hAnsi="Arial" w:cs="Arial"/>
                <w:sz w:val="22"/>
                <w:szCs w:val="22"/>
              </w:rPr>
            </w:pPr>
            <w:r w:rsidRPr="00266705">
              <w:rPr>
                <w:rFonts w:ascii="Arial" w:hAnsi="Arial" w:cs="Arial"/>
                <w:b/>
                <w:sz w:val="22"/>
                <w:szCs w:val="22"/>
                <w:lang w:val="cs-CZ"/>
              </w:rPr>
              <w:t>Ústeckým krajem</w:t>
            </w:r>
            <w:r w:rsidRPr="00266705">
              <w:rPr>
                <w:rFonts w:ascii="Arial" w:hAnsi="Arial" w:cs="Arial"/>
                <w:sz w:val="22"/>
                <w:szCs w:val="22"/>
                <w:lang w:val="cs-CZ"/>
              </w:rPr>
              <w:t>,</w:t>
            </w:r>
          </w:p>
          <w:p w:rsidR="00671C69" w:rsidRPr="00CF3D04" w:rsidRDefault="00671C69" w:rsidP="0005590C">
            <w:pPr>
              <w:ind w:firstLine="708"/>
              <w:rPr>
                <w:rFonts w:ascii="Arial" w:hAnsi="Arial" w:cs="Arial"/>
                <w:sz w:val="22"/>
                <w:szCs w:val="22"/>
              </w:rPr>
            </w:pPr>
            <w:r w:rsidRPr="00266705">
              <w:rPr>
                <w:rFonts w:ascii="Arial" w:hAnsi="Arial" w:cs="Arial"/>
                <w:sz w:val="22"/>
                <w:szCs w:val="22"/>
                <w:lang w:val="cs-CZ"/>
              </w:rPr>
              <w:t>Krajský úřad Ústeckého kraje</w:t>
            </w:r>
          </w:p>
          <w:p w:rsidR="00671C69" w:rsidRDefault="00671C69" w:rsidP="0005590C">
            <w:pPr>
              <w:ind w:firstLine="708"/>
              <w:rPr>
                <w:rFonts w:ascii="Arial" w:hAnsi="Arial" w:cs="Arial"/>
                <w:sz w:val="22"/>
                <w:szCs w:val="22"/>
                <w:lang w:val="cs-CZ"/>
              </w:rPr>
            </w:pPr>
            <w:r>
              <w:rPr>
                <w:rFonts w:ascii="Arial" w:hAnsi="Arial" w:cs="Arial"/>
                <w:sz w:val="22"/>
                <w:szCs w:val="22"/>
                <w:lang w:val="cs-CZ"/>
              </w:rPr>
              <w:t xml:space="preserve">se sídlem </w:t>
            </w:r>
            <w:r w:rsidRPr="00266705">
              <w:rPr>
                <w:rFonts w:ascii="Arial" w:hAnsi="Arial" w:cs="Arial"/>
                <w:sz w:val="22"/>
                <w:szCs w:val="22"/>
                <w:lang w:val="cs-CZ"/>
              </w:rPr>
              <w:t>Velká Hradební 3118/48, 400 02 Ústí nad Labem</w:t>
            </w:r>
          </w:p>
          <w:p w:rsidR="00671C69" w:rsidRPr="000A611B" w:rsidRDefault="00671C69" w:rsidP="0005590C">
            <w:pPr>
              <w:ind w:firstLine="708"/>
              <w:rPr>
                <w:rFonts w:ascii="Arial" w:hAnsi="Arial" w:cs="Arial"/>
                <w:sz w:val="22"/>
                <w:szCs w:val="22"/>
                <w:lang w:val="cs-CZ"/>
              </w:rPr>
            </w:pPr>
            <w:r>
              <w:rPr>
                <w:rFonts w:ascii="Arial" w:hAnsi="Arial" w:cs="Arial"/>
                <w:sz w:val="22"/>
                <w:szCs w:val="22"/>
                <w:lang w:val="cs-CZ"/>
              </w:rPr>
              <w:t xml:space="preserve">IČ: </w:t>
            </w:r>
            <w:r w:rsidRPr="00821EB3">
              <w:rPr>
                <w:rFonts w:ascii="Arial" w:hAnsi="Arial" w:cs="Arial"/>
                <w:sz w:val="22"/>
              </w:rPr>
              <w:t>70892156</w:t>
            </w:r>
          </w:p>
          <w:p w:rsidR="00C57BF0" w:rsidRDefault="00671C69" w:rsidP="0005590C">
            <w:pPr>
              <w:ind w:left="709" w:hanging="1"/>
              <w:rPr>
                <w:rFonts w:ascii="Arial" w:hAnsi="Arial" w:cs="Arial"/>
                <w:sz w:val="22"/>
                <w:szCs w:val="22"/>
                <w:lang w:val="cs-CZ"/>
              </w:rPr>
            </w:pPr>
            <w:r w:rsidRPr="00266705">
              <w:rPr>
                <w:rFonts w:ascii="Arial" w:hAnsi="Arial" w:cs="Arial"/>
                <w:sz w:val="22"/>
                <w:szCs w:val="22"/>
                <w:lang w:val="cs-CZ"/>
              </w:rPr>
              <w:t>zastoupeným hejtmanem panem Oldřichem Bubeníčkem,</w:t>
            </w:r>
          </w:p>
          <w:p w:rsidR="00285A1B" w:rsidRDefault="00285A1B" w:rsidP="0005590C">
            <w:pPr>
              <w:ind w:left="709" w:hanging="1"/>
              <w:rPr>
                <w:rFonts w:ascii="Arial" w:hAnsi="Arial" w:cs="Arial"/>
                <w:sz w:val="22"/>
                <w:szCs w:val="22"/>
                <w:lang w:val="cs-CZ"/>
              </w:rPr>
            </w:pPr>
          </w:p>
          <w:p w:rsidR="00285A1B" w:rsidRDefault="00285A1B" w:rsidP="0005590C">
            <w:pPr>
              <w:ind w:left="709" w:hanging="1"/>
              <w:rPr>
                <w:rFonts w:ascii="Arial" w:hAnsi="Arial" w:cs="Arial"/>
                <w:sz w:val="22"/>
                <w:szCs w:val="22"/>
                <w:lang w:val="cs-CZ"/>
              </w:rPr>
            </w:pPr>
          </w:p>
          <w:p w:rsidR="00671C69" w:rsidRPr="000A611B" w:rsidRDefault="00671C69" w:rsidP="0005590C">
            <w:pPr>
              <w:ind w:left="709" w:hanging="1"/>
              <w:rPr>
                <w:rFonts w:ascii="Arial" w:hAnsi="Arial" w:cs="Arial"/>
                <w:sz w:val="22"/>
                <w:szCs w:val="22"/>
                <w:lang w:val="cs-CZ"/>
              </w:rPr>
            </w:pPr>
            <w:r w:rsidRPr="00266705">
              <w:rPr>
                <w:rFonts w:ascii="Arial" w:hAnsi="Arial" w:cs="Arial"/>
                <w:sz w:val="22"/>
                <w:szCs w:val="22"/>
                <w:lang w:val="cs-CZ"/>
              </w:rPr>
              <w:t>– dále jen Ústecký kraj (ÚK) –</w:t>
            </w:r>
          </w:p>
          <w:p w:rsidR="00C57BF0" w:rsidRPr="000A611B" w:rsidRDefault="00C57BF0" w:rsidP="0005590C">
            <w:pPr>
              <w:ind w:left="708"/>
              <w:rPr>
                <w:rFonts w:ascii="Arial" w:hAnsi="Arial" w:cs="Arial"/>
                <w:sz w:val="22"/>
                <w:szCs w:val="22"/>
                <w:lang w:val="cs-CZ"/>
              </w:rPr>
            </w:pPr>
          </w:p>
          <w:p w:rsidR="00671C69" w:rsidRPr="00CF3D04" w:rsidRDefault="00671C69" w:rsidP="0005590C">
            <w:pPr>
              <w:jc w:val="center"/>
              <w:rPr>
                <w:rFonts w:ascii="Arial" w:hAnsi="Arial" w:cs="Arial"/>
                <w:sz w:val="22"/>
                <w:szCs w:val="22"/>
              </w:rPr>
            </w:pPr>
            <w:r w:rsidRPr="00266705">
              <w:rPr>
                <w:rFonts w:ascii="Arial" w:hAnsi="Arial" w:cs="Arial"/>
                <w:sz w:val="22"/>
                <w:szCs w:val="22"/>
                <w:lang w:val="cs-CZ"/>
              </w:rPr>
              <w:t>a</w:t>
            </w:r>
          </w:p>
          <w:p w:rsidR="00671C69" w:rsidRPr="00CF3D04" w:rsidRDefault="00671C69" w:rsidP="0005590C">
            <w:pPr>
              <w:rPr>
                <w:rFonts w:ascii="Arial" w:hAnsi="Arial" w:cs="Arial"/>
                <w:sz w:val="22"/>
                <w:szCs w:val="22"/>
              </w:rPr>
            </w:pPr>
          </w:p>
          <w:p w:rsidR="00671C69" w:rsidRPr="00266705" w:rsidRDefault="00671C69" w:rsidP="0005590C">
            <w:pPr>
              <w:numPr>
                <w:ilvl w:val="0"/>
                <w:numId w:val="1"/>
              </w:numPr>
              <w:rPr>
                <w:rFonts w:ascii="Arial" w:hAnsi="Arial" w:cs="Arial"/>
                <w:sz w:val="22"/>
                <w:szCs w:val="22"/>
              </w:rPr>
            </w:pPr>
            <w:r w:rsidRPr="00266705">
              <w:rPr>
                <w:rFonts w:ascii="Arial" w:hAnsi="Arial" w:cs="Arial"/>
                <w:b/>
                <w:sz w:val="22"/>
                <w:szCs w:val="22"/>
                <w:lang w:val="cs-CZ"/>
              </w:rPr>
              <w:t>Zweckverband Verkehrsverbund Oberlausitz-Niederschlesien</w:t>
            </w:r>
            <w:r w:rsidRPr="00266705">
              <w:rPr>
                <w:rFonts w:ascii="Arial" w:hAnsi="Arial" w:cs="Arial"/>
                <w:sz w:val="22"/>
                <w:szCs w:val="22"/>
                <w:lang w:val="cs-CZ"/>
              </w:rPr>
              <w:t xml:space="preserve"> </w:t>
            </w:r>
            <w:r w:rsidRPr="00266705">
              <w:rPr>
                <w:rFonts w:ascii="Arial" w:hAnsi="Arial" w:cs="Arial"/>
                <w:sz w:val="22"/>
                <w:szCs w:val="22"/>
                <w:lang w:val="cs-CZ"/>
              </w:rPr>
              <w:br/>
              <w:t>(Účelové sdružení Dopravní svaz Horní Lužice-Dolní Slezsko)</w:t>
            </w:r>
            <w:r w:rsidRPr="00266705">
              <w:rPr>
                <w:rFonts w:ascii="Arial" w:hAnsi="Arial" w:cs="Arial"/>
                <w:sz w:val="22"/>
                <w:szCs w:val="22"/>
              </w:rPr>
              <w:t xml:space="preserve"> </w:t>
            </w:r>
          </w:p>
          <w:p w:rsidR="00671C69" w:rsidRPr="00CF3D04" w:rsidRDefault="00671C69" w:rsidP="0005590C">
            <w:pPr>
              <w:ind w:left="708"/>
              <w:rPr>
                <w:rFonts w:ascii="Arial" w:hAnsi="Arial" w:cs="Arial"/>
                <w:sz w:val="22"/>
                <w:szCs w:val="22"/>
              </w:rPr>
            </w:pPr>
            <w:r w:rsidRPr="00266705">
              <w:rPr>
                <w:rFonts w:ascii="Arial" w:hAnsi="Arial" w:cs="Arial"/>
                <w:sz w:val="22"/>
                <w:szCs w:val="22"/>
                <w:lang w:val="cs-CZ"/>
              </w:rPr>
              <w:t>Rosenstraße 31, 02625 Budyšín,</w:t>
            </w:r>
          </w:p>
          <w:p w:rsidR="00671C69" w:rsidRPr="00CF3D04" w:rsidRDefault="00671C69" w:rsidP="0005590C">
            <w:pPr>
              <w:ind w:firstLine="708"/>
              <w:rPr>
                <w:rFonts w:ascii="Arial" w:hAnsi="Arial" w:cs="Arial"/>
                <w:sz w:val="22"/>
                <w:szCs w:val="22"/>
              </w:rPr>
            </w:pPr>
            <w:r w:rsidRPr="00266705">
              <w:rPr>
                <w:rFonts w:ascii="Arial" w:hAnsi="Arial" w:cs="Arial"/>
                <w:sz w:val="22"/>
                <w:szCs w:val="22"/>
                <w:lang w:val="cs-CZ"/>
              </w:rPr>
              <w:t>zastou</w:t>
            </w:r>
            <w:r>
              <w:rPr>
                <w:rFonts w:ascii="Arial" w:hAnsi="Arial" w:cs="Arial"/>
                <w:sz w:val="22"/>
                <w:szCs w:val="22"/>
                <w:lang w:val="cs-CZ"/>
              </w:rPr>
              <w:t>p</w:t>
            </w:r>
            <w:r w:rsidRPr="00266705">
              <w:rPr>
                <w:rFonts w:ascii="Arial" w:hAnsi="Arial" w:cs="Arial"/>
                <w:sz w:val="22"/>
                <w:szCs w:val="22"/>
                <w:lang w:val="cs-CZ"/>
              </w:rPr>
              <w:t>eném předsedou svazu panem Michaelem Harigem,</w:t>
            </w:r>
          </w:p>
          <w:p w:rsidR="00285A1B" w:rsidRDefault="00285A1B" w:rsidP="0005590C">
            <w:pPr>
              <w:ind w:firstLine="708"/>
              <w:rPr>
                <w:rFonts w:ascii="Arial" w:hAnsi="Arial" w:cs="Arial"/>
                <w:sz w:val="22"/>
                <w:szCs w:val="22"/>
                <w:lang w:val="cs-CZ"/>
              </w:rPr>
            </w:pPr>
          </w:p>
          <w:p w:rsidR="00671C69" w:rsidRDefault="00671C69" w:rsidP="0005590C">
            <w:pPr>
              <w:ind w:firstLine="708"/>
              <w:rPr>
                <w:rFonts w:ascii="Arial" w:hAnsi="Arial" w:cs="Arial"/>
                <w:sz w:val="22"/>
                <w:szCs w:val="22"/>
                <w:lang w:val="cs-CZ"/>
              </w:rPr>
            </w:pPr>
            <w:r w:rsidRPr="00266705">
              <w:rPr>
                <w:rFonts w:ascii="Arial" w:hAnsi="Arial" w:cs="Arial"/>
                <w:sz w:val="22"/>
                <w:szCs w:val="22"/>
                <w:lang w:val="cs-CZ"/>
              </w:rPr>
              <w:t>– dále jen ZVON –</w:t>
            </w:r>
          </w:p>
          <w:p w:rsidR="00C57BF0" w:rsidRPr="00CF3D04" w:rsidRDefault="00C57BF0" w:rsidP="0005590C">
            <w:pPr>
              <w:ind w:firstLine="708"/>
              <w:rPr>
                <w:rFonts w:ascii="Arial" w:hAnsi="Arial" w:cs="Arial"/>
                <w:sz w:val="22"/>
                <w:szCs w:val="22"/>
              </w:rPr>
            </w:pPr>
          </w:p>
          <w:p w:rsidR="00671C69" w:rsidRPr="00CF3D04" w:rsidRDefault="00671C69" w:rsidP="0005590C">
            <w:pPr>
              <w:ind w:left="709"/>
              <w:rPr>
                <w:rFonts w:ascii="Arial" w:hAnsi="Arial" w:cs="Arial"/>
                <w:sz w:val="22"/>
                <w:szCs w:val="22"/>
              </w:rPr>
            </w:pPr>
            <w:r w:rsidRPr="00753C3C">
              <w:rPr>
                <w:rFonts w:ascii="Arial" w:hAnsi="Arial" w:cs="Arial"/>
                <w:sz w:val="22"/>
                <w:szCs w:val="22"/>
                <w:lang w:val="cs-CZ"/>
              </w:rPr>
              <w:lastRenderedPageBreak/>
              <w:t>– ZVON, Liberecký kraj a Ústecký kraj dále společně či jednotlivě také „objednatelé“ –</w:t>
            </w:r>
          </w:p>
          <w:p w:rsidR="00671C69" w:rsidRDefault="00671C69" w:rsidP="0005590C">
            <w:pPr>
              <w:rPr>
                <w:rFonts w:ascii="Arial" w:hAnsi="Arial" w:cs="Arial"/>
                <w:sz w:val="22"/>
                <w:szCs w:val="22"/>
              </w:rPr>
            </w:pPr>
          </w:p>
          <w:p w:rsidR="00C57BF0" w:rsidRPr="00CF3D04" w:rsidRDefault="00C57BF0" w:rsidP="0005590C">
            <w:pPr>
              <w:rPr>
                <w:rFonts w:ascii="Arial" w:hAnsi="Arial" w:cs="Arial"/>
                <w:sz w:val="22"/>
                <w:szCs w:val="22"/>
              </w:rPr>
            </w:pPr>
          </w:p>
          <w:p w:rsidR="00671C69" w:rsidRDefault="00671C69" w:rsidP="0005590C">
            <w:pPr>
              <w:ind w:left="360"/>
              <w:rPr>
                <w:rFonts w:ascii="Arial" w:hAnsi="Arial" w:cs="Arial"/>
                <w:sz w:val="22"/>
                <w:szCs w:val="22"/>
              </w:rPr>
            </w:pPr>
            <w:r w:rsidRPr="00753C3C">
              <w:rPr>
                <w:rFonts w:ascii="Arial" w:hAnsi="Arial" w:cs="Arial"/>
                <w:sz w:val="22"/>
                <w:szCs w:val="22"/>
                <w:lang w:val="cs-CZ"/>
              </w:rPr>
              <w:t>se pro společnou realizaci zadávacího řízení na zadání dopravních výkonů ve "Východosaské síti II“ uzavírá následující dohoda:</w:t>
            </w:r>
          </w:p>
          <w:p w:rsidR="00671C69" w:rsidRDefault="00671C69" w:rsidP="0005590C"/>
        </w:tc>
        <w:tc>
          <w:tcPr>
            <w:tcW w:w="7214" w:type="dxa"/>
          </w:tcPr>
          <w:p w:rsidR="00C57BF0" w:rsidRDefault="00C57BF0" w:rsidP="0005590C">
            <w:pPr>
              <w:jc w:val="center"/>
              <w:rPr>
                <w:rFonts w:ascii="Arial" w:hAnsi="Arial" w:cs="Arial"/>
                <w:b/>
                <w:sz w:val="28"/>
                <w:szCs w:val="28"/>
              </w:rPr>
            </w:pPr>
            <w:r w:rsidRPr="006A0A74">
              <w:rPr>
                <w:rFonts w:ascii="Arial" w:hAnsi="Arial" w:cs="Arial"/>
                <w:b/>
                <w:sz w:val="28"/>
                <w:szCs w:val="28"/>
              </w:rPr>
              <w:lastRenderedPageBreak/>
              <w:t>Vereinbarung über eine gemeinsame Vergabe für das Ostsachsen-Netz II (OSN II)</w:t>
            </w:r>
          </w:p>
          <w:p w:rsidR="00C57BF0" w:rsidRPr="00CF3D04" w:rsidRDefault="00C57BF0" w:rsidP="0005590C">
            <w:pPr>
              <w:pStyle w:val="Nzev"/>
              <w:rPr>
                <w:rFonts w:ascii="Arial" w:hAnsi="Arial" w:cs="Arial"/>
                <w:sz w:val="22"/>
                <w:szCs w:val="22"/>
              </w:rPr>
            </w:pPr>
            <w:r>
              <w:rPr>
                <w:rFonts w:ascii="Arial" w:hAnsi="Arial" w:cs="Arial"/>
                <w:sz w:val="22"/>
                <w:szCs w:val="22"/>
              </w:rPr>
              <w:t>LK: č. OLP/829/2016</w:t>
            </w:r>
          </w:p>
          <w:p w:rsidR="00A637C2" w:rsidRDefault="00A637C2" w:rsidP="0005590C">
            <w:pPr>
              <w:jc w:val="center"/>
              <w:rPr>
                <w:rFonts w:ascii="Arial" w:hAnsi="Arial" w:cs="Arial"/>
                <w:sz w:val="22"/>
                <w:szCs w:val="22"/>
              </w:rPr>
            </w:pPr>
          </w:p>
          <w:p w:rsidR="00C57BF0" w:rsidRPr="00CF3D04" w:rsidRDefault="00C57BF0" w:rsidP="0005590C">
            <w:pPr>
              <w:jc w:val="center"/>
              <w:rPr>
                <w:rFonts w:ascii="Arial" w:hAnsi="Arial" w:cs="Arial"/>
                <w:sz w:val="22"/>
                <w:szCs w:val="22"/>
              </w:rPr>
            </w:pPr>
            <w:r w:rsidRPr="00CF3D04">
              <w:rPr>
                <w:rFonts w:ascii="Arial" w:hAnsi="Arial" w:cs="Arial"/>
                <w:sz w:val="22"/>
                <w:szCs w:val="22"/>
              </w:rPr>
              <w:t>Zwischen</w:t>
            </w:r>
            <w:bookmarkStart w:id="1" w:name="os_autosavelastposition11921"/>
            <w:bookmarkEnd w:id="1"/>
          </w:p>
          <w:p w:rsidR="00C57BF0" w:rsidRPr="00CF3D04" w:rsidRDefault="00C57BF0" w:rsidP="0005590C">
            <w:pPr>
              <w:jc w:val="center"/>
              <w:rPr>
                <w:rFonts w:ascii="Arial" w:hAnsi="Arial" w:cs="Arial"/>
                <w:sz w:val="22"/>
                <w:szCs w:val="22"/>
              </w:rPr>
            </w:pPr>
          </w:p>
          <w:p w:rsidR="00C57BF0" w:rsidRPr="00CF3D04" w:rsidRDefault="00C57BF0" w:rsidP="0005590C">
            <w:pPr>
              <w:pStyle w:val="Odstavecseseznamem"/>
              <w:rPr>
                <w:rFonts w:ascii="Arial" w:hAnsi="Arial" w:cs="Arial"/>
                <w:sz w:val="22"/>
                <w:szCs w:val="22"/>
              </w:rPr>
            </w:pPr>
          </w:p>
          <w:p w:rsidR="00C57BF0" w:rsidRPr="00CF3D04" w:rsidRDefault="00C57BF0" w:rsidP="0005590C">
            <w:pPr>
              <w:numPr>
                <w:ilvl w:val="0"/>
                <w:numId w:val="6"/>
              </w:numPr>
              <w:rPr>
                <w:rFonts w:ascii="Arial" w:hAnsi="Arial" w:cs="Arial"/>
                <w:sz w:val="22"/>
                <w:szCs w:val="22"/>
              </w:rPr>
            </w:pPr>
            <w:r w:rsidRPr="00CF3D04">
              <w:rPr>
                <w:rFonts w:ascii="Arial" w:hAnsi="Arial" w:cs="Arial"/>
                <w:sz w:val="22"/>
                <w:szCs w:val="22"/>
              </w:rPr>
              <w:t xml:space="preserve">dem </w:t>
            </w:r>
            <w:r>
              <w:rPr>
                <w:rFonts w:ascii="Arial" w:hAnsi="Arial" w:cs="Arial"/>
                <w:b/>
                <w:sz w:val="22"/>
                <w:szCs w:val="22"/>
              </w:rPr>
              <w:t>Bezirk Liberec</w:t>
            </w:r>
          </w:p>
          <w:p w:rsidR="00C57BF0" w:rsidRDefault="00C57BF0" w:rsidP="0005590C">
            <w:pPr>
              <w:ind w:left="720"/>
              <w:rPr>
                <w:rFonts w:ascii="Arial" w:hAnsi="Arial" w:cs="Arial"/>
                <w:sz w:val="22"/>
                <w:szCs w:val="22"/>
              </w:rPr>
            </w:pPr>
            <w:r>
              <w:rPr>
                <w:rFonts w:ascii="Arial" w:hAnsi="Arial" w:cs="Arial"/>
                <w:sz w:val="22"/>
                <w:szCs w:val="22"/>
              </w:rPr>
              <w:t>Bezirksamt des Bezirks Liberec</w:t>
            </w:r>
          </w:p>
          <w:p w:rsidR="00C57BF0" w:rsidRDefault="00C57BF0" w:rsidP="0005590C">
            <w:pPr>
              <w:ind w:left="720"/>
              <w:rPr>
                <w:rFonts w:ascii="Arial" w:hAnsi="Arial" w:cs="Arial"/>
                <w:sz w:val="22"/>
                <w:szCs w:val="22"/>
              </w:rPr>
            </w:pPr>
            <w:r>
              <w:rPr>
                <w:rFonts w:ascii="Arial" w:hAnsi="Arial" w:cs="Arial"/>
                <w:sz w:val="22"/>
                <w:szCs w:val="22"/>
              </w:rPr>
              <w:t xml:space="preserve">mit Sitz </w:t>
            </w:r>
            <w:r w:rsidRPr="00CF3D04">
              <w:rPr>
                <w:rFonts w:ascii="Arial" w:hAnsi="Arial" w:cs="Arial"/>
                <w:sz w:val="22"/>
                <w:szCs w:val="22"/>
              </w:rPr>
              <w:t>U Jezu 642/2a 461 80 Liberec 2</w:t>
            </w:r>
          </w:p>
          <w:p w:rsidR="00C57BF0" w:rsidRPr="00CF3D04" w:rsidRDefault="00C57BF0" w:rsidP="0005590C">
            <w:pPr>
              <w:ind w:left="720"/>
              <w:rPr>
                <w:rFonts w:ascii="Arial" w:hAnsi="Arial" w:cs="Arial"/>
                <w:b/>
                <w:sz w:val="22"/>
                <w:szCs w:val="22"/>
              </w:rPr>
            </w:pPr>
            <w:r w:rsidRPr="00CF3D04">
              <w:rPr>
                <w:rFonts w:ascii="Arial" w:hAnsi="Arial" w:cs="Arial"/>
                <w:sz w:val="22"/>
                <w:szCs w:val="22"/>
              </w:rPr>
              <w:t>Id: 70891508</w:t>
            </w:r>
          </w:p>
          <w:p w:rsidR="00C57BF0" w:rsidRPr="00CF3D04" w:rsidRDefault="00C57BF0" w:rsidP="0005590C">
            <w:pPr>
              <w:ind w:firstLine="708"/>
              <w:rPr>
                <w:rFonts w:ascii="Arial" w:hAnsi="Arial" w:cs="Arial"/>
                <w:sz w:val="22"/>
                <w:szCs w:val="22"/>
              </w:rPr>
            </w:pPr>
            <w:r w:rsidRPr="00CF3D04">
              <w:rPr>
                <w:rFonts w:ascii="Arial" w:hAnsi="Arial" w:cs="Arial"/>
                <w:sz w:val="22"/>
                <w:szCs w:val="22"/>
              </w:rPr>
              <w:t>vertreten durch den Regionspräsidenten Herrn Martin Půta,</w:t>
            </w:r>
          </w:p>
          <w:p w:rsidR="00C57BF0" w:rsidRDefault="00C57BF0" w:rsidP="0005590C">
            <w:pPr>
              <w:ind w:firstLine="708"/>
              <w:rPr>
                <w:rFonts w:ascii="Arial" w:hAnsi="Arial" w:cs="Arial"/>
                <w:sz w:val="22"/>
                <w:szCs w:val="22"/>
              </w:rPr>
            </w:pPr>
          </w:p>
          <w:p w:rsidR="00C57BF0" w:rsidRPr="00CF3D04" w:rsidRDefault="00C57BF0" w:rsidP="0005590C">
            <w:pPr>
              <w:ind w:firstLine="708"/>
              <w:rPr>
                <w:rFonts w:ascii="Arial" w:hAnsi="Arial" w:cs="Arial"/>
                <w:sz w:val="22"/>
                <w:szCs w:val="22"/>
              </w:rPr>
            </w:pPr>
            <w:r w:rsidRPr="00CF3D04">
              <w:rPr>
                <w:rFonts w:ascii="Arial" w:hAnsi="Arial" w:cs="Arial"/>
                <w:sz w:val="22"/>
                <w:szCs w:val="22"/>
              </w:rPr>
              <w:t xml:space="preserve">– nachfolgend </w:t>
            </w:r>
            <w:r w:rsidR="00924713">
              <w:rPr>
                <w:rFonts w:ascii="Arial" w:hAnsi="Arial" w:cs="Arial"/>
                <w:sz w:val="22"/>
                <w:szCs w:val="22"/>
              </w:rPr>
              <w:t xml:space="preserve">Bezirk Liberec </w:t>
            </w:r>
            <w:r w:rsidR="00924713" w:rsidRPr="00CF3D04">
              <w:rPr>
                <w:rFonts w:ascii="Arial" w:hAnsi="Arial" w:cs="Arial"/>
                <w:sz w:val="22"/>
                <w:szCs w:val="22"/>
              </w:rPr>
              <w:t>(LK)</w:t>
            </w:r>
            <w:r w:rsidR="00924713">
              <w:rPr>
                <w:rFonts w:ascii="Arial" w:hAnsi="Arial" w:cs="Arial"/>
                <w:sz w:val="22"/>
                <w:szCs w:val="22"/>
              </w:rPr>
              <w:t xml:space="preserve"> </w:t>
            </w:r>
            <w:r w:rsidRPr="00CF3D04">
              <w:rPr>
                <w:rFonts w:ascii="Arial" w:hAnsi="Arial" w:cs="Arial"/>
                <w:sz w:val="22"/>
                <w:szCs w:val="22"/>
              </w:rPr>
              <w:t>genannt  –</w:t>
            </w:r>
          </w:p>
          <w:p w:rsidR="00C57BF0" w:rsidRPr="00CF3D04" w:rsidRDefault="00C57BF0" w:rsidP="0005590C">
            <w:pPr>
              <w:pStyle w:val="Odstavecseseznamem"/>
              <w:rPr>
                <w:rFonts w:ascii="Arial" w:hAnsi="Arial" w:cs="Arial"/>
                <w:sz w:val="22"/>
                <w:szCs w:val="22"/>
              </w:rPr>
            </w:pPr>
          </w:p>
          <w:p w:rsidR="00C57BF0" w:rsidRPr="00CF3D04" w:rsidRDefault="00C57BF0" w:rsidP="0005590C">
            <w:pPr>
              <w:jc w:val="center"/>
              <w:rPr>
                <w:rFonts w:ascii="Arial" w:hAnsi="Arial" w:cs="Arial"/>
                <w:sz w:val="22"/>
                <w:szCs w:val="22"/>
              </w:rPr>
            </w:pPr>
            <w:r w:rsidRPr="00CF3D04">
              <w:rPr>
                <w:rFonts w:ascii="Arial" w:hAnsi="Arial" w:cs="Arial"/>
                <w:sz w:val="22"/>
                <w:szCs w:val="22"/>
              </w:rPr>
              <w:t>und</w:t>
            </w:r>
          </w:p>
          <w:p w:rsidR="00C57BF0" w:rsidRPr="00CF3D04" w:rsidRDefault="00C57BF0" w:rsidP="0005590C">
            <w:pPr>
              <w:pStyle w:val="Odstavecseseznamem"/>
              <w:rPr>
                <w:rFonts w:ascii="Arial" w:hAnsi="Arial" w:cs="Arial"/>
                <w:sz w:val="22"/>
                <w:szCs w:val="22"/>
              </w:rPr>
            </w:pPr>
          </w:p>
          <w:p w:rsidR="00C57BF0" w:rsidRPr="00CF3D04" w:rsidRDefault="00C57BF0" w:rsidP="0005590C">
            <w:pPr>
              <w:numPr>
                <w:ilvl w:val="0"/>
                <w:numId w:val="6"/>
              </w:numPr>
              <w:rPr>
                <w:rFonts w:ascii="Arial" w:hAnsi="Arial" w:cs="Arial"/>
                <w:sz w:val="22"/>
                <w:szCs w:val="22"/>
              </w:rPr>
            </w:pPr>
            <w:r w:rsidRPr="00CF3D04">
              <w:rPr>
                <w:rFonts w:ascii="Arial" w:hAnsi="Arial" w:cs="Arial"/>
                <w:sz w:val="22"/>
                <w:szCs w:val="22"/>
              </w:rPr>
              <w:t xml:space="preserve">dem </w:t>
            </w:r>
            <w:r w:rsidR="00924713">
              <w:rPr>
                <w:rFonts w:ascii="Arial" w:hAnsi="Arial" w:cs="Arial"/>
                <w:b/>
                <w:sz w:val="22"/>
                <w:szCs w:val="22"/>
              </w:rPr>
              <w:t>Berzirk</w:t>
            </w:r>
            <w:r>
              <w:rPr>
                <w:rFonts w:ascii="Arial" w:hAnsi="Arial" w:cs="Arial"/>
                <w:b/>
                <w:sz w:val="22"/>
                <w:szCs w:val="22"/>
              </w:rPr>
              <w:t xml:space="preserve"> </w:t>
            </w:r>
            <w:r w:rsidR="00285A1B">
              <w:rPr>
                <w:rFonts w:ascii="Arial" w:hAnsi="Arial" w:cs="Arial"/>
                <w:b/>
                <w:sz w:val="22"/>
                <w:szCs w:val="22"/>
              </w:rPr>
              <w:t>Ústí</w:t>
            </w:r>
          </w:p>
          <w:p w:rsidR="00C57BF0" w:rsidRDefault="00924713" w:rsidP="0005590C">
            <w:pPr>
              <w:ind w:firstLine="708"/>
              <w:rPr>
                <w:rFonts w:ascii="Arial" w:hAnsi="Arial" w:cs="Arial"/>
                <w:sz w:val="22"/>
                <w:szCs w:val="22"/>
              </w:rPr>
            </w:pPr>
            <w:r>
              <w:rPr>
                <w:rFonts w:ascii="Arial" w:hAnsi="Arial" w:cs="Arial"/>
                <w:sz w:val="22"/>
                <w:szCs w:val="22"/>
              </w:rPr>
              <w:t>Bezirk</w:t>
            </w:r>
            <w:r w:rsidR="00C57BF0">
              <w:rPr>
                <w:rFonts w:ascii="Arial" w:hAnsi="Arial" w:cs="Arial"/>
                <w:sz w:val="22"/>
                <w:szCs w:val="22"/>
              </w:rPr>
              <w:t xml:space="preserve">samt des </w:t>
            </w:r>
            <w:r>
              <w:rPr>
                <w:rFonts w:ascii="Arial" w:hAnsi="Arial" w:cs="Arial"/>
                <w:sz w:val="22"/>
                <w:szCs w:val="22"/>
              </w:rPr>
              <w:t xml:space="preserve">Bezirks </w:t>
            </w:r>
            <w:r w:rsidR="00285A1B">
              <w:rPr>
                <w:rFonts w:ascii="Arial" w:hAnsi="Arial" w:cs="Arial"/>
                <w:sz w:val="22"/>
                <w:szCs w:val="22"/>
              </w:rPr>
              <w:t>Ústí</w:t>
            </w:r>
          </w:p>
          <w:p w:rsidR="00C57BF0" w:rsidRDefault="00C57BF0" w:rsidP="0005590C">
            <w:pPr>
              <w:ind w:firstLine="708"/>
              <w:rPr>
                <w:rFonts w:ascii="Arial" w:hAnsi="Arial" w:cs="Arial"/>
                <w:sz w:val="22"/>
                <w:szCs w:val="22"/>
              </w:rPr>
            </w:pPr>
            <w:r>
              <w:rPr>
                <w:rFonts w:ascii="Arial" w:hAnsi="Arial" w:cs="Arial"/>
                <w:sz w:val="22"/>
                <w:szCs w:val="22"/>
              </w:rPr>
              <w:t>mit Sitz</w:t>
            </w:r>
            <w:r w:rsidRPr="00CF3D04">
              <w:rPr>
                <w:rFonts w:ascii="Arial" w:hAnsi="Arial" w:cs="Arial"/>
                <w:sz w:val="22"/>
                <w:szCs w:val="22"/>
              </w:rPr>
              <w:t xml:space="preserve"> Velká Hradební 3118/48, 400 02 Ústí nad Labem</w:t>
            </w:r>
          </w:p>
          <w:p w:rsidR="00C57BF0" w:rsidRPr="00CF3D04" w:rsidRDefault="00C57BF0" w:rsidP="0005590C">
            <w:pPr>
              <w:ind w:firstLine="708"/>
              <w:rPr>
                <w:rFonts w:ascii="Arial" w:hAnsi="Arial" w:cs="Arial"/>
                <w:sz w:val="22"/>
                <w:szCs w:val="22"/>
              </w:rPr>
            </w:pPr>
            <w:r w:rsidRPr="00CF3D04">
              <w:rPr>
                <w:rFonts w:ascii="Arial" w:hAnsi="Arial" w:cs="Arial"/>
                <w:sz w:val="22"/>
                <w:szCs w:val="22"/>
              </w:rPr>
              <w:t>Id:</w:t>
            </w:r>
            <w:r>
              <w:rPr>
                <w:rFonts w:ascii="Arial" w:hAnsi="Arial" w:cs="Arial"/>
                <w:sz w:val="22"/>
                <w:szCs w:val="22"/>
              </w:rPr>
              <w:t xml:space="preserve"> </w:t>
            </w:r>
            <w:r w:rsidRPr="00821EB3">
              <w:rPr>
                <w:rFonts w:ascii="Arial" w:hAnsi="Arial" w:cs="Arial"/>
                <w:sz w:val="22"/>
              </w:rPr>
              <w:t>70892156</w:t>
            </w:r>
            <w:r>
              <w:rPr>
                <w:szCs w:val="22"/>
                <w:highlight w:val="yellow"/>
              </w:rPr>
              <w:t xml:space="preserve"> </w:t>
            </w:r>
          </w:p>
          <w:p w:rsidR="00C57BF0" w:rsidRDefault="00C57BF0" w:rsidP="0005590C">
            <w:pPr>
              <w:ind w:left="725" w:hanging="17"/>
              <w:rPr>
                <w:rFonts w:ascii="Arial" w:hAnsi="Arial" w:cs="Arial"/>
                <w:sz w:val="22"/>
                <w:szCs w:val="22"/>
              </w:rPr>
            </w:pPr>
            <w:r w:rsidRPr="00CF3D04">
              <w:rPr>
                <w:rFonts w:ascii="Arial" w:hAnsi="Arial" w:cs="Arial"/>
                <w:sz w:val="22"/>
                <w:szCs w:val="22"/>
              </w:rPr>
              <w:t>vertreten durch den Regionspräsidenten Herrn Oldřich Bubeníček,</w:t>
            </w:r>
          </w:p>
          <w:p w:rsidR="00285A1B" w:rsidRDefault="00285A1B" w:rsidP="0005590C">
            <w:pPr>
              <w:ind w:firstLine="708"/>
              <w:rPr>
                <w:rFonts w:ascii="Arial" w:hAnsi="Arial" w:cs="Arial"/>
                <w:sz w:val="22"/>
                <w:szCs w:val="22"/>
              </w:rPr>
            </w:pPr>
          </w:p>
          <w:p w:rsidR="00C57BF0" w:rsidRPr="00CF3D04" w:rsidRDefault="00C57BF0" w:rsidP="0005590C">
            <w:pPr>
              <w:ind w:firstLine="708"/>
              <w:rPr>
                <w:rFonts w:ascii="Arial" w:hAnsi="Arial" w:cs="Arial"/>
                <w:sz w:val="22"/>
                <w:szCs w:val="22"/>
              </w:rPr>
            </w:pPr>
            <w:r w:rsidRPr="00CF3D04">
              <w:rPr>
                <w:rFonts w:ascii="Arial" w:hAnsi="Arial" w:cs="Arial"/>
                <w:sz w:val="22"/>
                <w:szCs w:val="22"/>
              </w:rPr>
              <w:t xml:space="preserve">– nachfolgend </w:t>
            </w:r>
            <w:r w:rsidR="00924713">
              <w:rPr>
                <w:rFonts w:ascii="Arial" w:hAnsi="Arial" w:cs="Arial"/>
                <w:sz w:val="22"/>
                <w:szCs w:val="22"/>
              </w:rPr>
              <w:t>Bezirk Ust</w:t>
            </w:r>
            <w:r w:rsidR="005E1505">
              <w:rPr>
                <w:rFonts w:ascii="Arial" w:hAnsi="Arial" w:cs="Arial"/>
                <w:sz w:val="22"/>
                <w:szCs w:val="22"/>
              </w:rPr>
              <w:t>í</w:t>
            </w:r>
            <w:r w:rsidR="00924713">
              <w:rPr>
                <w:rFonts w:ascii="Arial" w:hAnsi="Arial" w:cs="Arial"/>
                <w:sz w:val="22"/>
                <w:szCs w:val="22"/>
              </w:rPr>
              <w:t xml:space="preserve"> </w:t>
            </w:r>
            <w:r w:rsidR="00924713" w:rsidRPr="00CF3D04">
              <w:rPr>
                <w:rFonts w:ascii="Arial" w:hAnsi="Arial" w:cs="Arial"/>
                <w:sz w:val="22"/>
                <w:szCs w:val="22"/>
              </w:rPr>
              <w:t xml:space="preserve">(UK) </w:t>
            </w:r>
            <w:r w:rsidRPr="00CF3D04">
              <w:rPr>
                <w:rFonts w:ascii="Arial" w:hAnsi="Arial" w:cs="Arial"/>
                <w:sz w:val="22"/>
                <w:szCs w:val="22"/>
              </w:rPr>
              <w:t>genannt –</w:t>
            </w:r>
          </w:p>
          <w:p w:rsidR="00C57BF0" w:rsidRPr="00CF3D04" w:rsidRDefault="00C57BF0" w:rsidP="0005590C">
            <w:pPr>
              <w:ind w:left="708"/>
              <w:rPr>
                <w:rFonts w:ascii="Arial" w:hAnsi="Arial" w:cs="Arial"/>
                <w:sz w:val="22"/>
                <w:szCs w:val="22"/>
              </w:rPr>
            </w:pPr>
          </w:p>
          <w:p w:rsidR="00C57BF0" w:rsidRPr="00CF3D04" w:rsidRDefault="00C57BF0" w:rsidP="0005590C">
            <w:pPr>
              <w:jc w:val="center"/>
              <w:rPr>
                <w:rFonts w:ascii="Arial" w:hAnsi="Arial" w:cs="Arial"/>
                <w:sz w:val="22"/>
                <w:szCs w:val="22"/>
              </w:rPr>
            </w:pPr>
            <w:r w:rsidRPr="00CF3D04">
              <w:rPr>
                <w:rFonts w:ascii="Arial" w:hAnsi="Arial" w:cs="Arial"/>
                <w:sz w:val="22"/>
                <w:szCs w:val="22"/>
              </w:rPr>
              <w:t>und</w:t>
            </w:r>
          </w:p>
          <w:p w:rsidR="00C57BF0" w:rsidRPr="00CF3D04" w:rsidRDefault="00C57BF0" w:rsidP="0005590C">
            <w:pPr>
              <w:rPr>
                <w:rFonts w:ascii="Arial" w:hAnsi="Arial" w:cs="Arial"/>
                <w:sz w:val="22"/>
                <w:szCs w:val="22"/>
              </w:rPr>
            </w:pPr>
          </w:p>
          <w:p w:rsidR="00C57BF0" w:rsidRPr="00CF3D04" w:rsidRDefault="00C57BF0" w:rsidP="0005590C">
            <w:pPr>
              <w:numPr>
                <w:ilvl w:val="0"/>
                <w:numId w:val="6"/>
              </w:numPr>
              <w:rPr>
                <w:rFonts w:ascii="Arial" w:hAnsi="Arial" w:cs="Arial"/>
                <w:sz w:val="22"/>
                <w:szCs w:val="22"/>
              </w:rPr>
            </w:pPr>
            <w:r w:rsidRPr="00CF3D04">
              <w:rPr>
                <w:rFonts w:ascii="Arial" w:hAnsi="Arial" w:cs="Arial"/>
                <w:sz w:val="22"/>
                <w:szCs w:val="22"/>
              </w:rPr>
              <w:t xml:space="preserve">dem </w:t>
            </w:r>
            <w:r w:rsidRPr="00CF3D04">
              <w:rPr>
                <w:rFonts w:ascii="Arial" w:hAnsi="Arial" w:cs="Arial"/>
                <w:b/>
                <w:sz w:val="22"/>
                <w:szCs w:val="22"/>
              </w:rPr>
              <w:t>Zweckverband Verkehrsverbund Oberlausitz-Niederschlesien,</w:t>
            </w:r>
            <w:r w:rsidRPr="00CF3D04">
              <w:rPr>
                <w:rFonts w:ascii="Arial" w:hAnsi="Arial" w:cs="Arial"/>
                <w:sz w:val="22"/>
                <w:szCs w:val="22"/>
              </w:rPr>
              <w:t xml:space="preserve"> </w:t>
            </w:r>
          </w:p>
          <w:p w:rsidR="00C57BF0" w:rsidRPr="00CF3D04" w:rsidRDefault="00C57BF0" w:rsidP="0005590C">
            <w:pPr>
              <w:ind w:left="708"/>
              <w:rPr>
                <w:rFonts w:ascii="Arial" w:hAnsi="Arial" w:cs="Arial"/>
                <w:sz w:val="22"/>
                <w:szCs w:val="22"/>
              </w:rPr>
            </w:pPr>
            <w:r w:rsidRPr="00CF3D04">
              <w:rPr>
                <w:rFonts w:ascii="Arial" w:hAnsi="Arial" w:cs="Arial"/>
                <w:sz w:val="22"/>
                <w:szCs w:val="22"/>
              </w:rPr>
              <w:t>Rosenstraße 31, 02625 Bautzen,</w:t>
            </w:r>
          </w:p>
          <w:p w:rsidR="00C57BF0" w:rsidRPr="00CF3D04" w:rsidRDefault="00C57BF0" w:rsidP="0005590C">
            <w:pPr>
              <w:ind w:firstLine="708"/>
              <w:rPr>
                <w:rFonts w:ascii="Arial" w:hAnsi="Arial" w:cs="Arial"/>
                <w:sz w:val="22"/>
                <w:szCs w:val="22"/>
              </w:rPr>
            </w:pPr>
            <w:r w:rsidRPr="00CF3D04">
              <w:rPr>
                <w:rFonts w:ascii="Arial" w:hAnsi="Arial" w:cs="Arial"/>
                <w:sz w:val="22"/>
                <w:szCs w:val="22"/>
              </w:rPr>
              <w:t>vertreten durch den Verbandsvorsitzenden Herrn Michael Harig,</w:t>
            </w:r>
          </w:p>
          <w:p w:rsidR="00285A1B" w:rsidRDefault="00285A1B" w:rsidP="0005590C">
            <w:pPr>
              <w:ind w:firstLine="708"/>
              <w:rPr>
                <w:rFonts w:ascii="Arial" w:hAnsi="Arial" w:cs="Arial"/>
                <w:sz w:val="22"/>
                <w:szCs w:val="22"/>
              </w:rPr>
            </w:pPr>
          </w:p>
          <w:p w:rsidR="00285A1B" w:rsidRDefault="00285A1B" w:rsidP="0005590C">
            <w:pPr>
              <w:ind w:firstLine="708"/>
              <w:rPr>
                <w:rFonts w:ascii="Arial" w:hAnsi="Arial" w:cs="Arial"/>
                <w:sz w:val="22"/>
                <w:szCs w:val="22"/>
              </w:rPr>
            </w:pPr>
          </w:p>
          <w:p w:rsidR="00C57BF0" w:rsidRDefault="00C57BF0" w:rsidP="0005590C">
            <w:pPr>
              <w:ind w:firstLine="708"/>
              <w:rPr>
                <w:rFonts w:ascii="Arial" w:hAnsi="Arial" w:cs="Arial"/>
                <w:sz w:val="22"/>
                <w:szCs w:val="22"/>
              </w:rPr>
            </w:pPr>
            <w:r w:rsidRPr="00CF3D04">
              <w:rPr>
                <w:rFonts w:ascii="Arial" w:hAnsi="Arial" w:cs="Arial"/>
                <w:sz w:val="22"/>
                <w:szCs w:val="22"/>
              </w:rPr>
              <w:t>– nachfolgend ZVON genannt –</w:t>
            </w:r>
          </w:p>
          <w:p w:rsidR="00C57BF0" w:rsidRPr="00CF3D04" w:rsidRDefault="00C57BF0" w:rsidP="0005590C">
            <w:pPr>
              <w:ind w:firstLine="708"/>
              <w:rPr>
                <w:rFonts w:ascii="Arial" w:hAnsi="Arial" w:cs="Arial"/>
                <w:sz w:val="22"/>
                <w:szCs w:val="22"/>
              </w:rPr>
            </w:pPr>
          </w:p>
          <w:p w:rsidR="00C57BF0" w:rsidRPr="00CF3D04" w:rsidRDefault="00C57BF0" w:rsidP="0005590C">
            <w:pPr>
              <w:ind w:left="725"/>
              <w:rPr>
                <w:rFonts w:ascii="Arial" w:hAnsi="Arial" w:cs="Arial"/>
                <w:sz w:val="22"/>
                <w:szCs w:val="22"/>
              </w:rPr>
            </w:pPr>
            <w:r w:rsidRPr="00CF3D04">
              <w:rPr>
                <w:rFonts w:ascii="Arial" w:hAnsi="Arial" w:cs="Arial"/>
                <w:sz w:val="22"/>
                <w:szCs w:val="22"/>
              </w:rPr>
              <w:lastRenderedPageBreak/>
              <w:t xml:space="preserve">– der ZVON, </w:t>
            </w:r>
            <w:r w:rsidR="002E2A5B">
              <w:rPr>
                <w:rFonts w:ascii="Arial" w:hAnsi="Arial" w:cs="Arial"/>
                <w:sz w:val="22"/>
                <w:szCs w:val="22"/>
              </w:rPr>
              <w:t>der Bezirk Liberec und der Bezirk</w:t>
            </w:r>
            <w:r w:rsidR="002E2A5B" w:rsidRPr="002E2A5B">
              <w:rPr>
                <w:rFonts w:ascii="Arial" w:hAnsi="Arial" w:cs="Arial"/>
                <w:sz w:val="22"/>
                <w:szCs w:val="22"/>
              </w:rPr>
              <w:t xml:space="preserve"> </w:t>
            </w:r>
            <w:r w:rsidRPr="002E2A5B">
              <w:rPr>
                <w:rFonts w:ascii="Arial" w:hAnsi="Arial" w:cs="Arial"/>
                <w:sz w:val="22"/>
                <w:szCs w:val="22"/>
              </w:rPr>
              <w:t>Ust</w:t>
            </w:r>
            <w:r w:rsidR="002E2A5B" w:rsidRPr="002E2A5B">
              <w:rPr>
                <w:rFonts w:ascii="Arial" w:hAnsi="Arial" w:cs="Arial"/>
                <w:sz w:val="22"/>
                <w:szCs w:val="22"/>
              </w:rPr>
              <w:t>í</w:t>
            </w:r>
            <w:r w:rsidRPr="00CF3D04">
              <w:rPr>
                <w:rFonts w:ascii="Arial" w:hAnsi="Arial" w:cs="Arial"/>
                <w:sz w:val="22"/>
                <w:szCs w:val="22"/>
              </w:rPr>
              <w:t xml:space="preserve"> nachfolgend zusammen oder einzeln auch „Aufgabenträger“ genannt –</w:t>
            </w:r>
          </w:p>
          <w:p w:rsidR="00C57BF0" w:rsidRPr="00CF3D04" w:rsidRDefault="00C57BF0" w:rsidP="0005590C">
            <w:pPr>
              <w:rPr>
                <w:rFonts w:ascii="Arial" w:hAnsi="Arial" w:cs="Arial"/>
                <w:sz w:val="22"/>
                <w:szCs w:val="22"/>
              </w:rPr>
            </w:pPr>
          </w:p>
          <w:p w:rsidR="00671C69" w:rsidRDefault="00C57BF0" w:rsidP="0005590C">
            <w:pPr>
              <w:ind w:left="360"/>
              <w:rPr>
                <w:rFonts w:ascii="Arial" w:hAnsi="Arial" w:cs="Arial"/>
                <w:sz w:val="22"/>
                <w:szCs w:val="22"/>
              </w:rPr>
            </w:pPr>
            <w:r w:rsidRPr="00CF3D04">
              <w:rPr>
                <w:rFonts w:ascii="Arial" w:hAnsi="Arial" w:cs="Arial"/>
                <w:sz w:val="22"/>
                <w:szCs w:val="22"/>
              </w:rPr>
              <w:t>wird zur gemeinsamen Durchführung der Vergabe von Verkehrsleistungen im „Ostsachsen-Netz II“ folgende Vereinbarung geschlossen:</w:t>
            </w:r>
          </w:p>
          <w:p w:rsidR="00782205" w:rsidRDefault="00782205" w:rsidP="0005590C">
            <w:pPr>
              <w:ind w:left="360"/>
              <w:rPr>
                <w:rFonts w:ascii="Arial" w:hAnsi="Arial" w:cs="Arial"/>
                <w:sz w:val="22"/>
                <w:szCs w:val="22"/>
              </w:rPr>
            </w:pPr>
          </w:p>
          <w:p w:rsidR="00B21B7F" w:rsidRDefault="00B21B7F" w:rsidP="0005590C">
            <w:pPr>
              <w:ind w:left="360"/>
            </w:pPr>
          </w:p>
        </w:tc>
      </w:tr>
      <w:tr w:rsidR="00671C69" w:rsidRPr="002D2CD9" w:rsidTr="00285A1B">
        <w:tc>
          <w:tcPr>
            <w:tcW w:w="7213" w:type="dxa"/>
          </w:tcPr>
          <w:p w:rsidR="00671C69" w:rsidRDefault="00671C69" w:rsidP="0005590C">
            <w:pPr>
              <w:spacing w:before="240" w:after="300"/>
              <w:rPr>
                <w:rFonts w:ascii="Arial" w:hAnsi="Arial" w:cs="Arial"/>
                <w:b/>
                <w:sz w:val="28"/>
                <w:szCs w:val="28"/>
                <w:lang w:val="cs-CZ"/>
              </w:rPr>
            </w:pPr>
            <w:r w:rsidRPr="00753C3C">
              <w:rPr>
                <w:rFonts w:ascii="Arial" w:hAnsi="Arial" w:cs="Arial"/>
                <w:b/>
                <w:sz w:val="28"/>
                <w:szCs w:val="28"/>
                <w:lang w:val="cs-CZ"/>
              </w:rPr>
              <w:lastRenderedPageBreak/>
              <w:t>Obsah</w:t>
            </w:r>
          </w:p>
          <w:p w:rsidR="00782205" w:rsidRDefault="00B963A8">
            <w:pPr>
              <w:pStyle w:val="Obsah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47185415" w:history="1">
              <w:r w:rsidR="00782205" w:rsidRPr="009954DC">
                <w:rPr>
                  <w:rStyle w:val="Hypertextovodkaz"/>
                  <w:noProof/>
                </w:rPr>
                <w:t>Úvodní poznámka</w:t>
              </w:r>
              <w:r w:rsidR="00782205">
                <w:rPr>
                  <w:noProof/>
                  <w:webHidden/>
                </w:rPr>
                <w:tab/>
              </w:r>
              <w:r w:rsidR="00782205">
                <w:rPr>
                  <w:noProof/>
                  <w:webHidden/>
                </w:rPr>
                <w:fldChar w:fldCharType="begin"/>
              </w:r>
              <w:r w:rsidR="00782205">
                <w:rPr>
                  <w:noProof/>
                  <w:webHidden/>
                </w:rPr>
                <w:instrText xml:space="preserve"> PAGEREF _Toc447185415 \h </w:instrText>
              </w:r>
              <w:r w:rsidR="00782205">
                <w:rPr>
                  <w:noProof/>
                  <w:webHidden/>
                </w:rPr>
              </w:r>
              <w:r w:rsidR="00782205">
                <w:rPr>
                  <w:noProof/>
                  <w:webHidden/>
                </w:rPr>
                <w:fldChar w:fldCharType="separate"/>
              </w:r>
              <w:r w:rsidR="00B06BCC">
                <w:rPr>
                  <w:noProof/>
                  <w:webHidden/>
                </w:rPr>
                <w:t>3</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16" w:history="1">
              <w:r w:rsidR="00782205" w:rsidRPr="009954DC">
                <w:rPr>
                  <w:rStyle w:val="Hypertextovodkaz"/>
                  <w:noProof/>
                  <w:lang w:val="cs-CZ"/>
                </w:rPr>
                <w:t>§ 1 Cíle a obsahy Dohody</w:t>
              </w:r>
              <w:r w:rsidR="00782205">
                <w:rPr>
                  <w:noProof/>
                  <w:webHidden/>
                </w:rPr>
                <w:tab/>
              </w:r>
              <w:r w:rsidR="00782205">
                <w:rPr>
                  <w:noProof/>
                  <w:webHidden/>
                </w:rPr>
                <w:fldChar w:fldCharType="begin"/>
              </w:r>
              <w:r w:rsidR="00782205">
                <w:rPr>
                  <w:noProof/>
                  <w:webHidden/>
                </w:rPr>
                <w:instrText xml:space="preserve"> PAGEREF _Toc447185416 \h </w:instrText>
              </w:r>
              <w:r w:rsidR="00782205">
                <w:rPr>
                  <w:noProof/>
                  <w:webHidden/>
                </w:rPr>
              </w:r>
              <w:r w:rsidR="00782205">
                <w:rPr>
                  <w:noProof/>
                  <w:webHidden/>
                </w:rPr>
                <w:fldChar w:fldCharType="separate"/>
              </w:r>
              <w:r w:rsidR="00B06BCC">
                <w:rPr>
                  <w:noProof/>
                  <w:webHidden/>
                </w:rPr>
                <w:t>4</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17" w:history="1">
              <w:r w:rsidR="00782205" w:rsidRPr="009954DC">
                <w:rPr>
                  <w:rStyle w:val="Hypertextovodkaz"/>
                  <w:noProof/>
                  <w:lang w:val="cs-CZ"/>
                </w:rPr>
                <w:t xml:space="preserve">§ 2 Způsob a druh </w:t>
              </w:r>
              <w:r w:rsidR="00782205" w:rsidRPr="009954DC">
                <w:rPr>
                  <w:rStyle w:val="Hypertextovodkaz"/>
                  <w:noProof/>
                </w:rPr>
                <w:t>spolupráce</w:t>
              </w:r>
              <w:r w:rsidR="00782205">
                <w:rPr>
                  <w:noProof/>
                  <w:webHidden/>
                </w:rPr>
                <w:tab/>
              </w:r>
              <w:r w:rsidR="00782205">
                <w:rPr>
                  <w:noProof/>
                  <w:webHidden/>
                </w:rPr>
                <w:fldChar w:fldCharType="begin"/>
              </w:r>
              <w:r w:rsidR="00782205">
                <w:rPr>
                  <w:noProof/>
                  <w:webHidden/>
                </w:rPr>
                <w:instrText xml:space="preserve"> PAGEREF _Toc447185417 \h </w:instrText>
              </w:r>
              <w:r w:rsidR="00782205">
                <w:rPr>
                  <w:noProof/>
                  <w:webHidden/>
                </w:rPr>
              </w:r>
              <w:r w:rsidR="00782205">
                <w:rPr>
                  <w:noProof/>
                  <w:webHidden/>
                </w:rPr>
                <w:fldChar w:fldCharType="separate"/>
              </w:r>
              <w:r w:rsidR="00B06BCC">
                <w:rPr>
                  <w:noProof/>
                  <w:webHidden/>
                </w:rPr>
                <w:t>6</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18" w:history="1">
              <w:r w:rsidR="00782205" w:rsidRPr="009954DC">
                <w:rPr>
                  <w:rStyle w:val="Hypertextovodkaz"/>
                  <w:noProof/>
                  <w:lang w:val="cs-CZ"/>
                </w:rPr>
                <w:t xml:space="preserve">§ 3 Příprava a realizace  </w:t>
              </w:r>
              <w:r w:rsidR="00782205" w:rsidRPr="009954DC">
                <w:rPr>
                  <w:rStyle w:val="Hypertextovodkaz"/>
                  <w:noProof/>
                </w:rPr>
                <w:t>zadávacího</w:t>
              </w:r>
              <w:r w:rsidR="00782205" w:rsidRPr="009954DC">
                <w:rPr>
                  <w:rStyle w:val="Hypertextovodkaz"/>
                  <w:noProof/>
                  <w:lang w:val="cs-CZ"/>
                </w:rPr>
                <w:t xml:space="preserve"> řízení</w:t>
              </w:r>
              <w:r w:rsidR="00782205">
                <w:rPr>
                  <w:noProof/>
                  <w:webHidden/>
                </w:rPr>
                <w:tab/>
              </w:r>
              <w:r w:rsidR="00782205">
                <w:rPr>
                  <w:noProof/>
                  <w:webHidden/>
                </w:rPr>
                <w:fldChar w:fldCharType="begin"/>
              </w:r>
              <w:r w:rsidR="00782205">
                <w:rPr>
                  <w:noProof/>
                  <w:webHidden/>
                </w:rPr>
                <w:instrText xml:space="preserve"> PAGEREF _Toc447185418 \h </w:instrText>
              </w:r>
              <w:r w:rsidR="00782205">
                <w:rPr>
                  <w:noProof/>
                  <w:webHidden/>
                </w:rPr>
              </w:r>
              <w:r w:rsidR="00782205">
                <w:rPr>
                  <w:noProof/>
                  <w:webHidden/>
                </w:rPr>
                <w:fldChar w:fldCharType="separate"/>
              </w:r>
              <w:r w:rsidR="00B06BCC">
                <w:rPr>
                  <w:noProof/>
                  <w:webHidden/>
                </w:rPr>
                <w:t>10</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19" w:history="1">
              <w:r w:rsidR="00782205" w:rsidRPr="009954DC">
                <w:rPr>
                  <w:rStyle w:val="Hypertextovodkaz"/>
                  <w:noProof/>
                  <w:lang w:val="cs-CZ"/>
                </w:rPr>
                <w:t xml:space="preserve">§ 4 </w:t>
              </w:r>
              <w:r w:rsidR="00782205" w:rsidRPr="009954DC">
                <w:rPr>
                  <w:rStyle w:val="Hypertextovodkaz"/>
                  <w:noProof/>
                </w:rPr>
                <w:t>Náklady</w:t>
              </w:r>
              <w:r w:rsidR="00782205" w:rsidRPr="009954DC">
                <w:rPr>
                  <w:rStyle w:val="Hypertextovodkaz"/>
                  <w:noProof/>
                  <w:lang w:val="cs-CZ"/>
                </w:rPr>
                <w:t xml:space="preserve"> zadávacího řízení</w:t>
              </w:r>
              <w:r w:rsidR="00782205">
                <w:rPr>
                  <w:noProof/>
                  <w:webHidden/>
                </w:rPr>
                <w:tab/>
              </w:r>
              <w:r w:rsidR="00782205">
                <w:rPr>
                  <w:noProof/>
                  <w:webHidden/>
                </w:rPr>
                <w:fldChar w:fldCharType="begin"/>
              </w:r>
              <w:r w:rsidR="00782205">
                <w:rPr>
                  <w:noProof/>
                  <w:webHidden/>
                </w:rPr>
                <w:instrText xml:space="preserve"> PAGEREF _Toc447185419 \h </w:instrText>
              </w:r>
              <w:r w:rsidR="00782205">
                <w:rPr>
                  <w:noProof/>
                  <w:webHidden/>
                </w:rPr>
              </w:r>
              <w:r w:rsidR="00782205">
                <w:rPr>
                  <w:noProof/>
                  <w:webHidden/>
                </w:rPr>
                <w:fldChar w:fldCharType="separate"/>
              </w:r>
              <w:r w:rsidR="00B06BCC">
                <w:rPr>
                  <w:noProof/>
                  <w:webHidden/>
                </w:rPr>
                <w:t>14</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0" w:history="1">
              <w:r w:rsidR="00782205" w:rsidRPr="009954DC">
                <w:rPr>
                  <w:rStyle w:val="Hypertextovodkaz"/>
                  <w:noProof/>
                  <w:lang w:val="cs-CZ"/>
                </w:rPr>
                <w:t xml:space="preserve">§ 5 Náklady </w:t>
              </w:r>
              <w:r w:rsidR="00782205" w:rsidRPr="009954DC">
                <w:rPr>
                  <w:rStyle w:val="Hypertextovodkaz"/>
                  <w:noProof/>
                </w:rPr>
                <w:t>přezkumných</w:t>
              </w:r>
              <w:r w:rsidR="00782205" w:rsidRPr="009954DC">
                <w:rPr>
                  <w:rStyle w:val="Hypertextovodkaz"/>
                  <w:noProof/>
                  <w:lang w:val="cs-CZ"/>
                </w:rPr>
                <w:t xml:space="preserve"> řízení, nároky  na náhradu škody</w:t>
              </w:r>
              <w:r w:rsidR="00782205">
                <w:rPr>
                  <w:noProof/>
                  <w:webHidden/>
                </w:rPr>
                <w:tab/>
              </w:r>
              <w:r w:rsidR="00782205">
                <w:rPr>
                  <w:noProof/>
                  <w:webHidden/>
                </w:rPr>
                <w:fldChar w:fldCharType="begin"/>
              </w:r>
              <w:r w:rsidR="00782205">
                <w:rPr>
                  <w:noProof/>
                  <w:webHidden/>
                </w:rPr>
                <w:instrText xml:space="preserve"> PAGEREF _Toc447185420 \h </w:instrText>
              </w:r>
              <w:r w:rsidR="00782205">
                <w:rPr>
                  <w:noProof/>
                  <w:webHidden/>
                </w:rPr>
              </w:r>
              <w:r w:rsidR="00782205">
                <w:rPr>
                  <w:noProof/>
                  <w:webHidden/>
                </w:rPr>
                <w:fldChar w:fldCharType="separate"/>
              </w:r>
              <w:r w:rsidR="00B06BCC">
                <w:rPr>
                  <w:noProof/>
                  <w:webHidden/>
                </w:rPr>
                <w:t>14</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1" w:history="1">
              <w:r w:rsidR="00782205" w:rsidRPr="009954DC">
                <w:rPr>
                  <w:rStyle w:val="Hypertextovodkaz"/>
                  <w:noProof/>
                  <w:lang w:val="cs-CZ"/>
                </w:rPr>
                <w:t xml:space="preserve">§ 6 Plánování </w:t>
              </w:r>
              <w:r w:rsidR="00782205" w:rsidRPr="009954DC">
                <w:rPr>
                  <w:rStyle w:val="Hypertextovodkaz"/>
                  <w:noProof/>
                </w:rPr>
                <w:t>budoucí</w:t>
              </w:r>
              <w:r w:rsidR="00782205" w:rsidRPr="009954DC">
                <w:rPr>
                  <w:rStyle w:val="Hypertextovodkaz"/>
                  <w:noProof/>
                  <w:lang w:val="cs-CZ"/>
                </w:rPr>
                <w:t xml:space="preserve"> nabídky drážní regionální osobní dopravy, následná zadávací řízení</w:t>
              </w:r>
              <w:r w:rsidR="00782205">
                <w:rPr>
                  <w:noProof/>
                  <w:webHidden/>
                </w:rPr>
                <w:tab/>
              </w:r>
              <w:r w:rsidR="00782205">
                <w:rPr>
                  <w:noProof/>
                  <w:webHidden/>
                </w:rPr>
                <w:fldChar w:fldCharType="begin"/>
              </w:r>
              <w:r w:rsidR="00782205">
                <w:rPr>
                  <w:noProof/>
                  <w:webHidden/>
                </w:rPr>
                <w:instrText xml:space="preserve"> PAGEREF _Toc447185421 \h </w:instrText>
              </w:r>
              <w:r w:rsidR="00782205">
                <w:rPr>
                  <w:noProof/>
                  <w:webHidden/>
                </w:rPr>
              </w:r>
              <w:r w:rsidR="00782205">
                <w:rPr>
                  <w:noProof/>
                  <w:webHidden/>
                </w:rPr>
                <w:fldChar w:fldCharType="separate"/>
              </w:r>
              <w:r w:rsidR="00B06BCC">
                <w:rPr>
                  <w:noProof/>
                  <w:webHidden/>
                </w:rPr>
                <w:t>15</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2" w:history="1">
              <w:r w:rsidR="00782205" w:rsidRPr="009954DC">
                <w:rPr>
                  <w:rStyle w:val="Hypertextovodkaz"/>
                  <w:noProof/>
                  <w:lang w:val="cs-CZ"/>
                </w:rPr>
                <w:t xml:space="preserve">§ 7 </w:t>
              </w:r>
              <w:r w:rsidR="00782205" w:rsidRPr="009954DC">
                <w:rPr>
                  <w:rStyle w:val="Hypertextovodkaz"/>
                  <w:noProof/>
                </w:rPr>
                <w:t>Realizace</w:t>
              </w:r>
              <w:r w:rsidR="00782205" w:rsidRPr="009954DC">
                <w:rPr>
                  <w:rStyle w:val="Hypertextovodkaz"/>
                  <w:noProof/>
                  <w:lang w:val="cs-CZ"/>
                </w:rPr>
                <w:t xml:space="preserve"> a průběh plnění Dopravní smlouvy s Dopravcem</w:t>
              </w:r>
              <w:r w:rsidR="00782205">
                <w:rPr>
                  <w:noProof/>
                  <w:webHidden/>
                </w:rPr>
                <w:tab/>
              </w:r>
              <w:r w:rsidR="00782205">
                <w:rPr>
                  <w:noProof/>
                  <w:webHidden/>
                </w:rPr>
                <w:fldChar w:fldCharType="begin"/>
              </w:r>
              <w:r w:rsidR="00782205">
                <w:rPr>
                  <w:noProof/>
                  <w:webHidden/>
                </w:rPr>
                <w:instrText xml:space="preserve"> PAGEREF _Toc447185422 \h </w:instrText>
              </w:r>
              <w:r w:rsidR="00782205">
                <w:rPr>
                  <w:noProof/>
                  <w:webHidden/>
                </w:rPr>
              </w:r>
              <w:r w:rsidR="00782205">
                <w:rPr>
                  <w:noProof/>
                  <w:webHidden/>
                </w:rPr>
                <w:fldChar w:fldCharType="separate"/>
              </w:r>
              <w:r w:rsidR="00B06BCC">
                <w:rPr>
                  <w:noProof/>
                  <w:webHidden/>
                </w:rPr>
                <w:t>16</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3" w:history="1">
              <w:r w:rsidR="00782205" w:rsidRPr="009954DC">
                <w:rPr>
                  <w:rStyle w:val="Hypertextovodkaz"/>
                  <w:noProof/>
                  <w:lang w:val="cs-CZ"/>
                </w:rPr>
                <w:t xml:space="preserve">§ 8 Závěrečná </w:t>
              </w:r>
              <w:r w:rsidR="00782205" w:rsidRPr="009954DC">
                <w:rPr>
                  <w:rStyle w:val="Hypertextovodkaz"/>
                  <w:noProof/>
                </w:rPr>
                <w:t>ustanovení</w:t>
              </w:r>
              <w:r w:rsidR="00782205">
                <w:rPr>
                  <w:noProof/>
                  <w:webHidden/>
                </w:rPr>
                <w:tab/>
              </w:r>
              <w:r w:rsidR="00782205">
                <w:rPr>
                  <w:noProof/>
                  <w:webHidden/>
                </w:rPr>
                <w:fldChar w:fldCharType="begin"/>
              </w:r>
              <w:r w:rsidR="00782205">
                <w:rPr>
                  <w:noProof/>
                  <w:webHidden/>
                </w:rPr>
                <w:instrText xml:space="preserve"> PAGEREF _Toc447185423 \h </w:instrText>
              </w:r>
              <w:r w:rsidR="00782205">
                <w:rPr>
                  <w:noProof/>
                  <w:webHidden/>
                </w:rPr>
              </w:r>
              <w:r w:rsidR="00782205">
                <w:rPr>
                  <w:noProof/>
                  <w:webHidden/>
                </w:rPr>
                <w:fldChar w:fldCharType="separate"/>
              </w:r>
              <w:r w:rsidR="00B06BCC">
                <w:rPr>
                  <w:noProof/>
                  <w:webHidden/>
                </w:rPr>
                <w:t>17</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4" w:history="1">
              <w:r w:rsidR="00782205" w:rsidRPr="009954DC">
                <w:rPr>
                  <w:rStyle w:val="Hypertextovodkaz"/>
                  <w:noProof/>
                  <w:lang w:val="cs-CZ"/>
                </w:rPr>
                <w:t>Příloha A (Objem výkonů)</w:t>
              </w:r>
              <w:r w:rsidR="00782205">
                <w:rPr>
                  <w:noProof/>
                  <w:webHidden/>
                </w:rPr>
                <w:tab/>
              </w:r>
              <w:r w:rsidR="00782205">
                <w:rPr>
                  <w:noProof/>
                  <w:webHidden/>
                </w:rPr>
                <w:fldChar w:fldCharType="begin"/>
              </w:r>
              <w:r w:rsidR="00782205">
                <w:rPr>
                  <w:noProof/>
                  <w:webHidden/>
                </w:rPr>
                <w:instrText xml:space="preserve"> PAGEREF _Toc447185424 \h </w:instrText>
              </w:r>
              <w:r w:rsidR="00782205">
                <w:rPr>
                  <w:noProof/>
                  <w:webHidden/>
                </w:rPr>
              </w:r>
              <w:r w:rsidR="00782205">
                <w:rPr>
                  <w:noProof/>
                  <w:webHidden/>
                </w:rPr>
                <w:fldChar w:fldCharType="separate"/>
              </w:r>
              <w:r w:rsidR="00B06BCC">
                <w:rPr>
                  <w:noProof/>
                  <w:webHidden/>
                </w:rPr>
                <w:t>20</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5" w:history="1">
              <w:r w:rsidR="00782205" w:rsidRPr="009954DC">
                <w:rPr>
                  <w:rStyle w:val="Hypertextovodkaz"/>
                  <w:noProof/>
                  <w:lang w:val="cs-CZ"/>
                </w:rPr>
                <w:t>Zkratky</w:t>
              </w:r>
              <w:r w:rsidR="00782205">
                <w:rPr>
                  <w:noProof/>
                  <w:webHidden/>
                </w:rPr>
                <w:tab/>
              </w:r>
              <w:r w:rsidR="00782205">
                <w:rPr>
                  <w:noProof/>
                  <w:webHidden/>
                </w:rPr>
                <w:fldChar w:fldCharType="begin"/>
              </w:r>
              <w:r w:rsidR="00782205">
                <w:rPr>
                  <w:noProof/>
                  <w:webHidden/>
                </w:rPr>
                <w:instrText xml:space="preserve"> PAGEREF _Toc447185425 \h </w:instrText>
              </w:r>
              <w:r w:rsidR="00782205">
                <w:rPr>
                  <w:noProof/>
                  <w:webHidden/>
                </w:rPr>
              </w:r>
              <w:r w:rsidR="00782205">
                <w:rPr>
                  <w:noProof/>
                  <w:webHidden/>
                </w:rPr>
                <w:fldChar w:fldCharType="separate"/>
              </w:r>
              <w:r w:rsidR="00B06BCC">
                <w:rPr>
                  <w:noProof/>
                  <w:webHidden/>
                </w:rPr>
                <w:t>21</w:t>
              </w:r>
              <w:r w:rsidR="00782205">
                <w:rPr>
                  <w:noProof/>
                  <w:webHidden/>
                </w:rPr>
                <w:fldChar w:fldCharType="end"/>
              </w:r>
            </w:hyperlink>
          </w:p>
          <w:p w:rsidR="00671C69" w:rsidRDefault="00B963A8" w:rsidP="00B21B7F">
            <w:pPr>
              <w:pStyle w:val="text"/>
            </w:pPr>
            <w:r>
              <w:fldChar w:fldCharType="end"/>
            </w:r>
          </w:p>
        </w:tc>
        <w:tc>
          <w:tcPr>
            <w:tcW w:w="7214" w:type="dxa"/>
          </w:tcPr>
          <w:p w:rsidR="00C57BF0" w:rsidRDefault="00C57BF0" w:rsidP="0005590C">
            <w:pPr>
              <w:spacing w:before="240" w:after="300"/>
              <w:rPr>
                <w:rFonts w:ascii="Arial" w:hAnsi="Arial" w:cs="Arial"/>
                <w:b/>
                <w:sz w:val="28"/>
                <w:szCs w:val="28"/>
              </w:rPr>
            </w:pPr>
            <w:r w:rsidRPr="00CF3D04">
              <w:rPr>
                <w:rFonts w:ascii="Arial" w:hAnsi="Arial" w:cs="Arial"/>
                <w:b/>
                <w:sz w:val="28"/>
                <w:szCs w:val="28"/>
              </w:rPr>
              <w:t>Inhaltsverzeichnis</w:t>
            </w:r>
          </w:p>
          <w:p w:rsidR="00782205" w:rsidRDefault="00B21B7F">
            <w:pPr>
              <w:pStyle w:val="Obsah1"/>
              <w:rPr>
                <w:rFonts w:asciiTheme="minorHAnsi" w:eastAsiaTheme="minorEastAsia" w:hAnsiTheme="minorHAnsi" w:cstheme="minorBidi"/>
                <w:noProof/>
                <w:sz w:val="22"/>
                <w:szCs w:val="22"/>
              </w:rPr>
            </w:pPr>
            <w:r>
              <w:fldChar w:fldCharType="begin"/>
            </w:r>
            <w:r>
              <w:instrText xml:space="preserve"> TOC \h \z \u \t "Überschrift 2;1" </w:instrText>
            </w:r>
            <w:r>
              <w:fldChar w:fldCharType="separate"/>
            </w:r>
            <w:hyperlink w:anchor="_Toc447185426" w:history="1">
              <w:r w:rsidR="00782205" w:rsidRPr="00A7792D">
                <w:rPr>
                  <w:rStyle w:val="Hypertextovodkaz"/>
                  <w:noProof/>
                </w:rPr>
                <w:t>Vorbemerkung</w:t>
              </w:r>
              <w:r w:rsidR="00782205">
                <w:rPr>
                  <w:noProof/>
                  <w:webHidden/>
                </w:rPr>
                <w:tab/>
              </w:r>
              <w:r w:rsidR="00782205">
                <w:rPr>
                  <w:noProof/>
                  <w:webHidden/>
                </w:rPr>
                <w:fldChar w:fldCharType="begin"/>
              </w:r>
              <w:r w:rsidR="00782205">
                <w:rPr>
                  <w:noProof/>
                  <w:webHidden/>
                </w:rPr>
                <w:instrText xml:space="preserve"> PAGEREF _Toc447185426 \h </w:instrText>
              </w:r>
              <w:r w:rsidR="00782205">
                <w:rPr>
                  <w:noProof/>
                  <w:webHidden/>
                </w:rPr>
              </w:r>
              <w:r w:rsidR="00782205">
                <w:rPr>
                  <w:noProof/>
                  <w:webHidden/>
                </w:rPr>
                <w:fldChar w:fldCharType="separate"/>
              </w:r>
              <w:r w:rsidR="00B06BCC">
                <w:rPr>
                  <w:noProof/>
                  <w:webHidden/>
                </w:rPr>
                <w:t>3</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7" w:history="1">
              <w:r w:rsidR="00782205" w:rsidRPr="00A7792D">
                <w:rPr>
                  <w:rStyle w:val="Hypertextovodkaz"/>
                  <w:noProof/>
                </w:rPr>
                <w:t>§ 1 Ziele und Inhalte der Vereinbarung</w:t>
              </w:r>
              <w:r w:rsidR="00782205">
                <w:rPr>
                  <w:noProof/>
                  <w:webHidden/>
                </w:rPr>
                <w:tab/>
              </w:r>
              <w:r w:rsidR="00782205">
                <w:rPr>
                  <w:noProof/>
                  <w:webHidden/>
                </w:rPr>
                <w:fldChar w:fldCharType="begin"/>
              </w:r>
              <w:r w:rsidR="00782205">
                <w:rPr>
                  <w:noProof/>
                  <w:webHidden/>
                </w:rPr>
                <w:instrText xml:space="preserve"> PAGEREF _Toc447185427 \h </w:instrText>
              </w:r>
              <w:r w:rsidR="00782205">
                <w:rPr>
                  <w:noProof/>
                  <w:webHidden/>
                </w:rPr>
              </w:r>
              <w:r w:rsidR="00782205">
                <w:rPr>
                  <w:noProof/>
                  <w:webHidden/>
                </w:rPr>
                <w:fldChar w:fldCharType="separate"/>
              </w:r>
              <w:r w:rsidR="00B06BCC">
                <w:rPr>
                  <w:noProof/>
                  <w:webHidden/>
                </w:rPr>
                <w:t>4</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8" w:history="1">
              <w:r w:rsidR="00782205" w:rsidRPr="00A7792D">
                <w:rPr>
                  <w:rStyle w:val="Hypertextovodkaz"/>
                  <w:noProof/>
                </w:rPr>
                <w:t>§ 2 Art und Weise der Kooperation</w:t>
              </w:r>
              <w:r w:rsidR="00782205">
                <w:rPr>
                  <w:noProof/>
                  <w:webHidden/>
                </w:rPr>
                <w:tab/>
              </w:r>
              <w:r w:rsidR="00782205">
                <w:rPr>
                  <w:noProof/>
                  <w:webHidden/>
                </w:rPr>
                <w:fldChar w:fldCharType="begin"/>
              </w:r>
              <w:r w:rsidR="00782205">
                <w:rPr>
                  <w:noProof/>
                  <w:webHidden/>
                </w:rPr>
                <w:instrText xml:space="preserve"> PAGEREF _Toc447185428 \h </w:instrText>
              </w:r>
              <w:r w:rsidR="00782205">
                <w:rPr>
                  <w:noProof/>
                  <w:webHidden/>
                </w:rPr>
              </w:r>
              <w:r w:rsidR="00782205">
                <w:rPr>
                  <w:noProof/>
                  <w:webHidden/>
                </w:rPr>
                <w:fldChar w:fldCharType="separate"/>
              </w:r>
              <w:r w:rsidR="00B06BCC">
                <w:rPr>
                  <w:noProof/>
                  <w:webHidden/>
                </w:rPr>
                <w:t>6</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29" w:history="1">
              <w:r w:rsidR="00782205" w:rsidRPr="00A7792D">
                <w:rPr>
                  <w:rStyle w:val="Hypertextovodkaz"/>
                  <w:noProof/>
                </w:rPr>
                <w:t>§ 3 Vorbereitung und Durchführung des Vergabeverfahrens</w:t>
              </w:r>
              <w:r w:rsidR="00782205">
                <w:rPr>
                  <w:noProof/>
                  <w:webHidden/>
                </w:rPr>
                <w:tab/>
              </w:r>
              <w:r w:rsidR="00782205">
                <w:rPr>
                  <w:noProof/>
                  <w:webHidden/>
                </w:rPr>
                <w:fldChar w:fldCharType="begin"/>
              </w:r>
              <w:r w:rsidR="00782205">
                <w:rPr>
                  <w:noProof/>
                  <w:webHidden/>
                </w:rPr>
                <w:instrText xml:space="preserve"> PAGEREF _Toc447185429 \h </w:instrText>
              </w:r>
              <w:r w:rsidR="00782205">
                <w:rPr>
                  <w:noProof/>
                  <w:webHidden/>
                </w:rPr>
              </w:r>
              <w:r w:rsidR="00782205">
                <w:rPr>
                  <w:noProof/>
                  <w:webHidden/>
                </w:rPr>
                <w:fldChar w:fldCharType="separate"/>
              </w:r>
              <w:r w:rsidR="00B06BCC">
                <w:rPr>
                  <w:noProof/>
                  <w:webHidden/>
                </w:rPr>
                <w:t>10</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30" w:history="1">
              <w:r w:rsidR="00782205" w:rsidRPr="00A7792D">
                <w:rPr>
                  <w:rStyle w:val="Hypertextovodkaz"/>
                  <w:noProof/>
                </w:rPr>
                <w:t>§ 4 Kosten des Vergabeverfahrens</w:t>
              </w:r>
              <w:r w:rsidR="00782205">
                <w:rPr>
                  <w:noProof/>
                  <w:webHidden/>
                </w:rPr>
                <w:tab/>
              </w:r>
              <w:r w:rsidR="00782205">
                <w:rPr>
                  <w:noProof/>
                  <w:webHidden/>
                </w:rPr>
                <w:fldChar w:fldCharType="begin"/>
              </w:r>
              <w:r w:rsidR="00782205">
                <w:rPr>
                  <w:noProof/>
                  <w:webHidden/>
                </w:rPr>
                <w:instrText xml:space="preserve"> PAGEREF _Toc447185430 \h </w:instrText>
              </w:r>
              <w:r w:rsidR="00782205">
                <w:rPr>
                  <w:noProof/>
                  <w:webHidden/>
                </w:rPr>
              </w:r>
              <w:r w:rsidR="00782205">
                <w:rPr>
                  <w:noProof/>
                  <w:webHidden/>
                </w:rPr>
                <w:fldChar w:fldCharType="separate"/>
              </w:r>
              <w:r w:rsidR="00B06BCC">
                <w:rPr>
                  <w:noProof/>
                  <w:webHidden/>
                </w:rPr>
                <w:t>14</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31" w:history="1">
              <w:r w:rsidR="00782205" w:rsidRPr="00A7792D">
                <w:rPr>
                  <w:rStyle w:val="Hypertextovodkaz"/>
                  <w:noProof/>
                </w:rPr>
                <w:t>§ 5 Kosten von Nachprüfungsverfahren, Schadensersatzansprüche</w:t>
              </w:r>
              <w:r w:rsidR="00782205">
                <w:rPr>
                  <w:noProof/>
                  <w:webHidden/>
                </w:rPr>
                <w:tab/>
              </w:r>
              <w:r w:rsidR="00782205">
                <w:rPr>
                  <w:noProof/>
                  <w:webHidden/>
                </w:rPr>
                <w:fldChar w:fldCharType="begin"/>
              </w:r>
              <w:r w:rsidR="00782205">
                <w:rPr>
                  <w:noProof/>
                  <w:webHidden/>
                </w:rPr>
                <w:instrText xml:space="preserve"> PAGEREF _Toc447185431 \h </w:instrText>
              </w:r>
              <w:r w:rsidR="00782205">
                <w:rPr>
                  <w:noProof/>
                  <w:webHidden/>
                </w:rPr>
              </w:r>
              <w:r w:rsidR="00782205">
                <w:rPr>
                  <w:noProof/>
                  <w:webHidden/>
                </w:rPr>
                <w:fldChar w:fldCharType="separate"/>
              </w:r>
              <w:r w:rsidR="00B06BCC">
                <w:rPr>
                  <w:noProof/>
                  <w:webHidden/>
                </w:rPr>
                <w:t>14</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32" w:history="1">
              <w:r w:rsidR="00782205" w:rsidRPr="00A7792D">
                <w:rPr>
                  <w:rStyle w:val="Hypertextovodkaz"/>
                  <w:noProof/>
                </w:rPr>
                <w:t>§ 6 Planung des zukünftigen SPNV-Angebots, Folgeausschreibungen</w:t>
              </w:r>
              <w:r w:rsidR="00782205">
                <w:rPr>
                  <w:noProof/>
                  <w:webHidden/>
                </w:rPr>
                <w:tab/>
              </w:r>
              <w:r w:rsidR="00782205">
                <w:rPr>
                  <w:noProof/>
                  <w:webHidden/>
                </w:rPr>
                <w:fldChar w:fldCharType="begin"/>
              </w:r>
              <w:r w:rsidR="00782205">
                <w:rPr>
                  <w:noProof/>
                  <w:webHidden/>
                </w:rPr>
                <w:instrText xml:space="preserve"> PAGEREF _Toc447185432 \h </w:instrText>
              </w:r>
              <w:r w:rsidR="00782205">
                <w:rPr>
                  <w:noProof/>
                  <w:webHidden/>
                </w:rPr>
              </w:r>
              <w:r w:rsidR="00782205">
                <w:rPr>
                  <w:noProof/>
                  <w:webHidden/>
                </w:rPr>
                <w:fldChar w:fldCharType="separate"/>
              </w:r>
              <w:r w:rsidR="00B06BCC">
                <w:rPr>
                  <w:noProof/>
                  <w:webHidden/>
                </w:rPr>
                <w:t>15</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33" w:history="1">
              <w:r w:rsidR="00782205" w:rsidRPr="00A7792D">
                <w:rPr>
                  <w:rStyle w:val="Hypertextovodkaz"/>
                  <w:noProof/>
                </w:rPr>
                <w:t>§ 7 Durchführung und Abwicklung des Verkehrsvertrages mit dem EVU</w:t>
              </w:r>
              <w:r w:rsidR="00782205">
                <w:rPr>
                  <w:noProof/>
                  <w:webHidden/>
                </w:rPr>
                <w:tab/>
              </w:r>
              <w:r w:rsidR="00782205">
                <w:rPr>
                  <w:noProof/>
                  <w:webHidden/>
                </w:rPr>
                <w:fldChar w:fldCharType="begin"/>
              </w:r>
              <w:r w:rsidR="00782205">
                <w:rPr>
                  <w:noProof/>
                  <w:webHidden/>
                </w:rPr>
                <w:instrText xml:space="preserve"> PAGEREF _Toc447185433 \h </w:instrText>
              </w:r>
              <w:r w:rsidR="00782205">
                <w:rPr>
                  <w:noProof/>
                  <w:webHidden/>
                </w:rPr>
              </w:r>
              <w:r w:rsidR="00782205">
                <w:rPr>
                  <w:noProof/>
                  <w:webHidden/>
                </w:rPr>
                <w:fldChar w:fldCharType="separate"/>
              </w:r>
              <w:r w:rsidR="00B06BCC">
                <w:rPr>
                  <w:noProof/>
                  <w:webHidden/>
                </w:rPr>
                <w:t>16</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34" w:history="1">
              <w:r w:rsidR="00782205" w:rsidRPr="00A7792D">
                <w:rPr>
                  <w:rStyle w:val="Hypertextovodkaz"/>
                  <w:noProof/>
                </w:rPr>
                <w:t>§ 8 Schlussbestimmungen</w:t>
              </w:r>
              <w:r w:rsidR="00782205">
                <w:rPr>
                  <w:noProof/>
                  <w:webHidden/>
                </w:rPr>
                <w:tab/>
              </w:r>
              <w:r w:rsidR="00782205">
                <w:rPr>
                  <w:noProof/>
                  <w:webHidden/>
                </w:rPr>
                <w:fldChar w:fldCharType="begin"/>
              </w:r>
              <w:r w:rsidR="00782205">
                <w:rPr>
                  <w:noProof/>
                  <w:webHidden/>
                </w:rPr>
                <w:instrText xml:space="preserve"> PAGEREF _Toc447185434 \h </w:instrText>
              </w:r>
              <w:r w:rsidR="00782205">
                <w:rPr>
                  <w:noProof/>
                  <w:webHidden/>
                </w:rPr>
              </w:r>
              <w:r w:rsidR="00782205">
                <w:rPr>
                  <w:noProof/>
                  <w:webHidden/>
                </w:rPr>
                <w:fldChar w:fldCharType="separate"/>
              </w:r>
              <w:r w:rsidR="00B06BCC">
                <w:rPr>
                  <w:noProof/>
                  <w:webHidden/>
                </w:rPr>
                <w:t>17</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35" w:history="1">
              <w:r w:rsidR="00782205" w:rsidRPr="00A7792D">
                <w:rPr>
                  <w:rStyle w:val="Hypertextovodkaz"/>
                  <w:noProof/>
                </w:rPr>
                <w:t>Anlage A (Leistungsumfang)</w:t>
              </w:r>
              <w:r w:rsidR="00782205">
                <w:rPr>
                  <w:noProof/>
                  <w:webHidden/>
                </w:rPr>
                <w:tab/>
              </w:r>
              <w:r w:rsidR="00782205">
                <w:rPr>
                  <w:noProof/>
                  <w:webHidden/>
                </w:rPr>
                <w:fldChar w:fldCharType="begin"/>
              </w:r>
              <w:r w:rsidR="00782205">
                <w:rPr>
                  <w:noProof/>
                  <w:webHidden/>
                </w:rPr>
                <w:instrText xml:space="preserve"> PAGEREF _Toc447185435 \h </w:instrText>
              </w:r>
              <w:r w:rsidR="00782205">
                <w:rPr>
                  <w:noProof/>
                  <w:webHidden/>
                </w:rPr>
              </w:r>
              <w:r w:rsidR="00782205">
                <w:rPr>
                  <w:noProof/>
                  <w:webHidden/>
                </w:rPr>
                <w:fldChar w:fldCharType="separate"/>
              </w:r>
              <w:r w:rsidR="00B06BCC">
                <w:rPr>
                  <w:noProof/>
                  <w:webHidden/>
                </w:rPr>
                <w:t>20</w:t>
              </w:r>
              <w:r w:rsidR="00782205">
                <w:rPr>
                  <w:noProof/>
                  <w:webHidden/>
                </w:rPr>
                <w:fldChar w:fldCharType="end"/>
              </w:r>
            </w:hyperlink>
          </w:p>
          <w:p w:rsidR="00782205" w:rsidRDefault="006F1C8F">
            <w:pPr>
              <w:pStyle w:val="Obsah1"/>
              <w:rPr>
                <w:rFonts w:asciiTheme="minorHAnsi" w:eastAsiaTheme="minorEastAsia" w:hAnsiTheme="minorHAnsi" w:cstheme="minorBidi"/>
                <w:noProof/>
                <w:sz w:val="22"/>
                <w:szCs w:val="22"/>
              </w:rPr>
            </w:pPr>
            <w:hyperlink w:anchor="_Toc447185436" w:history="1">
              <w:r w:rsidR="00782205" w:rsidRPr="00A7792D">
                <w:rPr>
                  <w:rStyle w:val="Hypertextovodkaz"/>
                  <w:noProof/>
                </w:rPr>
                <w:t>Abkürzungen</w:t>
              </w:r>
              <w:r w:rsidR="00782205">
                <w:rPr>
                  <w:noProof/>
                  <w:webHidden/>
                </w:rPr>
                <w:tab/>
              </w:r>
              <w:r w:rsidR="00782205">
                <w:rPr>
                  <w:noProof/>
                  <w:webHidden/>
                </w:rPr>
                <w:fldChar w:fldCharType="begin"/>
              </w:r>
              <w:r w:rsidR="00782205">
                <w:rPr>
                  <w:noProof/>
                  <w:webHidden/>
                </w:rPr>
                <w:instrText xml:space="preserve"> PAGEREF _Toc447185436 \h </w:instrText>
              </w:r>
              <w:r w:rsidR="00782205">
                <w:rPr>
                  <w:noProof/>
                  <w:webHidden/>
                </w:rPr>
              </w:r>
              <w:r w:rsidR="00782205">
                <w:rPr>
                  <w:noProof/>
                  <w:webHidden/>
                </w:rPr>
                <w:fldChar w:fldCharType="separate"/>
              </w:r>
              <w:r w:rsidR="00B06BCC">
                <w:rPr>
                  <w:noProof/>
                  <w:webHidden/>
                </w:rPr>
                <w:t>21</w:t>
              </w:r>
              <w:r w:rsidR="00782205">
                <w:rPr>
                  <w:noProof/>
                  <w:webHidden/>
                </w:rPr>
                <w:fldChar w:fldCharType="end"/>
              </w:r>
            </w:hyperlink>
          </w:p>
          <w:p w:rsidR="00671C69" w:rsidRDefault="00B21B7F" w:rsidP="00B21B7F">
            <w:pPr>
              <w:pStyle w:val="text"/>
            </w:pPr>
            <w:r>
              <w:fldChar w:fldCharType="end"/>
            </w:r>
          </w:p>
        </w:tc>
      </w:tr>
      <w:tr w:rsidR="00671C69" w:rsidTr="00285A1B">
        <w:tc>
          <w:tcPr>
            <w:tcW w:w="7213" w:type="dxa"/>
          </w:tcPr>
          <w:p w:rsidR="00671C69" w:rsidRPr="001C700A" w:rsidRDefault="00671C69" w:rsidP="004100A6">
            <w:pPr>
              <w:pStyle w:val="Nadpis1"/>
              <w:pageBreakBefore/>
              <w:outlineLvl w:val="0"/>
            </w:pPr>
            <w:bookmarkStart w:id="2" w:name="_Toc447179495"/>
            <w:bookmarkStart w:id="3" w:name="_Toc447185415"/>
            <w:r w:rsidRPr="002D2CD9">
              <w:rPr>
                <w:lang w:val="cs-CZ"/>
              </w:rPr>
              <w:lastRenderedPageBreak/>
              <w:t>Úvodní</w:t>
            </w:r>
            <w:r w:rsidRPr="001C700A">
              <w:t xml:space="preserve"> poznámka</w:t>
            </w:r>
            <w:bookmarkEnd w:id="2"/>
            <w:bookmarkEnd w:id="3"/>
          </w:p>
          <w:p w:rsidR="00671C69" w:rsidRPr="002D2CD9" w:rsidRDefault="00671C69" w:rsidP="0005590C">
            <w:pPr>
              <w:pStyle w:val="text"/>
              <w:rPr>
                <w:lang w:val="cs-CZ"/>
              </w:rPr>
            </w:pPr>
            <w:r w:rsidRPr="002D2CD9">
              <w:rPr>
                <w:lang w:val="cs-CZ"/>
              </w:rPr>
              <w:t>ZVON je dle §§ 1 odst. 2, 4 věta 2 RegG ve spojení se závaznými zemskými zákonnými ustanoveními Svobodného státu Sasko nositelem závazku veřejné služby pro regionální drážní osobní dopravu (SPNV). Pro Liberecký kra</w:t>
            </w:r>
            <w:r w:rsidR="00A24B99" w:rsidRPr="002D2CD9">
              <w:rPr>
                <w:lang w:val="cs-CZ"/>
              </w:rPr>
              <w:t>j</w:t>
            </w:r>
            <w:r w:rsidRPr="002D2CD9">
              <w:rPr>
                <w:lang w:val="cs-CZ"/>
              </w:rPr>
              <w:t xml:space="preserve"> a pro Ústecký kraj toto vyplývá z ustanovení § 3 zákona č. 194/2010 Sb. O veřejných službách v přepravě cestujících a o změně dalších zákonů. Všichni nositelé závazku jsou tímto příslušnými úřady pro regionální drážní osobní dopravu ve smyslu čl. 1 odst. 1 pododst. 1 a čl. 2, písm. b) nařízení (ES) č. 1370/2007. S dopravním svazem Z-VOE uzavře ZVON separátní správní dohodu o zadání pro Východosaskou síť II.</w:t>
            </w:r>
          </w:p>
          <w:p w:rsidR="001C700A" w:rsidRPr="002D2CD9" w:rsidRDefault="001C700A" w:rsidP="0005590C">
            <w:pPr>
              <w:pStyle w:val="text"/>
              <w:rPr>
                <w:lang w:val="cs-CZ"/>
              </w:rPr>
            </w:pPr>
          </w:p>
          <w:p w:rsidR="001C700A" w:rsidRPr="002D2CD9" w:rsidRDefault="001C700A" w:rsidP="0005590C">
            <w:pPr>
              <w:pStyle w:val="text"/>
              <w:rPr>
                <w:lang w:val="cs-CZ"/>
              </w:rPr>
            </w:pPr>
          </w:p>
          <w:p w:rsidR="00671C69" w:rsidRPr="002D2CD9" w:rsidRDefault="00671C69" w:rsidP="0005590C">
            <w:pPr>
              <w:pStyle w:val="text"/>
              <w:rPr>
                <w:lang w:val="cs-CZ"/>
              </w:rPr>
            </w:pPr>
            <w:r w:rsidRPr="002D2CD9">
              <w:rPr>
                <w:lang w:val="cs-CZ"/>
              </w:rPr>
              <w:t xml:space="preserve">S uplynutím doby platnosti příslušných smluvních vztahů objednatelů o poskytování přepravních služeb na železnici na linkách Východosaské sítě se společností Die Länderbahn (DLB)/Vogtlandbahn (VBG) resp. se spol. ODEG mbH je nutné nové zadání těchto přepravních služeb od data změny jízdních řádů v prosinci 2018 resp. </w:t>
            </w:r>
            <w:r w:rsidR="006D0C15" w:rsidRPr="002D2CD9">
              <w:rPr>
                <w:lang w:val="cs-CZ"/>
              </w:rPr>
              <w:t xml:space="preserve">v případě prodloužení smluv od data změny jízdních řádů v prosinci 2019 nebo </w:t>
            </w:r>
            <w:r w:rsidRPr="002D2CD9">
              <w:rPr>
                <w:lang w:val="cs-CZ"/>
              </w:rPr>
              <w:t>v prosinci 2020 (Východosaská síť II).</w:t>
            </w:r>
          </w:p>
          <w:p w:rsidR="001C700A" w:rsidRPr="002D2CD9" w:rsidRDefault="001C700A" w:rsidP="0005590C">
            <w:pPr>
              <w:pStyle w:val="text"/>
              <w:rPr>
                <w:lang w:val="cs-CZ"/>
              </w:rPr>
            </w:pPr>
          </w:p>
          <w:p w:rsidR="008E2CD3" w:rsidRPr="002D2CD9" w:rsidRDefault="00E91A24" w:rsidP="0005590C">
            <w:pPr>
              <w:pStyle w:val="text"/>
              <w:rPr>
                <w:rFonts w:cs="Arial"/>
                <w:sz w:val="22"/>
                <w:szCs w:val="22"/>
                <w:lang w:val="cs-CZ"/>
              </w:rPr>
            </w:pPr>
            <w:r w:rsidRPr="002D2CD9">
              <w:rPr>
                <w:lang w:val="cs-CZ"/>
              </w:rPr>
              <w:t>Na základě nejistoty panující u německých objednatelů ohledně regionalizačních finančních prostředků, které budou pr</w:t>
            </w:r>
            <w:r w:rsidR="002D2CD9">
              <w:rPr>
                <w:lang w:val="cs-CZ"/>
              </w:rPr>
              <w:t>o financování dopravních výkonů</w:t>
            </w:r>
            <w:r w:rsidRPr="002D2CD9">
              <w:rPr>
                <w:lang w:val="cs-CZ"/>
              </w:rPr>
              <w:t xml:space="preserve"> k dispozici, zamýšlí objednatelé zadání dlouhodobé dopravní smlouvy na výkony ve Východosaské síti ve veřejném zadávacím řízení až od data změny jízdních řádů v prosinci 2019 nebo v prosinci 2020.</w:t>
            </w:r>
          </w:p>
          <w:p w:rsidR="008E2CD3" w:rsidRPr="002D2CD9" w:rsidRDefault="008E2CD3" w:rsidP="0005590C">
            <w:pPr>
              <w:pStyle w:val="text"/>
              <w:rPr>
                <w:lang w:val="cs-CZ"/>
              </w:rPr>
            </w:pPr>
          </w:p>
          <w:p w:rsidR="00671C69" w:rsidRPr="002D2CD9" w:rsidRDefault="00671C69" w:rsidP="0005590C">
            <w:pPr>
              <w:pStyle w:val="text"/>
              <w:rPr>
                <w:lang w:val="cs-CZ"/>
              </w:rPr>
            </w:pPr>
            <w:r w:rsidRPr="002D2CD9">
              <w:rPr>
                <w:lang w:val="cs-CZ"/>
              </w:rPr>
              <w:lastRenderedPageBreak/>
              <w:t xml:space="preserve">Linky ve Východosaské síti II probíhají oblastmi pod územní správou ZVONu, LK a ÚK. Z tohoto důvodu zamýšlí nositelé závazku veřejné služby realizaci společného zadávacího řízení. Předmětem této dohody jsou výhradně oblasti územních kompetencí nositelů závazku. </w:t>
            </w:r>
          </w:p>
          <w:p w:rsidR="001C700A" w:rsidRPr="002D2CD9" w:rsidRDefault="001C700A" w:rsidP="0005590C">
            <w:pPr>
              <w:pStyle w:val="text"/>
              <w:rPr>
                <w:lang w:val="cs-CZ"/>
              </w:rPr>
            </w:pPr>
          </w:p>
          <w:p w:rsidR="001C700A" w:rsidRPr="002D2CD9" w:rsidRDefault="001C700A" w:rsidP="0005590C">
            <w:pPr>
              <w:pStyle w:val="text"/>
              <w:rPr>
                <w:lang w:val="cs-CZ"/>
              </w:rPr>
            </w:pPr>
          </w:p>
          <w:p w:rsidR="00671C69" w:rsidRDefault="00671C69" w:rsidP="0005590C">
            <w:pPr>
              <w:pStyle w:val="text"/>
            </w:pPr>
            <w:r w:rsidRPr="002D2CD9">
              <w:rPr>
                <w:lang w:val="cs-CZ"/>
              </w:rPr>
              <w:t>Touto předkládanou dohodou se žádný z nositelů závazku veřejné služby nevzdává vlastních výsostných úkolů ani nepřenáší nebo nedeleguje vlastní výsostné úkoly na druhého nositele závazku veřejné služby. Každý nositel závazku veřejné služby tedy zůstává pro své příslušné zájmové území nositelem závazku veřejné služby, odpovědným za objednávku přepravních výkonů v regionální drážní osobní přepravě. Toto platí zvláště pro finanční toky dle v budoucnu uzavřené Dopravní smlouvy a pro kontrolu jejího plnění, pokud v této předkládané Dohodě nebude ustanoveno jinak.</w:t>
            </w:r>
          </w:p>
        </w:tc>
        <w:tc>
          <w:tcPr>
            <w:tcW w:w="7214" w:type="dxa"/>
          </w:tcPr>
          <w:p w:rsidR="00C57BF0" w:rsidRPr="001C700A" w:rsidRDefault="00C57BF0" w:rsidP="00B963A8">
            <w:pPr>
              <w:pStyle w:val="Nadpis2"/>
              <w:outlineLvl w:val="1"/>
            </w:pPr>
            <w:bookmarkStart w:id="4" w:name="_Toc447179466"/>
            <w:bookmarkStart w:id="5" w:name="_Toc447185426"/>
            <w:r w:rsidRPr="001C700A">
              <w:lastRenderedPageBreak/>
              <w:t>Vorbemerkung</w:t>
            </w:r>
            <w:bookmarkEnd w:id="4"/>
            <w:bookmarkEnd w:id="5"/>
          </w:p>
          <w:p w:rsidR="00C57BF0" w:rsidRDefault="00C57BF0" w:rsidP="0005590C">
            <w:pPr>
              <w:pStyle w:val="text"/>
            </w:pPr>
            <w:r>
              <w:t xml:space="preserve">Der </w:t>
            </w:r>
            <w:r w:rsidRPr="00CF3D04">
              <w:t xml:space="preserve">ZVON </w:t>
            </w:r>
            <w:r>
              <w:t>ist</w:t>
            </w:r>
            <w:r w:rsidRPr="00CF3D04">
              <w:t xml:space="preserve"> gemäß §§ 1 Abs. 2, 4 Satz 2 RegG in Verbindung mit den </w:t>
            </w:r>
            <w:r w:rsidRPr="001C700A">
              <w:t>maßgeblichen</w:t>
            </w:r>
            <w:r w:rsidRPr="00CF3D04">
              <w:t xml:space="preserve"> landesgesetzlichen Bestimmungen des Freistaates Sachsen Aufgabenträger für den Schienenpersonennahverkehrs (SPNV). Für </w:t>
            </w:r>
            <w:r w:rsidR="00592C40">
              <w:t>den Bezirk Liberec</w:t>
            </w:r>
            <w:r w:rsidRPr="00CF3D04">
              <w:t xml:space="preserve"> und </w:t>
            </w:r>
            <w:r w:rsidR="00592C40">
              <w:t xml:space="preserve">den Bezirk </w:t>
            </w:r>
            <w:r w:rsidRPr="00CF3D04">
              <w:t>Usti folgt dies aus der Bestimmung § 3 des Gesetzes Nr. 194/2010 der Gesetzessammlung über die öffentlichen Dienstleistungen in der Fahrgastbeförderung</w:t>
            </w:r>
            <w:r>
              <w:t xml:space="preserve">. </w:t>
            </w:r>
            <w:r w:rsidRPr="00CF3D04">
              <w:t xml:space="preserve">Alle </w:t>
            </w:r>
            <w:r>
              <w:t>Aufgabenträger</w:t>
            </w:r>
            <w:r w:rsidRPr="00CF3D04">
              <w:t xml:space="preserve"> sind damit zuständige Behörden für den SPNV im Sinne der Art. 1 Abs. 1 UAbs. 1</w:t>
            </w:r>
            <w:r>
              <w:t xml:space="preserve"> und Art.</w:t>
            </w:r>
            <w:r w:rsidRPr="00CF3D04">
              <w:t xml:space="preserve"> 2 lit. b</w:t>
            </w:r>
            <w:r>
              <w:t>)</w:t>
            </w:r>
            <w:r w:rsidRPr="00CF3D04">
              <w:t xml:space="preserve"> VO (EG) Nr. 1370/2007. </w:t>
            </w:r>
            <w:r>
              <w:t xml:space="preserve">Mit dem Z-VOE schließt der ZVON eine separate Verwaltungsvereinbarung zur </w:t>
            </w:r>
            <w:r w:rsidRPr="00B826AA">
              <w:t>Vergabe für das Ostsachsen-Netz II</w:t>
            </w:r>
            <w:r>
              <w:t xml:space="preserve"> ab.</w:t>
            </w:r>
          </w:p>
          <w:p w:rsidR="001C700A" w:rsidRPr="00CF3D04" w:rsidRDefault="001C700A" w:rsidP="0005590C">
            <w:pPr>
              <w:pStyle w:val="text"/>
              <w:rPr>
                <w:color w:val="000000"/>
              </w:rPr>
            </w:pPr>
          </w:p>
          <w:p w:rsidR="00C57BF0" w:rsidRDefault="00C57BF0" w:rsidP="0005590C">
            <w:pPr>
              <w:pStyle w:val="text"/>
            </w:pPr>
            <w:r w:rsidRPr="00CF3D04">
              <w:t xml:space="preserve">Mit dem Auslaufen der jeweiligen vertraglichen Vereinbarung der Aufgabenträger über die Erbringung von SPNV-Leistungen auf den Linien im Ostsachsen-Netz mit der </w:t>
            </w:r>
            <w:r>
              <w:t xml:space="preserve">Die Länderbahn </w:t>
            </w:r>
            <w:r w:rsidRPr="00CF3D04">
              <w:t xml:space="preserve">GmbH </w:t>
            </w:r>
            <w:r>
              <w:t>(DLB)</w:t>
            </w:r>
            <w:r>
              <w:rPr>
                <w:lang w:val="cs-CZ"/>
              </w:rPr>
              <w:t>/Vogtlandbahn (VBG)</w:t>
            </w:r>
            <w:r>
              <w:t xml:space="preserve"> bzw. mit der ODEG mbH </w:t>
            </w:r>
            <w:r w:rsidRPr="00CF3D04">
              <w:t xml:space="preserve">ist eine Neuvergabe dieser Leistungen ab dem Fahrplanwechsel im Dezember 2018 </w:t>
            </w:r>
            <w:r>
              <w:t xml:space="preserve">bzw. </w:t>
            </w:r>
            <w:r w:rsidR="00F906D4">
              <w:t xml:space="preserve">bei Vertragsverlängerungen ab dem Fahrplanwechsel im Dezember 2019 oder </w:t>
            </w:r>
            <w:r>
              <w:t xml:space="preserve">Dezember 2020 </w:t>
            </w:r>
            <w:r w:rsidRPr="00CF3D04">
              <w:t>notwendig (Ostsachsen-Netz II).</w:t>
            </w:r>
          </w:p>
          <w:p w:rsidR="001C700A" w:rsidRDefault="001C700A" w:rsidP="0005590C">
            <w:pPr>
              <w:pStyle w:val="text"/>
            </w:pPr>
          </w:p>
          <w:p w:rsidR="008E2CD3" w:rsidRDefault="008E2CD3" w:rsidP="0005590C">
            <w:pPr>
              <w:pStyle w:val="text"/>
              <w:rPr>
                <w:rFonts w:cs="Arial"/>
                <w:sz w:val="22"/>
                <w:szCs w:val="22"/>
              </w:rPr>
            </w:pPr>
            <w:r>
              <w:rPr>
                <w:rFonts w:cs="Arial"/>
                <w:sz w:val="22"/>
                <w:szCs w:val="22"/>
              </w:rPr>
              <w:t>Aufgrund der bestehenden Unsicherheiten über die den deutschen Aufgabenträgern für die Finanzierung der Verkehrsleistung zur Verfügung stehenden Regionalisierungsmittel beabsichtigen die Aufgabenträger einen lang laufenden Verkehrsvertrag über die Leistungen im Ostsachsen-Netz erst ab dem Fahrplanwechsel im Dezember 2019 oder im Dezember 2020 wettbewerblich zu vergeben.</w:t>
            </w:r>
          </w:p>
          <w:p w:rsidR="008E2CD3" w:rsidRDefault="008E2CD3" w:rsidP="0005590C">
            <w:pPr>
              <w:pStyle w:val="text"/>
            </w:pPr>
          </w:p>
          <w:p w:rsidR="00E91A24" w:rsidRPr="00CF3D04" w:rsidRDefault="00E91A24" w:rsidP="0005590C">
            <w:pPr>
              <w:pStyle w:val="text"/>
            </w:pPr>
          </w:p>
          <w:p w:rsidR="00C57BF0" w:rsidRDefault="00C57BF0" w:rsidP="0005590C">
            <w:pPr>
              <w:pStyle w:val="text"/>
            </w:pPr>
            <w:r w:rsidRPr="00CF3D04">
              <w:lastRenderedPageBreak/>
              <w:t xml:space="preserve">Die Linien im Ostsachsen-Netz II verlaufen in den räumlichen Zuständigkeitsbereichen </w:t>
            </w:r>
            <w:r>
              <w:t xml:space="preserve">sowohl </w:t>
            </w:r>
            <w:r w:rsidRPr="00CF3D04">
              <w:t xml:space="preserve">des ZVON, des </w:t>
            </w:r>
            <w:r>
              <w:t>LK und des UK.</w:t>
            </w:r>
            <w:r w:rsidRPr="00CF3D04">
              <w:t xml:space="preserve"> Aus diesem Grund beabsichtigen die Aufgabenträger die Durchführung eines gemeinsamen Vergabeverfahrens. Gegenstand dieser Vereinbarung sind ausschließlich die Zuständigkeitsbereiche der </w:t>
            </w:r>
            <w:r>
              <w:t>Aufgabenträger</w:t>
            </w:r>
            <w:r w:rsidRPr="00CF3D04">
              <w:t xml:space="preserve">. </w:t>
            </w:r>
          </w:p>
          <w:p w:rsidR="001C700A" w:rsidRPr="00CF3D04" w:rsidRDefault="001C700A" w:rsidP="0005590C">
            <w:pPr>
              <w:pStyle w:val="text"/>
            </w:pPr>
          </w:p>
          <w:p w:rsidR="00671C69" w:rsidRDefault="00C57BF0" w:rsidP="00EF49FF">
            <w:pPr>
              <w:pStyle w:val="text"/>
            </w:pPr>
            <w:r w:rsidRPr="00CF3D04">
              <w:t xml:space="preserve">Durch die vorliegende Vereinbarung gibt keiner der Aufgabenträger eigene hoheitliche Aufgaben auf oder überträgt oder delegiert eigene hoheitliche Aufgaben auf den jeweils anderen Aufgabenträger. Jeder Aufgabenträger bleibt also für sein jeweiliges Aufgabengebiet eigenverantwortlicher Aufgabenträger für die Bestellung von SPNV-Leistungen. Dies gilt insbesondere für die finanzielle Abwicklung des abzuschließenden Verkehrsvertrages und die Kontrolle seiner Durchführung, soweit sich nicht aus der vorliegenden Vereinbarung etwas Abweichendes ergibt. </w:t>
            </w:r>
          </w:p>
        </w:tc>
      </w:tr>
      <w:tr w:rsidR="00671C69" w:rsidTr="00285A1B">
        <w:tc>
          <w:tcPr>
            <w:tcW w:w="7213" w:type="dxa"/>
          </w:tcPr>
          <w:p w:rsidR="00671C69" w:rsidRPr="0005590C" w:rsidRDefault="00671C69" w:rsidP="0005590C">
            <w:pPr>
              <w:pStyle w:val="Nadpis1"/>
              <w:outlineLvl w:val="0"/>
            </w:pPr>
            <w:bookmarkStart w:id="6" w:name="_Toc447179496"/>
            <w:bookmarkStart w:id="7" w:name="_Toc447185416"/>
            <w:r w:rsidRPr="00F63B2F">
              <w:rPr>
                <w:lang w:val="cs-CZ"/>
              </w:rPr>
              <w:lastRenderedPageBreak/>
              <w:t>§ 1 Cíle a obsahy Dohody</w:t>
            </w:r>
            <w:bookmarkEnd w:id="6"/>
            <w:bookmarkEnd w:id="7"/>
          </w:p>
          <w:p w:rsidR="00671C69" w:rsidRPr="0005590C" w:rsidRDefault="00671C69" w:rsidP="0005590C">
            <w:pPr>
              <w:pStyle w:val="slovanseznam"/>
            </w:pPr>
            <w:r w:rsidRPr="00C13BA0">
              <w:rPr>
                <w:lang w:val="cs-CZ"/>
              </w:rPr>
              <w:t>Dohoda bude sloužit společné realizaci zadávacího řízení pro zadání výkonů regionální drážní osobní dopravy na linkách</w:t>
            </w:r>
          </w:p>
          <w:p w:rsidR="0005590C" w:rsidRDefault="0005590C" w:rsidP="0005590C">
            <w:pPr>
              <w:pStyle w:val="slovanseznam"/>
              <w:numPr>
                <w:ilvl w:val="0"/>
                <w:numId w:val="0"/>
              </w:numPr>
              <w:ind w:left="360"/>
            </w:pPr>
          </w:p>
          <w:tbl>
            <w:tblPr>
              <w:tblW w:w="5954" w:type="dxa"/>
              <w:tblInd w:w="557" w:type="dxa"/>
              <w:tblLayout w:type="fixed"/>
              <w:tblCellMar>
                <w:left w:w="70" w:type="dxa"/>
                <w:right w:w="70" w:type="dxa"/>
              </w:tblCellMar>
              <w:tblLook w:val="0000" w:firstRow="0" w:lastRow="0" w:firstColumn="0" w:lastColumn="0" w:noHBand="0" w:noVBand="0"/>
            </w:tblPr>
            <w:tblGrid>
              <w:gridCol w:w="1134"/>
              <w:gridCol w:w="4820"/>
            </w:tblGrid>
            <w:tr w:rsidR="00671C69" w:rsidRPr="00CF3D04" w:rsidTr="00782205">
              <w:trPr>
                <w:trHeight w:val="525"/>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671C69" w:rsidRPr="00CF3D04" w:rsidRDefault="00671C69" w:rsidP="0005590C">
                  <w:pPr>
                    <w:jc w:val="center"/>
                    <w:rPr>
                      <w:rFonts w:ascii="Arial" w:hAnsi="Arial" w:cs="Arial"/>
                      <w:sz w:val="22"/>
                      <w:szCs w:val="22"/>
                    </w:rPr>
                  </w:pPr>
                  <w:r w:rsidRPr="00C13BA0">
                    <w:rPr>
                      <w:rFonts w:ascii="Arial" w:hAnsi="Arial" w:cs="Arial"/>
                      <w:sz w:val="22"/>
                      <w:szCs w:val="22"/>
                      <w:lang w:val="cs-CZ"/>
                    </w:rPr>
                    <w:t>linka</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671C69" w:rsidRPr="00CF3D04" w:rsidRDefault="00671C69" w:rsidP="0005590C">
                  <w:pPr>
                    <w:jc w:val="center"/>
                    <w:rPr>
                      <w:rFonts w:ascii="Arial" w:hAnsi="Arial" w:cs="Arial"/>
                      <w:sz w:val="22"/>
                      <w:szCs w:val="22"/>
                    </w:rPr>
                  </w:pPr>
                  <w:r w:rsidRPr="00C13BA0">
                    <w:rPr>
                      <w:rFonts w:ascii="Arial" w:hAnsi="Arial" w:cs="Arial"/>
                      <w:sz w:val="22"/>
                      <w:szCs w:val="22"/>
                      <w:lang w:val="cs-CZ"/>
                    </w:rPr>
                    <w:t>z - do</w:t>
                  </w:r>
                </w:p>
              </w:tc>
            </w:tr>
            <w:tr w:rsidR="00671C69" w:rsidRPr="00CF3D04" w:rsidTr="006F4226">
              <w:trPr>
                <w:cantSplit/>
                <w:trHeight w:val="300"/>
              </w:trPr>
              <w:tc>
                <w:tcPr>
                  <w:tcW w:w="1134" w:type="dxa"/>
                  <w:tcBorders>
                    <w:left w:val="single" w:sz="8" w:space="0" w:color="auto"/>
                    <w:bottom w:val="single" w:sz="8" w:space="0" w:color="000000"/>
                    <w:right w:val="single" w:sz="8" w:space="0" w:color="auto"/>
                  </w:tcBorders>
                  <w:shd w:val="clear" w:color="auto" w:fill="FFFFFF"/>
                  <w:vAlign w:val="center"/>
                </w:tcPr>
                <w:p w:rsidR="00671C69" w:rsidRPr="00CF3D04" w:rsidRDefault="00671C69" w:rsidP="0005590C">
                  <w:pPr>
                    <w:ind w:left="203"/>
                    <w:rPr>
                      <w:rFonts w:ascii="Arial" w:hAnsi="Arial" w:cs="Arial"/>
                      <w:sz w:val="22"/>
                      <w:szCs w:val="22"/>
                    </w:rPr>
                  </w:pPr>
                  <w:r w:rsidRPr="00C13BA0">
                    <w:rPr>
                      <w:rFonts w:ascii="Arial" w:hAnsi="Arial" w:cs="Arial"/>
                      <w:sz w:val="22"/>
                      <w:szCs w:val="22"/>
                      <w:lang w:val="cs-CZ"/>
                    </w:rPr>
                    <w:t>RE 1</w:t>
                  </w:r>
                </w:p>
              </w:tc>
              <w:tc>
                <w:tcPr>
                  <w:tcW w:w="4820" w:type="dxa"/>
                  <w:tcBorders>
                    <w:top w:val="nil"/>
                    <w:left w:val="nil"/>
                    <w:bottom w:val="single" w:sz="8" w:space="0" w:color="auto"/>
                    <w:right w:val="single" w:sz="8" w:space="0" w:color="auto"/>
                  </w:tcBorders>
                  <w:shd w:val="clear" w:color="auto" w:fill="FFFFFF"/>
                  <w:noWrap/>
                  <w:vAlign w:val="center"/>
                </w:tcPr>
                <w:p w:rsidR="00671C69" w:rsidRPr="00CF3D04" w:rsidRDefault="00671C69" w:rsidP="006477A8">
                  <w:pPr>
                    <w:ind w:left="72"/>
                    <w:rPr>
                      <w:rFonts w:ascii="Arial" w:hAnsi="Arial" w:cs="Arial"/>
                      <w:sz w:val="22"/>
                      <w:szCs w:val="22"/>
                    </w:rPr>
                  </w:pPr>
                  <w:r w:rsidRPr="00C13BA0">
                    <w:rPr>
                      <w:rFonts w:ascii="Arial" w:hAnsi="Arial" w:cs="Arial"/>
                      <w:sz w:val="22"/>
                      <w:szCs w:val="22"/>
                      <w:lang w:val="cs-CZ"/>
                    </w:rPr>
                    <w:t>Dresden Hbf – Bautzen – Görlitz (– Wrocław)*</w:t>
                  </w:r>
                </w:p>
              </w:tc>
            </w:tr>
            <w:tr w:rsidR="00671C69"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671C69" w:rsidRPr="009F49D2" w:rsidRDefault="00671C69" w:rsidP="0005590C">
                  <w:pPr>
                    <w:ind w:left="203"/>
                    <w:rPr>
                      <w:rFonts w:ascii="Arial" w:hAnsi="Arial" w:cs="Arial"/>
                      <w:sz w:val="22"/>
                      <w:szCs w:val="22"/>
                    </w:rPr>
                  </w:pPr>
                  <w:r w:rsidRPr="00C13BA0">
                    <w:rPr>
                      <w:rFonts w:ascii="Arial" w:hAnsi="Arial" w:cs="Arial"/>
                      <w:sz w:val="22"/>
                      <w:szCs w:val="22"/>
                      <w:lang w:val="cs-CZ"/>
                    </w:rPr>
                    <w:t>RE 2</w:t>
                  </w:r>
                </w:p>
              </w:tc>
              <w:tc>
                <w:tcPr>
                  <w:tcW w:w="4820" w:type="dxa"/>
                  <w:tcBorders>
                    <w:top w:val="nil"/>
                    <w:left w:val="nil"/>
                    <w:bottom w:val="single" w:sz="8" w:space="0" w:color="auto"/>
                    <w:right w:val="single" w:sz="8" w:space="0" w:color="auto"/>
                  </w:tcBorders>
                  <w:shd w:val="clear" w:color="auto" w:fill="FFFFFF"/>
                  <w:noWrap/>
                  <w:vAlign w:val="center"/>
                </w:tcPr>
                <w:p w:rsidR="00671C69" w:rsidRPr="009F49D2" w:rsidRDefault="00671C69" w:rsidP="006477A8">
                  <w:pPr>
                    <w:ind w:left="72"/>
                    <w:rPr>
                      <w:rFonts w:ascii="Arial" w:hAnsi="Arial" w:cs="Arial"/>
                      <w:sz w:val="22"/>
                      <w:szCs w:val="22"/>
                    </w:rPr>
                  </w:pPr>
                  <w:r w:rsidRPr="00C13BA0">
                    <w:rPr>
                      <w:rFonts w:ascii="Arial" w:hAnsi="Arial" w:cs="Arial"/>
                      <w:sz w:val="22"/>
                      <w:szCs w:val="22"/>
                      <w:lang w:val="cs-CZ"/>
                    </w:rPr>
                    <w:t>Dresden Hbf – Zittau – Liberec</w:t>
                  </w:r>
                </w:p>
              </w:tc>
            </w:tr>
            <w:tr w:rsidR="00671C69"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671C69" w:rsidRPr="009F49D2" w:rsidRDefault="00671C69" w:rsidP="0005590C">
                  <w:pPr>
                    <w:ind w:left="203"/>
                    <w:rPr>
                      <w:rFonts w:ascii="Arial" w:hAnsi="Arial" w:cs="Arial"/>
                      <w:sz w:val="22"/>
                      <w:szCs w:val="22"/>
                    </w:rPr>
                  </w:pPr>
                  <w:r w:rsidRPr="00C13BA0">
                    <w:rPr>
                      <w:rFonts w:ascii="Arial" w:hAnsi="Arial" w:cs="Arial"/>
                      <w:sz w:val="22"/>
                      <w:szCs w:val="22"/>
                      <w:lang w:val="cs-CZ"/>
                    </w:rPr>
                    <w:t>RB 60</w:t>
                  </w:r>
                </w:p>
              </w:tc>
              <w:tc>
                <w:tcPr>
                  <w:tcW w:w="4820" w:type="dxa"/>
                  <w:tcBorders>
                    <w:top w:val="nil"/>
                    <w:left w:val="nil"/>
                    <w:bottom w:val="single" w:sz="8" w:space="0" w:color="auto"/>
                    <w:right w:val="single" w:sz="8" w:space="0" w:color="auto"/>
                  </w:tcBorders>
                  <w:shd w:val="clear" w:color="auto" w:fill="FFFFFF"/>
                  <w:noWrap/>
                  <w:vAlign w:val="center"/>
                </w:tcPr>
                <w:p w:rsidR="00671C69" w:rsidRPr="009F49D2" w:rsidRDefault="00671C69" w:rsidP="006477A8">
                  <w:pPr>
                    <w:ind w:left="72"/>
                    <w:rPr>
                      <w:rFonts w:ascii="Arial" w:hAnsi="Arial" w:cs="Arial"/>
                      <w:sz w:val="22"/>
                      <w:szCs w:val="22"/>
                    </w:rPr>
                  </w:pPr>
                  <w:r w:rsidRPr="00C13BA0">
                    <w:rPr>
                      <w:rFonts w:ascii="Arial" w:hAnsi="Arial" w:cs="Arial"/>
                      <w:sz w:val="22"/>
                      <w:szCs w:val="22"/>
                      <w:lang w:val="cs-CZ"/>
                    </w:rPr>
                    <w:t>Dresden Hbf – Bautzen – Görlitz</w:t>
                  </w:r>
                </w:p>
              </w:tc>
            </w:tr>
            <w:tr w:rsidR="00671C69"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671C69" w:rsidRPr="00CF3D04" w:rsidRDefault="00671C69" w:rsidP="0005590C">
                  <w:pPr>
                    <w:ind w:left="203"/>
                    <w:rPr>
                      <w:rFonts w:ascii="Arial" w:hAnsi="Arial" w:cs="Arial"/>
                      <w:sz w:val="22"/>
                      <w:szCs w:val="22"/>
                    </w:rPr>
                  </w:pPr>
                  <w:r w:rsidRPr="00C13BA0">
                    <w:rPr>
                      <w:rFonts w:ascii="Arial" w:hAnsi="Arial" w:cs="Arial"/>
                      <w:sz w:val="22"/>
                      <w:szCs w:val="22"/>
                      <w:lang w:val="cs-CZ"/>
                    </w:rPr>
                    <w:t>RE 1V</w:t>
                  </w:r>
                </w:p>
              </w:tc>
              <w:tc>
                <w:tcPr>
                  <w:tcW w:w="4820" w:type="dxa"/>
                  <w:tcBorders>
                    <w:top w:val="nil"/>
                    <w:left w:val="nil"/>
                    <w:bottom w:val="single" w:sz="8" w:space="0" w:color="auto"/>
                    <w:right w:val="single" w:sz="8" w:space="0" w:color="auto"/>
                  </w:tcBorders>
                  <w:shd w:val="clear" w:color="auto" w:fill="FFFFFF"/>
                  <w:noWrap/>
                  <w:vAlign w:val="center"/>
                </w:tcPr>
                <w:p w:rsidR="00671C69" w:rsidRPr="00CF3D04" w:rsidRDefault="00671C69" w:rsidP="006477A8">
                  <w:pPr>
                    <w:ind w:left="72"/>
                    <w:rPr>
                      <w:rFonts w:ascii="Arial" w:hAnsi="Arial" w:cs="Arial"/>
                      <w:sz w:val="22"/>
                      <w:szCs w:val="22"/>
                    </w:rPr>
                  </w:pPr>
                  <w:r w:rsidRPr="00C13BA0">
                    <w:rPr>
                      <w:rFonts w:ascii="Arial" w:hAnsi="Arial" w:cs="Arial"/>
                      <w:sz w:val="22"/>
                      <w:szCs w:val="22"/>
                      <w:lang w:val="cs-CZ"/>
                    </w:rPr>
                    <w:t>Görlitz – Bischofswerda</w:t>
                  </w:r>
                </w:p>
              </w:tc>
            </w:tr>
            <w:tr w:rsidR="00671C69"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671C69" w:rsidRPr="009F49D2" w:rsidRDefault="00671C69" w:rsidP="0005590C">
                  <w:pPr>
                    <w:ind w:left="203"/>
                    <w:rPr>
                      <w:rFonts w:ascii="Arial" w:hAnsi="Arial" w:cs="Arial"/>
                      <w:sz w:val="22"/>
                      <w:szCs w:val="22"/>
                    </w:rPr>
                  </w:pPr>
                  <w:r w:rsidRPr="00C13BA0">
                    <w:rPr>
                      <w:rFonts w:ascii="Arial" w:hAnsi="Arial" w:cs="Arial"/>
                      <w:sz w:val="22"/>
                      <w:szCs w:val="22"/>
                      <w:lang w:val="cs-CZ"/>
                    </w:rPr>
                    <w:t>RB 61</w:t>
                  </w:r>
                </w:p>
              </w:tc>
              <w:tc>
                <w:tcPr>
                  <w:tcW w:w="4820" w:type="dxa"/>
                  <w:tcBorders>
                    <w:top w:val="single" w:sz="8" w:space="0" w:color="auto"/>
                    <w:left w:val="nil"/>
                    <w:bottom w:val="single" w:sz="8" w:space="0" w:color="auto"/>
                    <w:right w:val="single" w:sz="8" w:space="0" w:color="auto"/>
                  </w:tcBorders>
                  <w:shd w:val="clear" w:color="auto" w:fill="FFFFFF"/>
                  <w:noWrap/>
                  <w:vAlign w:val="center"/>
                </w:tcPr>
                <w:p w:rsidR="00671C69" w:rsidRPr="009F49D2" w:rsidRDefault="00671C69" w:rsidP="006477A8">
                  <w:pPr>
                    <w:ind w:left="72"/>
                    <w:rPr>
                      <w:rFonts w:ascii="Arial" w:hAnsi="Arial" w:cs="Arial"/>
                      <w:sz w:val="22"/>
                      <w:szCs w:val="22"/>
                    </w:rPr>
                  </w:pPr>
                  <w:r w:rsidRPr="00C13BA0">
                    <w:rPr>
                      <w:rFonts w:ascii="Arial" w:hAnsi="Arial" w:cs="Arial"/>
                      <w:sz w:val="22"/>
                      <w:szCs w:val="22"/>
                      <w:lang w:val="cs-CZ"/>
                    </w:rPr>
                    <w:t>Dresden Hbf – Ebersbach – Zittau</w:t>
                  </w:r>
                </w:p>
              </w:tc>
            </w:tr>
            <w:tr w:rsidR="00671C69"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671C69" w:rsidRPr="009F49D2" w:rsidDel="00BB2CE5" w:rsidRDefault="00AA30B8" w:rsidP="0005590C">
                  <w:pPr>
                    <w:ind w:left="203"/>
                    <w:rPr>
                      <w:rFonts w:ascii="Arial" w:hAnsi="Arial" w:cs="Arial"/>
                      <w:sz w:val="22"/>
                      <w:szCs w:val="22"/>
                    </w:rPr>
                  </w:pPr>
                  <w:r>
                    <w:rPr>
                      <w:rFonts w:ascii="Arial" w:hAnsi="Arial" w:cs="Arial"/>
                      <w:sz w:val="22"/>
                      <w:szCs w:val="22"/>
                      <w:lang w:val="cs-CZ"/>
                    </w:rPr>
                    <w:t>RB</w:t>
                  </w:r>
                  <w:r w:rsidR="00671C69" w:rsidRPr="00C13BA0">
                    <w:rPr>
                      <w:rFonts w:ascii="Arial" w:hAnsi="Arial" w:cs="Arial"/>
                      <w:sz w:val="22"/>
                      <w:szCs w:val="22"/>
                      <w:lang w:val="cs-CZ"/>
                    </w:rPr>
                    <w:t xml:space="preserve"> 70</w:t>
                  </w:r>
                </w:p>
              </w:tc>
              <w:tc>
                <w:tcPr>
                  <w:tcW w:w="4820" w:type="dxa"/>
                  <w:tcBorders>
                    <w:top w:val="single" w:sz="8" w:space="0" w:color="auto"/>
                    <w:left w:val="nil"/>
                    <w:bottom w:val="single" w:sz="8" w:space="0" w:color="auto"/>
                    <w:right w:val="single" w:sz="8" w:space="0" w:color="auto"/>
                  </w:tcBorders>
                  <w:shd w:val="clear" w:color="auto" w:fill="FFFFFF"/>
                  <w:noWrap/>
                  <w:vAlign w:val="center"/>
                </w:tcPr>
                <w:p w:rsidR="00671C69" w:rsidRPr="009F49D2" w:rsidRDefault="00671C69" w:rsidP="006477A8">
                  <w:pPr>
                    <w:ind w:left="72"/>
                    <w:rPr>
                      <w:rFonts w:ascii="Arial" w:hAnsi="Arial" w:cs="Arial"/>
                      <w:sz w:val="22"/>
                      <w:szCs w:val="22"/>
                    </w:rPr>
                  </w:pPr>
                  <w:r w:rsidRPr="00C13BA0">
                    <w:rPr>
                      <w:rFonts w:ascii="Arial" w:hAnsi="Arial" w:cs="Arial"/>
                      <w:sz w:val="22"/>
                      <w:szCs w:val="22"/>
                      <w:lang w:val="cs-CZ"/>
                    </w:rPr>
                    <w:t>Liberec – Zittau – Varnsdorf – Seifhennersdorf</w:t>
                  </w:r>
                </w:p>
              </w:tc>
            </w:tr>
            <w:tr w:rsidR="006477A8"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6477A8" w:rsidRPr="006477A8" w:rsidRDefault="006477A8" w:rsidP="0005590C">
                  <w:pPr>
                    <w:ind w:left="203"/>
                    <w:rPr>
                      <w:rFonts w:ascii="Arial" w:hAnsi="Arial" w:cs="Arial"/>
                      <w:i/>
                      <w:sz w:val="22"/>
                      <w:szCs w:val="22"/>
                      <w:lang w:val="cs-CZ"/>
                    </w:rPr>
                  </w:pPr>
                </w:p>
              </w:tc>
              <w:tc>
                <w:tcPr>
                  <w:tcW w:w="4820" w:type="dxa"/>
                  <w:tcBorders>
                    <w:top w:val="single" w:sz="8" w:space="0" w:color="auto"/>
                    <w:left w:val="nil"/>
                    <w:bottom w:val="single" w:sz="8" w:space="0" w:color="auto"/>
                    <w:right w:val="single" w:sz="8" w:space="0" w:color="auto"/>
                  </w:tcBorders>
                  <w:shd w:val="clear" w:color="auto" w:fill="FFFFFF"/>
                  <w:noWrap/>
                  <w:vAlign w:val="center"/>
                </w:tcPr>
                <w:p w:rsidR="006477A8" w:rsidRPr="006477A8" w:rsidRDefault="00D769A4" w:rsidP="00D769A4">
                  <w:pPr>
                    <w:pStyle w:val="text"/>
                    <w:jc w:val="right"/>
                    <w:rPr>
                      <w:rFonts w:cs="Arial"/>
                      <w:i/>
                      <w:sz w:val="22"/>
                      <w:szCs w:val="22"/>
                      <w:lang w:val="cs-CZ"/>
                    </w:rPr>
                  </w:pPr>
                  <w:r>
                    <w:rPr>
                      <w:i/>
                    </w:rPr>
                    <w:t>*</w:t>
                  </w:r>
                  <w:r w:rsidR="006477A8" w:rsidRPr="006477A8">
                    <w:rPr>
                      <w:i/>
                    </w:rPr>
                    <w:t xml:space="preserve"> </w:t>
                  </w:r>
                  <w:r w:rsidR="006477A8" w:rsidRPr="006477A8">
                    <w:rPr>
                      <w:i/>
                      <w:lang w:val="cs-CZ"/>
                    </w:rPr>
                    <w:t>viz k tomuto odstavec 4</w:t>
                  </w:r>
                </w:p>
              </w:tc>
            </w:tr>
          </w:tbl>
          <w:p w:rsidR="006477A8" w:rsidRDefault="006477A8" w:rsidP="006477A8">
            <w:pPr>
              <w:pStyle w:val="text"/>
            </w:pPr>
          </w:p>
          <w:p w:rsidR="00EF49FF" w:rsidRPr="00C13BA0" w:rsidRDefault="00EF49FF" w:rsidP="006477A8">
            <w:pPr>
              <w:pStyle w:val="text"/>
            </w:pPr>
          </w:p>
          <w:p w:rsidR="00671C69" w:rsidRPr="006477A8" w:rsidRDefault="00671C69" w:rsidP="006477A8">
            <w:pPr>
              <w:pStyle w:val="slovanseznam"/>
            </w:pPr>
            <w:r w:rsidRPr="00C13BA0">
              <w:rPr>
                <w:lang w:val="cs-CZ"/>
              </w:rPr>
              <w:t xml:space="preserve">Dohoda </w:t>
            </w:r>
            <w:r>
              <w:rPr>
                <w:lang w:val="cs-CZ"/>
              </w:rPr>
              <w:t>upravuje</w:t>
            </w:r>
            <w:r w:rsidRPr="00C13BA0">
              <w:rPr>
                <w:lang w:val="cs-CZ"/>
              </w:rPr>
              <w:t xml:space="preserve"> projedn</w:t>
            </w:r>
            <w:r>
              <w:rPr>
                <w:lang w:val="cs-CZ"/>
              </w:rPr>
              <w:t>ání postupů</w:t>
            </w:r>
            <w:r w:rsidRPr="00C13BA0">
              <w:rPr>
                <w:lang w:val="cs-CZ"/>
              </w:rPr>
              <w:t xml:space="preserve">  příslušných smluvních vztahů s budoucím dodavatelem. </w:t>
            </w:r>
          </w:p>
          <w:p w:rsidR="006477A8" w:rsidRDefault="006477A8" w:rsidP="006477A8">
            <w:pPr>
              <w:pStyle w:val="text"/>
            </w:pPr>
          </w:p>
          <w:p w:rsidR="00D509CE" w:rsidRPr="00C13BA0" w:rsidRDefault="00D509CE" w:rsidP="006477A8">
            <w:pPr>
              <w:pStyle w:val="text"/>
            </w:pPr>
          </w:p>
          <w:p w:rsidR="00671C69" w:rsidRPr="00C13BA0" w:rsidRDefault="00671C69" w:rsidP="006477A8">
            <w:pPr>
              <w:pStyle w:val="slovanseznam"/>
            </w:pPr>
            <w:r w:rsidRPr="00C13BA0">
              <w:rPr>
                <w:lang w:val="cs-CZ"/>
              </w:rPr>
              <w:t>Výkony budou</w:t>
            </w:r>
            <w:r w:rsidR="00E91A24">
              <w:rPr>
                <w:lang w:val="cs-CZ"/>
              </w:rPr>
              <w:t xml:space="preserve"> pravděpodobně</w:t>
            </w:r>
            <w:r w:rsidRPr="00C13BA0">
              <w:rPr>
                <w:lang w:val="cs-CZ"/>
              </w:rPr>
              <w:t xml:space="preserve"> zadány na období od data změny jízdních řádů v prosinci </w:t>
            </w:r>
            <w:r w:rsidR="00E91A24">
              <w:rPr>
                <w:lang w:val="cs-CZ"/>
              </w:rPr>
              <w:t xml:space="preserve">2019 nebo v prosinci 2020 na 12 let jízdního řádu, tzn. </w:t>
            </w:r>
            <w:r w:rsidRPr="00C13BA0">
              <w:rPr>
                <w:lang w:val="cs-CZ"/>
              </w:rPr>
              <w:t xml:space="preserve">do změny jízdních řádů v prosinci </w:t>
            </w:r>
            <w:r w:rsidR="00E91A24">
              <w:rPr>
                <w:lang w:val="cs-CZ"/>
              </w:rPr>
              <w:t>2031 nebo v prosinci 2032</w:t>
            </w:r>
            <w:r w:rsidRPr="00C13BA0">
              <w:rPr>
                <w:lang w:val="cs-CZ"/>
              </w:rPr>
              <w:t>.</w:t>
            </w:r>
            <w:r w:rsidRPr="00C13BA0">
              <w:t xml:space="preserve"> </w:t>
            </w:r>
            <w:r w:rsidRPr="00C13BA0">
              <w:rPr>
                <w:lang w:val="cs-CZ"/>
              </w:rPr>
              <w:t xml:space="preserve">Na rozdíl od toho budou výkony TL 70 zadány na období od data změny jízdních řádů v prosinci 2020 </w:t>
            </w:r>
            <w:r w:rsidR="00E91A24">
              <w:rPr>
                <w:lang w:val="cs-CZ"/>
              </w:rPr>
              <w:t xml:space="preserve">pravděpodobně </w:t>
            </w:r>
            <w:r w:rsidRPr="00C13BA0">
              <w:rPr>
                <w:lang w:val="cs-CZ"/>
              </w:rPr>
              <w:t xml:space="preserve">také do změny jízdních řádů v prosinci </w:t>
            </w:r>
            <w:r w:rsidR="00E91A24">
              <w:rPr>
                <w:lang w:val="cs-CZ"/>
              </w:rPr>
              <w:t>2031 nebo v prosinci 2032</w:t>
            </w:r>
            <w:r w:rsidRPr="00C13BA0">
              <w:rPr>
                <w:lang w:val="cs-CZ"/>
              </w:rPr>
              <w:t>.</w:t>
            </w:r>
            <w:r w:rsidRPr="00C13BA0">
              <w:t xml:space="preserve"> </w:t>
            </w:r>
            <w:r w:rsidR="00E91A24">
              <w:rPr>
                <w:lang w:val="cs-CZ"/>
              </w:rPr>
              <w:t xml:space="preserve">Zkrácení </w:t>
            </w:r>
            <w:r>
              <w:rPr>
                <w:lang w:val="cs-CZ"/>
              </w:rPr>
              <w:t>doby</w:t>
            </w:r>
            <w:r w:rsidRPr="00C13BA0">
              <w:rPr>
                <w:lang w:val="cs-CZ"/>
              </w:rPr>
              <w:t xml:space="preserve"> platnosti smlouvy </w:t>
            </w:r>
            <w:r w:rsidR="00E91A24">
              <w:rPr>
                <w:lang w:val="cs-CZ"/>
              </w:rPr>
              <w:t xml:space="preserve">na 10 let jízdního řádu, tzn. pro období od změny jízdních řádů 2019 nebo prosinci 2020 do změny jízdních řádů v prosinci 2029 nebo 2030, </w:t>
            </w:r>
            <w:r w:rsidRPr="00C13BA0">
              <w:rPr>
                <w:lang w:val="cs-CZ"/>
              </w:rPr>
              <w:t>je v závislosti na výsledcích jednacího řízení</w:t>
            </w:r>
            <w:r>
              <w:rPr>
                <w:lang w:val="cs-CZ"/>
              </w:rPr>
              <w:t xml:space="preserve"> možné</w:t>
            </w:r>
            <w:r w:rsidRPr="00C13BA0">
              <w:rPr>
                <w:lang w:val="cs-CZ"/>
              </w:rPr>
              <w:t>.</w:t>
            </w:r>
          </w:p>
          <w:p w:rsidR="006477A8" w:rsidRPr="00C13BA0" w:rsidRDefault="006477A8" w:rsidP="006477A8">
            <w:pPr>
              <w:pStyle w:val="text"/>
            </w:pPr>
          </w:p>
          <w:p w:rsidR="00671C69" w:rsidRPr="00C13BA0" w:rsidRDefault="00671C69" w:rsidP="006477A8">
            <w:pPr>
              <w:pStyle w:val="slovanseznam"/>
            </w:pPr>
            <w:r w:rsidRPr="00C13BA0">
              <w:rPr>
                <w:lang w:val="cs-CZ"/>
              </w:rPr>
              <w:t>Každý nositel závazku přitom bude v oblasti své územní příslušnosti smluvním partnerem železničnímu dopravci, který získá zakázku.</w:t>
            </w:r>
            <w:r w:rsidRPr="00C13BA0">
              <w:t xml:space="preserve"> </w:t>
            </w:r>
            <w:r w:rsidRPr="00C13BA0">
              <w:rPr>
                <w:lang w:val="cs-CZ"/>
              </w:rPr>
              <w:t>Tato dohoda nemá zakládat důvody společného ručení objednatelů za závazky plynoucí z dopravních smluv.</w:t>
            </w:r>
          </w:p>
          <w:p w:rsidR="006477A8" w:rsidRPr="00C13BA0" w:rsidRDefault="006477A8" w:rsidP="006477A8">
            <w:pPr>
              <w:pStyle w:val="text"/>
            </w:pPr>
          </w:p>
          <w:p w:rsidR="00671C69" w:rsidRPr="00415FA2" w:rsidRDefault="00671C69" w:rsidP="006477A8">
            <w:pPr>
              <w:pStyle w:val="slovanseznam"/>
            </w:pPr>
            <w:r w:rsidRPr="00415FA2">
              <w:rPr>
                <w:lang w:val="cs-CZ"/>
              </w:rPr>
              <w:t>Maximální počet vlakokilometrů připadajících v normovém roce na příslušného objednatele vyplývá z Přílohy A této Dohody.</w:t>
            </w:r>
            <w:r w:rsidRPr="00415FA2">
              <w:t xml:space="preserve"> </w:t>
            </w:r>
            <w:r w:rsidRPr="00415FA2">
              <w:rPr>
                <w:lang w:val="cs-CZ"/>
              </w:rPr>
              <w:t>Provozní koncepce, jíž bude dopravce realizovat, se zakládá na společně vyvinuté a závazně odsouhlas</w:t>
            </w:r>
            <w:r w:rsidR="00A24B99">
              <w:rPr>
                <w:lang w:val="cs-CZ"/>
              </w:rPr>
              <w:t>e</w:t>
            </w:r>
            <w:r w:rsidRPr="00415FA2">
              <w:rPr>
                <w:lang w:val="cs-CZ"/>
              </w:rPr>
              <w:t>né „Síti drážní dopravy“.</w:t>
            </w:r>
          </w:p>
          <w:p w:rsidR="006477A8" w:rsidRPr="00C13BA0" w:rsidRDefault="006477A8" w:rsidP="006477A8">
            <w:pPr>
              <w:pStyle w:val="text"/>
            </w:pPr>
          </w:p>
          <w:p w:rsidR="00671C69" w:rsidRPr="00415FA2" w:rsidRDefault="00671C69" w:rsidP="006477A8">
            <w:pPr>
              <w:pStyle w:val="slovanseznam"/>
            </w:pPr>
            <w:r w:rsidRPr="00415FA2">
              <w:rPr>
                <w:lang w:val="cs-CZ"/>
              </w:rPr>
              <w:t xml:space="preserve">Dopravní smlouva, jež bude předmětem zadávacího řízení bude mít </w:t>
            </w:r>
            <w:r>
              <w:rPr>
                <w:lang w:val="cs-CZ"/>
              </w:rPr>
              <w:t>pro</w:t>
            </w:r>
            <w:r w:rsidRPr="00415FA2">
              <w:rPr>
                <w:lang w:val="cs-CZ"/>
              </w:rPr>
              <w:t xml:space="preserve"> ZVON formu netto-smlouvy (tzn. riziko tržeb </w:t>
            </w:r>
            <w:r>
              <w:rPr>
                <w:lang w:val="cs-CZ"/>
              </w:rPr>
              <w:lastRenderedPageBreak/>
              <w:t xml:space="preserve">nese </w:t>
            </w:r>
            <w:r w:rsidRPr="00415FA2">
              <w:rPr>
                <w:lang w:val="cs-CZ"/>
              </w:rPr>
              <w:t>drážní dopravce).</w:t>
            </w:r>
            <w:r w:rsidRPr="00415FA2">
              <w:t xml:space="preserve"> </w:t>
            </w:r>
            <w:r w:rsidRPr="00415FA2">
              <w:rPr>
                <w:lang w:val="cs-CZ"/>
              </w:rPr>
              <w:t xml:space="preserve">V LK a ÚK bude mít dopravní smlouva formu brutto-smlouvy (tzn. riziko tržeb </w:t>
            </w:r>
            <w:r>
              <w:rPr>
                <w:lang w:val="cs-CZ"/>
              </w:rPr>
              <w:t xml:space="preserve">nese </w:t>
            </w:r>
            <w:r w:rsidRPr="00415FA2">
              <w:rPr>
                <w:lang w:val="cs-CZ"/>
              </w:rPr>
              <w:t>příslušn</w:t>
            </w:r>
            <w:r>
              <w:rPr>
                <w:lang w:val="cs-CZ"/>
              </w:rPr>
              <w:t>ý</w:t>
            </w:r>
            <w:r w:rsidR="00A24B99">
              <w:rPr>
                <w:lang w:val="cs-CZ"/>
              </w:rPr>
              <w:t xml:space="preserve"> objednatel</w:t>
            </w:r>
            <w:r w:rsidRPr="00415FA2">
              <w:rPr>
                <w:lang w:val="cs-CZ"/>
              </w:rPr>
              <w:t>).</w:t>
            </w:r>
          </w:p>
          <w:p w:rsidR="006477A8" w:rsidRPr="00C13BA0" w:rsidRDefault="006477A8" w:rsidP="006477A8">
            <w:pPr>
              <w:pStyle w:val="text"/>
            </w:pPr>
          </w:p>
          <w:p w:rsidR="00671C69" w:rsidRPr="00415FA2" w:rsidRDefault="00671C69" w:rsidP="006477A8">
            <w:pPr>
              <w:pStyle w:val="slovanseznam"/>
            </w:pPr>
            <w:r w:rsidRPr="00415FA2">
              <w:rPr>
                <w:lang w:val="cs-CZ"/>
              </w:rPr>
              <w:t>Tato předkládaná Dohoda řeší financování zadávacího řízení a určuje pravidla pro spolupráci smluvních stran při plánování budoucí nabídky přepravních výkonů v regionální drážní osobní dopravě.</w:t>
            </w:r>
          </w:p>
          <w:p w:rsidR="006477A8" w:rsidRPr="00C13BA0" w:rsidRDefault="006477A8" w:rsidP="006477A8">
            <w:pPr>
              <w:pStyle w:val="text"/>
            </w:pPr>
          </w:p>
          <w:p w:rsidR="00671C69" w:rsidRPr="00415FA2" w:rsidRDefault="00671C69" w:rsidP="004100A6">
            <w:pPr>
              <w:pStyle w:val="slovanseznam"/>
              <w:keepNext/>
              <w:ind w:left="357" w:hanging="357"/>
            </w:pPr>
            <w:r w:rsidRPr="00415FA2">
              <w:rPr>
                <w:lang w:val="cs-CZ"/>
              </w:rPr>
              <w:t xml:space="preserve">Zadávací dokumentace bude obsahovat ustanovení nejméně </w:t>
            </w:r>
            <w:r>
              <w:rPr>
                <w:lang w:val="cs-CZ"/>
              </w:rPr>
              <w:t>o</w:t>
            </w:r>
            <w:r w:rsidRPr="00415FA2">
              <w:rPr>
                <w:lang w:val="cs-CZ"/>
              </w:rPr>
              <w:t> následující</w:t>
            </w:r>
            <w:r>
              <w:rPr>
                <w:lang w:val="cs-CZ"/>
              </w:rPr>
              <w:t>ch</w:t>
            </w:r>
            <w:r w:rsidRPr="00415FA2">
              <w:rPr>
                <w:lang w:val="cs-CZ"/>
              </w:rPr>
              <w:t xml:space="preserve"> kritérií</w:t>
            </w:r>
            <w:r>
              <w:rPr>
                <w:lang w:val="cs-CZ"/>
              </w:rPr>
              <w:t>ch</w:t>
            </w:r>
            <w:r w:rsidRPr="00415FA2">
              <w:rPr>
                <w:lang w:val="cs-CZ"/>
              </w:rPr>
              <w:t>:</w:t>
            </w:r>
          </w:p>
          <w:p w:rsidR="00671C69" w:rsidRPr="00415FA2" w:rsidRDefault="00671C69" w:rsidP="006477A8">
            <w:pPr>
              <w:pStyle w:val="Seznamsodrkami3"/>
            </w:pPr>
            <w:r w:rsidRPr="00415FA2">
              <w:rPr>
                <w:u w:val="single"/>
                <w:lang w:val="cs-CZ"/>
              </w:rPr>
              <w:t>Nasazení vozidel a kvalita vozidel:</w:t>
            </w:r>
            <w:r w:rsidRPr="00415FA2">
              <w:t xml:space="preserve"> </w:t>
            </w:r>
            <w:r w:rsidRPr="00415FA2">
              <w:rPr>
                <w:lang w:val="cs-CZ"/>
              </w:rPr>
              <w:t>Nasazení ojetých vozidel je přípustné.</w:t>
            </w:r>
            <w:r w:rsidRPr="00415FA2">
              <w:t xml:space="preserve"> </w:t>
            </w:r>
            <w:r w:rsidRPr="00415FA2">
              <w:rPr>
                <w:lang w:val="cs-CZ"/>
              </w:rPr>
              <w:t>Kritéria kvality těchto vozidel musí v </w:t>
            </w:r>
            <w:r>
              <w:rPr>
                <w:lang w:val="cs-CZ"/>
              </w:rPr>
              <w:t>podstatných</w:t>
            </w:r>
            <w:r w:rsidRPr="00415FA2">
              <w:rPr>
                <w:lang w:val="cs-CZ"/>
              </w:rPr>
              <w:t xml:space="preserve"> rysech odpovídat těm, která vykazují ak</w:t>
            </w:r>
            <w:r w:rsidR="00A24B99">
              <w:rPr>
                <w:lang w:val="cs-CZ"/>
              </w:rPr>
              <w:t>t</w:t>
            </w:r>
            <w:r w:rsidRPr="00415FA2">
              <w:rPr>
                <w:lang w:val="cs-CZ"/>
              </w:rPr>
              <w:t>uálně nasazovaná drážní vozidla, ne tak v případě, pokud následující kritéria nepředepisují kvalitu vyšší.</w:t>
            </w:r>
          </w:p>
          <w:p w:rsidR="00671C69" w:rsidRPr="00415FA2" w:rsidRDefault="00671C69" w:rsidP="006477A8">
            <w:pPr>
              <w:pStyle w:val="Seznamsodrkami3"/>
            </w:pPr>
            <w:r w:rsidRPr="00415FA2">
              <w:rPr>
                <w:u w:val="single"/>
                <w:lang w:val="cs-CZ"/>
              </w:rPr>
              <w:t>Bezbariérovost:</w:t>
            </w:r>
            <w:r w:rsidRPr="00415FA2">
              <w:t xml:space="preserve"> </w:t>
            </w:r>
            <w:r w:rsidRPr="00415FA2">
              <w:rPr>
                <w:lang w:val="cs-CZ"/>
              </w:rPr>
              <w:t>Veškerá vozidla musí být bezbariérově přístupná.</w:t>
            </w:r>
            <w:r w:rsidRPr="00415FA2">
              <w:t xml:space="preserve"> </w:t>
            </w:r>
          </w:p>
          <w:p w:rsidR="00671C69" w:rsidRPr="00415FA2" w:rsidRDefault="00671C69" w:rsidP="006477A8">
            <w:pPr>
              <w:pStyle w:val="Seznamsodrkami3"/>
            </w:pPr>
            <w:r w:rsidRPr="00415FA2">
              <w:rPr>
                <w:u w:val="single"/>
                <w:lang w:val="cs-CZ"/>
              </w:rPr>
              <w:t>Vytápění</w:t>
            </w:r>
            <w:r>
              <w:rPr>
                <w:u w:val="single"/>
                <w:lang w:val="cs-CZ"/>
              </w:rPr>
              <w:t xml:space="preserve"> a chlazen</w:t>
            </w:r>
            <w:r w:rsidR="00CB1933">
              <w:rPr>
                <w:u w:val="single"/>
                <w:lang w:val="cs-CZ"/>
              </w:rPr>
              <w:t>í</w:t>
            </w:r>
            <w:r w:rsidRPr="00415FA2">
              <w:rPr>
                <w:u w:val="single"/>
                <w:lang w:val="cs-CZ"/>
              </w:rPr>
              <w:t>:</w:t>
            </w:r>
            <w:r w:rsidRPr="00415FA2">
              <w:t xml:space="preserve"> </w:t>
            </w:r>
            <w:r w:rsidRPr="00415FA2">
              <w:rPr>
                <w:lang w:val="cs-CZ"/>
              </w:rPr>
              <w:t>Plynule regulovatelné</w:t>
            </w:r>
            <w:r w:rsidR="00CB1933">
              <w:rPr>
                <w:lang w:val="cs-CZ"/>
              </w:rPr>
              <w:t>.</w:t>
            </w:r>
          </w:p>
          <w:p w:rsidR="00671C69" w:rsidRPr="00415FA2" w:rsidRDefault="00671C69" w:rsidP="006477A8">
            <w:pPr>
              <w:pStyle w:val="Seznamsodrkami3"/>
            </w:pPr>
            <w:r w:rsidRPr="00415FA2">
              <w:rPr>
                <w:u w:val="single"/>
                <w:lang w:val="cs-CZ"/>
              </w:rPr>
              <w:t>Požadavky na personál:</w:t>
            </w:r>
            <w:r w:rsidRPr="00415FA2">
              <w:t xml:space="preserve"> </w:t>
            </w:r>
            <w:r w:rsidRPr="00415FA2">
              <w:rPr>
                <w:lang w:val="cs-CZ"/>
              </w:rPr>
              <w:t xml:space="preserve">100 % </w:t>
            </w:r>
            <w:r>
              <w:rPr>
                <w:lang w:val="cs-CZ"/>
              </w:rPr>
              <w:t xml:space="preserve">odbavení </w:t>
            </w:r>
            <w:r w:rsidRPr="00415FA2">
              <w:rPr>
                <w:lang w:val="cs-CZ"/>
              </w:rPr>
              <w:t>vlakovými průvodčími</w:t>
            </w:r>
            <w:r w:rsidR="00CB1933">
              <w:rPr>
                <w:lang w:val="cs-CZ"/>
              </w:rPr>
              <w:t>.</w:t>
            </w:r>
          </w:p>
          <w:p w:rsidR="00671C69" w:rsidRDefault="00671C69" w:rsidP="00EF49FF">
            <w:pPr>
              <w:pStyle w:val="Seznamsodrkami3"/>
            </w:pPr>
            <w:r w:rsidRPr="00415FA2">
              <w:rPr>
                <w:u w:val="single"/>
                <w:lang w:val="cs-CZ"/>
              </w:rPr>
              <w:t>Prodej:</w:t>
            </w:r>
            <w:r w:rsidRPr="00415FA2">
              <w:t xml:space="preserve"> </w:t>
            </w:r>
            <w:r w:rsidR="00A24B99">
              <w:rPr>
                <w:lang w:val="cs-CZ"/>
              </w:rPr>
              <w:t>Prodej je zásadně organizován d</w:t>
            </w:r>
            <w:r w:rsidRPr="00415FA2">
              <w:rPr>
                <w:lang w:val="cs-CZ"/>
              </w:rPr>
              <w:t xml:space="preserve">opravcem (bez automatů ve vlaku a bez </w:t>
            </w:r>
            <w:r>
              <w:rPr>
                <w:lang w:val="cs-CZ"/>
              </w:rPr>
              <w:t>validátorů</w:t>
            </w:r>
            <w:r w:rsidRPr="00415FA2">
              <w:rPr>
                <w:lang w:val="cs-CZ"/>
              </w:rPr>
              <w:t>).</w:t>
            </w:r>
          </w:p>
        </w:tc>
        <w:tc>
          <w:tcPr>
            <w:tcW w:w="7214" w:type="dxa"/>
          </w:tcPr>
          <w:p w:rsidR="00C57BF0" w:rsidRPr="00CF3D04" w:rsidRDefault="00C57BF0" w:rsidP="00B963A8">
            <w:pPr>
              <w:pStyle w:val="Nadpis2"/>
              <w:outlineLvl w:val="1"/>
            </w:pPr>
            <w:bookmarkStart w:id="8" w:name="_Toc447179467"/>
            <w:bookmarkStart w:id="9" w:name="_Toc447185427"/>
            <w:r w:rsidRPr="00CF3D04">
              <w:lastRenderedPageBreak/>
              <w:t>§ 1 Ziel</w:t>
            </w:r>
            <w:r>
              <w:t>e</w:t>
            </w:r>
            <w:r w:rsidRPr="00CF3D04">
              <w:t xml:space="preserve"> und Inhalte der Vereinbarung</w:t>
            </w:r>
            <w:bookmarkEnd w:id="8"/>
            <w:bookmarkEnd w:id="9"/>
          </w:p>
          <w:p w:rsidR="00C57BF0" w:rsidRDefault="00C57BF0" w:rsidP="006477A8">
            <w:pPr>
              <w:pStyle w:val="slovanseznam"/>
              <w:numPr>
                <w:ilvl w:val="0"/>
                <w:numId w:val="17"/>
              </w:numPr>
            </w:pPr>
            <w:r>
              <w:t>Die</w:t>
            </w:r>
            <w:r w:rsidRPr="00CF3D04">
              <w:t xml:space="preserve"> Vereinbarung </w:t>
            </w:r>
            <w:r>
              <w:t>dient der</w:t>
            </w:r>
            <w:r w:rsidRPr="00CF3D04">
              <w:t xml:space="preserve"> gemeinsame</w:t>
            </w:r>
            <w:r>
              <w:t>n</w:t>
            </w:r>
            <w:r w:rsidRPr="00CF3D04">
              <w:t xml:space="preserve"> Durchführung eines Vergabeverfahrens für die Vergabe von SPNV-Leistungen auf den Linien</w:t>
            </w:r>
          </w:p>
          <w:p w:rsidR="00EF49FF" w:rsidRPr="00CF3D04" w:rsidRDefault="00EF49FF" w:rsidP="00EF49FF">
            <w:pPr>
              <w:pStyle w:val="Pokraovnseznamu"/>
            </w:pPr>
          </w:p>
          <w:tbl>
            <w:tblPr>
              <w:tblW w:w="5953" w:type="dxa"/>
              <w:tblInd w:w="574" w:type="dxa"/>
              <w:tblLayout w:type="fixed"/>
              <w:tblCellMar>
                <w:left w:w="70" w:type="dxa"/>
                <w:right w:w="70" w:type="dxa"/>
              </w:tblCellMar>
              <w:tblLook w:val="0000" w:firstRow="0" w:lastRow="0" w:firstColumn="0" w:lastColumn="0" w:noHBand="0" w:noVBand="0"/>
            </w:tblPr>
            <w:tblGrid>
              <w:gridCol w:w="1134"/>
              <w:gridCol w:w="4819"/>
            </w:tblGrid>
            <w:tr w:rsidR="00C57BF0" w:rsidRPr="00CF3D04" w:rsidTr="00782205">
              <w:trPr>
                <w:trHeight w:val="525"/>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C57BF0" w:rsidRPr="00CF3D04" w:rsidRDefault="00C57BF0" w:rsidP="0005590C">
                  <w:pPr>
                    <w:jc w:val="center"/>
                    <w:rPr>
                      <w:rFonts w:ascii="Arial" w:hAnsi="Arial" w:cs="Arial"/>
                      <w:sz w:val="22"/>
                      <w:szCs w:val="22"/>
                    </w:rPr>
                  </w:pPr>
                  <w:r w:rsidRPr="00CF3D04">
                    <w:rPr>
                      <w:rFonts w:ascii="Arial" w:hAnsi="Arial" w:cs="Arial"/>
                      <w:sz w:val="22"/>
                      <w:szCs w:val="22"/>
                    </w:rPr>
                    <w:t>Linie</w:t>
                  </w:r>
                </w:p>
              </w:tc>
              <w:tc>
                <w:tcPr>
                  <w:tcW w:w="4819"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C57BF0" w:rsidRPr="00CF3D04" w:rsidRDefault="00C57BF0" w:rsidP="0005590C">
                  <w:pPr>
                    <w:jc w:val="center"/>
                    <w:rPr>
                      <w:rFonts w:ascii="Arial" w:hAnsi="Arial" w:cs="Arial"/>
                      <w:sz w:val="22"/>
                      <w:szCs w:val="22"/>
                    </w:rPr>
                  </w:pPr>
                  <w:r w:rsidRPr="00CF3D04">
                    <w:rPr>
                      <w:rFonts w:ascii="Arial" w:hAnsi="Arial" w:cs="Arial"/>
                      <w:sz w:val="22"/>
                      <w:szCs w:val="22"/>
                    </w:rPr>
                    <w:t>von – nach</w:t>
                  </w:r>
                </w:p>
              </w:tc>
            </w:tr>
            <w:tr w:rsidR="00C57BF0" w:rsidRPr="00CF3D04" w:rsidTr="006F4226">
              <w:trPr>
                <w:cantSplit/>
                <w:trHeight w:val="300"/>
              </w:trPr>
              <w:tc>
                <w:tcPr>
                  <w:tcW w:w="1134" w:type="dxa"/>
                  <w:tcBorders>
                    <w:left w:val="single" w:sz="8" w:space="0" w:color="auto"/>
                    <w:bottom w:val="single" w:sz="8" w:space="0" w:color="000000"/>
                    <w:right w:val="single" w:sz="8" w:space="0" w:color="auto"/>
                  </w:tcBorders>
                  <w:shd w:val="clear" w:color="auto" w:fill="FFFFFF"/>
                  <w:vAlign w:val="center"/>
                </w:tcPr>
                <w:p w:rsidR="00C57BF0" w:rsidRPr="00CF3D04" w:rsidRDefault="00C57BF0" w:rsidP="0005590C">
                  <w:pPr>
                    <w:ind w:left="203"/>
                    <w:rPr>
                      <w:rFonts w:ascii="Arial" w:hAnsi="Arial" w:cs="Arial"/>
                      <w:sz w:val="22"/>
                      <w:szCs w:val="22"/>
                    </w:rPr>
                  </w:pPr>
                  <w:r w:rsidRPr="00CF3D04">
                    <w:rPr>
                      <w:rFonts w:ascii="Arial" w:hAnsi="Arial" w:cs="Arial"/>
                      <w:sz w:val="22"/>
                      <w:szCs w:val="22"/>
                    </w:rPr>
                    <w:t>RE 1</w:t>
                  </w:r>
                </w:p>
              </w:tc>
              <w:tc>
                <w:tcPr>
                  <w:tcW w:w="4819" w:type="dxa"/>
                  <w:tcBorders>
                    <w:top w:val="nil"/>
                    <w:left w:val="nil"/>
                    <w:bottom w:val="single" w:sz="8" w:space="0" w:color="auto"/>
                    <w:right w:val="single" w:sz="8" w:space="0" w:color="auto"/>
                  </w:tcBorders>
                  <w:shd w:val="clear" w:color="auto" w:fill="FFFFFF"/>
                  <w:noWrap/>
                  <w:vAlign w:val="center"/>
                </w:tcPr>
                <w:p w:rsidR="00C57BF0" w:rsidRPr="00CF3D04" w:rsidRDefault="00C57BF0" w:rsidP="006477A8">
                  <w:pPr>
                    <w:ind w:left="72"/>
                    <w:rPr>
                      <w:rFonts w:ascii="Arial" w:hAnsi="Arial" w:cs="Arial"/>
                      <w:sz w:val="22"/>
                      <w:szCs w:val="22"/>
                    </w:rPr>
                  </w:pPr>
                  <w:r w:rsidRPr="00CF3D04">
                    <w:rPr>
                      <w:rFonts w:ascii="Arial" w:hAnsi="Arial" w:cs="Arial"/>
                      <w:sz w:val="22"/>
                      <w:szCs w:val="22"/>
                    </w:rPr>
                    <w:t>Dresden Hbf</w:t>
                  </w:r>
                  <w:r>
                    <w:rPr>
                      <w:rFonts w:ascii="Arial" w:hAnsi="Arial" w:cs="Arial"/>
                      <w:sz w:val="22"/>
                      <w:szCs w:val="22"/>
                    </w:rPr>
                    <w:t>.</w:t>
                  </w:r>
                  <w:r w:rsidRPr="00CF3D04">
                    <w:rPr>
                      <w:rFonts w:ascii="Arial" w:hAnsi="Arial" w:cs="Arial"/>
                      <w:sz w:val="22"/>
                      <w:szCs w:val="22"/>
                    </w:rPr>
                    <w:t xml:space="preserve"> – Bautzen – Görlitz (– Wrocław)</w:t>
                  </w:r>
                  <w:r>
                    <w:rPr>
                      <w:rFonts w:ascii="Arial" w:hAnsi="Arial" w:cs="Arial"/>
                      <w:sz w:val="22"/>
                      <w:szCs w:val="22"/>
                    </w:rPr>
                    <w:t>*</w:t>
                  </w:r>
                </w:p>
              </w:tc>
            </w:tr>
            <w:tr w:rsidR="00C57BF0"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C57BF0" w:rsidRPr="009F49D2" w:rsidRDefault="00C57BF0" w:rsidP="0005590C">
                  <w:pPr>
                    <w:ind w:left="203"/>
                    <w:rPr>
                      <w:rFonts w:ascii="Arial" w:hAnsi="Arial" w:cs="Arial"/>
                      <w:sz w:val="22"/>
                      <w:szCs w:val="22"/>
                    </w:rPr>
                  </w:pPr>
                  <w:r w:rsidRPr="00E7448A">
                    <w:rPr>
                      <w:rFonts w:ascii="Arial" w:hAnsi="Arial" w:cs="Arial"/>
                      <w:sz w:val="22"/>
                      <w:szCs w:val="22"/>
                    </w:rPr>
                    <w:t>RE 2</w:t>
                  </w:r>
                </w:p>
              </w:tc>
              <w:tc>
                <w:tcPr>
                  <w:tcW w:w="4819" w:type="dxa"/>
                  <w:tcBorders>
                    <w:top w:val="nil"/>
                    <w:left w:val="nil"/>
                    <w:bottom w:val="single" w:sz="8" w:space="0" w:color="auto"/>
                    <w:right w:val="single" w:sz="8" w:space="0" w:color="auto"/>
                  </w:tcBorders>
                  <w:shd w:val="clear" w:color="auto" w:fill="FFFFFF"/>
                  <w:noWrap/>
                  <w:vAlign w:val="center"/>
                </w:tcPr>
                <w:p w:rsidR="00C57BF0" w:rsidRPr="009F49D2" w:rsidRDefault="00C57BF0" w:rsidP="006477A8">
                  <w:pPr>
                    <w:ind w:left="72"/>
                    <w:rPr>
                      <w:rFonts w:ascii="Arial" w:hAnsi="Arial" w:cs="Arial"/>
                      <w:sz w:val="22"/>
                      <w:szCs w:val="22"/>
                    </w:rPr>
                  </w:pPr>
                  <w:r w:rsidRPr="009F49D2">
                    <w:rPr>
                      <w:rFonts w:ascii="Arial" w:hAnsi="Arial" w:cs="Arial"/>
                      <w:sz w:val="22"/>
                      <w:szCs w:val="22"/>
                    </w:rPr>
                    <w:t>Dresden Hbf</w:t>
                  </w:r>
                  <w:r>
                    <w:rPr>
                      <w:rFonts w:ascii="Arial" w:hAnsi="Arial" w:cs="Arial"/>
                      <w:sz w:val="22"/>
                      <w:szCs w:val="22"/>
                    </w:rPr>
                    <w:t>.</w:t>
                  </w:r>
                  <w:r w:rsidRPr="009F49D2">
                    <w:rPr>
                      <w:rFonts w:ascii="Arial" w:hAnsi="Arial" w:cs="Arial"/>
                      <w:sz w:val="22"/>
                      <w:szCs w:val="22"/>
                    </w:rPr>
                    <w:t xml:space="preserve"> – Zittau – Liberec</w:t>
                  </w:r>
                </w:p>
              </w:tc>
            </w:tr>
            <w:tr w:rsidR="00C57BF0"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C57BF0" w:rsidRPr="009F49D2" w:rsidRDefault="00C57BF0" w:rsidP="0005590C">
                  <w:pPr>
                    <w:ind w:left="203"/>
                    <w:rPr>
                      <w:rFonts w:ascii="Arial" w:hAnsi="Arial" w:cs="Arial"/>
                      <w:sz w:val="22"/>
                      <w:szCs w:val="22"/>
                    </w:rPr>
                  </w:pPr>
                  <w:r w:rsidRPr="00E7448A">
                    <w:rPr>
                      <w:rFonts w:ascii="Arial" w:hAnsi="Arial" w:cs="Arial"/>
                      <w:sz w:val="22"/>
                      <w:szCs w:val="22"/>
                    </w:rPr>
                    <w:t>RB 60</w:t>
                  </w:r>
                </w:p>
              </w:tc>
              <w:tc>
                <w:tcPr>
                  <w:tcW w:w="4819" w:type="dxa"/>
                  <w:tcBorders>
                    <w:top w:val="nil"/>
                    <w:left w:val="nil"/>
                    <w:bottom w:val="single" w:sz="8" w:space="0" w:color="auto"/>
                    <w:right w:val="single" w:sz="8" w:space="0" w:color="auto"/>
                  </w:tcBorders>
                  <w:shd w:val="clear" w:color="auto" w:fill="FFFFFF"/>
                  <w:noWrap/>
                  <w:vAlign w:val="center"/>
                </w:tcPr>
                <w:p w:rsidR="00C57BF0" w:rsidRPr="009F49D2" w:rsidRDefault="00C57BF0" w:rsidP="006477A8">
                  <w:pPr>
                    <w:ind w:left="72"/>
                    <w:rPr>
                      <w:rFonts w:ascii="Arial" w:hAnsi="Arial" w:cs="Arial"/>
                      <w:sz w:val="22"/>
                      <w:szCs w:val="22"/>
                    </w:rPr>
                  </w:pPr>
                  <w:r w:rsidRPr="009F49D2">
                    <w:rPr>
                      <w:rFonts w:ascii="Arial" w:hAnsi="Arial" w:cs="Arial"/>
                      <w:sz w:val="22"/>
                      <w:szCs w:val="22"/>
                    </w:rPr>
                    <w:t>Dresden Hbf</w:t>
                  </w:r>
                  <w:r>
                    <w:rPr>
                      <w:rFonts w:ascii="Arial" w:hAnsi="Arial" w:cs="Arial"/>
                      <w:sz w:val="22"/>
                      <w:szCs w:val="22"/>
                    </w:rPr>
                    <w:t>.</w:t>
                  </w:r>
                  <w:r w:rsidRPr="009F49D2">
                    <w:rPr>
                      <w:rFonts w:ascii="Arial" w:hAnsi="Arial" w:cs="Arial"/>
                      <w:sz w:val="22"/>
                      <w:szCs w:val="22"/>
                    </w:rPr>
                    <w:t xml:space="preserve"> – Bautzen – Görlitz</w:t>
                  </w:r>
                </w:p>
              </w:tc>
            </w:tr>
            <w:tr w:rsidR="00C57BF0"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C57BF0" w:rsidRPr="00CF3D04" w:rsidRDefault="00C57BF0" w:rsidP="0005590C">
                  <w:pPr>
                    <w:ind w:left="203"/>
                    <w:rPr>
                      <w:rFonts w:ascii="Arial" w:hAnsi="Arial" w:cs="Arial"/>
                      <w:sz w:val="22"/>
                      <w:szCs w:val="22"/>
                    </w:rPr>
                  </w:pPr>
                  <w:r>
                    <w:rPr>
                      <w:rFonts w:ascii="Arial" w:hAnsi="Arial" w:cs="Arial"/>
                      <w:sz w:val="22"/>
                      <w:szCs w:val="22"/>
                    </w:rPr>
                    <w:t>R</w:t>
                  </w:r>
                  <w:r w:rsidRPr="003A7644">
                    <w:rPr>
                      <w:rFonts w:ascii="Arial" w:hAnsi="Arial" w:cs="Arial"/>
                      <w:sz w:val="22"/>
                      <w:szCs w:val="22"/>
                    </w:rPr>
                    <w:t xml:space="preserve">E </w:t>
                  </w:r>
                  <w:r>
                    <w:rPr>
                      <w:rFonts w:ascii="Arial" w:hAnsi="Arial" w:cs="Arial"/>
                      <w:sz w:val="22"/>
                      <w:szCs w:val="22"/>
                    </w:rPr>
                    <w:t>1</w:t>
                  </w:r>
                  <w:r w:rsidRPr="00E7448A">
                    <w:rPr>
                      <w:rFonts w:ascii="Arial" w:hAnsi="Arial" w:cs="Arial"/>
                      <w:sz w:val="22"/>
                      <w:szCs w:val="22"/>
                    </w:rPr>
                    <w:t>V</w:t>
                  </w:r>
                </w:p>
              </w:tc>
              <w:tc>
                <w:tcPr>
                  <w:tcW w:w="4819" w:type="dxa"/>
                  <w:tcBorders>
                    <w:top w:val="nil"/>
                    <w:left w:val="nil"/>
                    <w:bottom w:val="single" w:sz="8" w:space="0" w:color="auto"/>
                    <w:right w:val="single" w:sz="8" w:space="0" w:color="auto"/>
                  </w:tcBorders>
                  <w:shd w:val="clear" w:color="auto" w:fill="FFFFFF"/>
                  <w:noWrap/>
                  <w:vAlign w:val="center"/>
                </w:tcPr>
                <w:p w:rsidR="00C57BF0" w:rsidRPr="00CF3D04" w:rsidRDefault="00C57BF0" w:rsidP="006477A8">
                  <w:pPr>
                    <w:ind w:left="72"/>
                    <w:rPr>
                      <w:rFonts w:ascii="Arial" w:hAnsi="Arial" w:cs="Arial"/>
                      <w:sz w:val="22"/>
                      <w:szCs w:val="22"/>
                    </w:rPr>
                  </w:pPr>
                  <w:r w:rsidRPr="00E7448A">
                    <w:rPr>
                      <w:rFonts w:ascii="Arial" w:hAnsi="Arial" w:cs="Arial"/>
                      <w:sz w:val="22"/>
                      <w:szCs w:val="22"/>
                    </w:rPr>
                    <w:t>Görlitz – Bischofswerda</w:t>
                  </w:r>
                </w:p>
              </w:tc>
            </w:tr>
            <w:tr w:rsidR="00C57BF0"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7BF0" w:rsidRPr="009F49D2" w:rsidRDefault="00C57BF0" w:rsidP="0005590C">
                  <w:pPr>
                    <w:ind w:left="203"/>
                    <w:rPr>
                      <w:rFonts w:ascii="Arial" w:hAnsi="Arial" w:cs="Arial"/>
                      <w:sz w:val="22"/>
                      <w:szCs w:val="22"/>
                    </w:rPr>
                  </w:pPr>
                  <w:r w:rsidRPr="009F49D2">
                    <w:rPr>
                      <w:rFonts w:ascii="Arial" w:hAnsi="Arial" w:cs="Arial"/>
                      <w:sz w:val="22"/>
                      <w:szCs w:val="22"/>
                    </w:rPr>
                    <w:t>RB 61</w:t>
                  </w:r>
                </w:p>
              </w:tc>
              <w:tc>
                <w:tcPr>
                  <w:tcW w:w="4819" w:type="dxa"/>
                  <w:tcBorders>
                    <w:top w:val="single" w:sz="8" w:space="0" w:color="auto"/>
                    <w:left w:val="nil"/>
                    <w:bottom w:val="single" w:sz="8" w:space="0" w:color="auto"/>
                    <w:right w:val="single" w:sz="8" w:space="0" w:color="auto"/>
                  </w:tcBorders>
                  <w:shd w:val="clear" w:color="auto" w:fill="FFFFFF"/>
                  <w:noWrap/>
                  <w:vAlign w:val="center"/>
                </w:tcPr>
                <w:p w:rsidR="00C57BF0" w:rsidRPr="009F49D2" w:rsidRDefault="00C57BF0" w:rsidP="006477A8">
                  <w:pPr>
                    <w:ind w:left="72"/>
                    <w:rPr>
                      <w:rFonts w:ascii="Arial" w:hAnsi="Arial" w:cs="Arial"/>
                      <w:sz w:val="22"/>
                      <w:szCs w:val="22"/>
                    </w:rPr>
                  </w:pPr>
                  <w:r w:rsidRPr="009F49D2">
                    <w:rPr>
                      <w:rFonts w:ascii="Arial" w:hAnsi="Arial" w:cs="Arial"/>
                      <w:sz w:val="22"/>
                      <w:szCs w:val="22"/>
                    </w:rPr>
                    <w:t>Dresden Hbf</w:t>
                  </w:r>
                  <w:r>
                    <w:rPr>
                      <w:rFonts w:ascii="Arial" w:hAnsi="Arial" w:cs="Arial"/>
                      <w:sz w:val="22"/>
                      <w:szCs w:val="22"/>
                    </w:rPr>
                    <w:t>.</w:t>
                  </w:r>
                  <w:r w:rsidRPr="009F49D2">
                    <w:rPr>
                      <w:rFonts w:ascii="Arial" w:hAnsi="Arial" w:cs="Arial"/>
                      <w:sz w:val="22"/>
                      <w:szCs w:val="22"/>
                    </w:rPr>
                    <w:t xml:space="preserve"> – Ebersbach – Zittau</w:t>
                  </w:r>
                </w:p>
              </w:tc>
            </w:tr>
            <w:tr w:rsidR="00C57BF0"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7BF0" w:rsidRPr="009F49D2" w:rsidDel="00BB2CE5" w:rsidRDefault="00AA30B8" w:rsidP="0005590C">
                  <w:pPr>
                    <w:ind w:left="203"/>
                    <w:rPr>
                      <w:rFonts w:ascii="Arial" w:hAnsi="Arial" w:cs="Arial"/>
                      <w:sz w:val="22"/>
                      <w:szCs w:val="22"/>
                    </w:rPr>
                  </w:pPr>
                  <w:r>
                    <w:rPr>
                      <w:rFonts w:ascii="Arial" w:hAnsi="Arial" w:cs="Arial"/>
                      <w:sz w:val="22"/>
                      <w:szCs w:val="22"/>
                    </w:rPr>
                    <w:lastRenderedPageBreak/>
                    <w:t>RB</w:t>
                  </w:r>
                  <w:r w:rsidR="00C57BF0" w:rsidRPr="00E7448A">
                    <w:rPr>
                      <w:rFonts w:ascii="Arial" w:hAnsi="Arial" w:cs="Arial"/>
                      <w:sz w:val="22"/>
                      <w:szCs w:val="22"/>
                    </w:rPr>
                    <w:t xml:space="preserve"> 70</w:t>
                  </w:r>
                </w:p>
              </w:tc>
              <w:tc>
                <w:tcPr>
                  <w:tcW w:w="4819" w:type="dxa"/>
                  <w:tcBorders>
                    <w:top w:val="single" w:sz="8" w:space="0" w:color="auto"/>
                    <w:left w:val="nil"/>
                    <w:bottom w:val="single" w:sz="8" w:space="0" w:color="auto"/>
                    <w:right w:val="single" w:sz="8" w:space="0" w:color="auto"/>
                  </w:tcBorders>
                  <w:shd w:val="clear" w:color="auto" w:fill="FFFFFF"/>
                  <w:noWrap/>
                  <w:vAlign w:val="center"/>
                </w:tcPr>
                <w:p w:rsidR="00C57BF0" w:rsidRPr="009F49D2" w:rsidRDefault="00C57BF0" w:rsidP="006477A8">
                  <w:pPr>
                    <w:ind w:left="72"/>
                    <w:rPr>
                      <w:rFonts w:ascii="Arial" w:hAnsi="Arial" w:cs="Arial"/>
                      <w:sz w:val="22"/>
                      <w:szCs w:val="22"/>
                    </w:rPr>
                  </w:pPr>
                  <w:r w:rsidRPr="009F49D2">
                    <w:rPr>
                      <w:rFonts w:ascii="Arial" w:hAnsi="Arial" w:cs="Arial"/>
                      <w:sz w:val="22"/>
                      <w:szCs w:val="22"/>
                    </w:rPr>
                    <w:t>Liberec – Zittau – Varnsdorf – Seifhennersdorf</w:t>
                  </w:r>
                </w:p>
              </w:tc>
            </w:tr>
            <w:tr w:rsidR="006477A8"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6477A8" w:rsidRPr="006477A8" w:rsidRDefault="006477A8" w:rsidP="0005590C">
                  <w:pPr>
                    <w:ind w:left="203"/>
                    <w:rPr>
                      <w:rFonts w:ascii="Arial" w:hAnsi="Arial" w:cs="Arial"/>
                      <w:i/>
                      <w:sz w:val="22"/>
                      <w:szCs w:val="22"/>
                    </w:rPr>
                  </w:pPr>
                </w:p>
              </w:tc>
              <w:tc>
                <w:tcPr>
                  <w:tcW w:w="4819" w:type="dxa"/>
                  <w:tcBorders>
                    <w:top w:val="single" w:sz="8" w:space="0" w:color="auto"/>
                    <w:left w:val="nil"/>
                    <w:bottom w:val="single" w:sz="8" w:space="0" w:color="auto"/>
                    <w:right w:val="single" w:sz="8" w:space="0" w:color="auto"/>
                  </w:tcBorders>
                  <w:shd w:val="clear" w:color="auto" w:fill="FFFFFF"/>
                  <w:noWrap/>
                  <w:vAlign w:val="center"/>
                </w:tcPr>
                <w:p w:rsidR="006477A8" w:rsidRPr="006477A8" w:rsidRDefault="006477A8" w:rsidP="00D769A4">
                  <w:pPr>
                    <w:pStyle w:val="text"/>
                    <w:jc w:val="right"/>
                    <w:rPr>
                      <w:rFonts w:cs="Arial"/>
                      <w:i/>
                      <w:sz w:val="22"/>
                      <w:szCs w:val="22"/>
                    </w:rPr>
                  </w:pPr>
                  <w:r w:rsidRPr="006477A8">
                    <w:rPr>
                      <w:i/>
                    </w:rPr>
                    <w:t>* Vgl. hierzu Absatz 4</w:t>
                  </w:r>
                </w:p>
              </w:tc>
            </w:tr>
          </w:tbl>
          <w:p w:rsidR="006477A8" w:rsidRPr="00C13BA0" w:rsidRDefault="006477A8" w:rsidP="006477A8">
            <w:pPr>
              <w:pStyle w:val="text"/>
            </w:pPr>
          </w:p>
          <w:p w:rsidR="00C57BF0" w:rsidRPr="009F49D2" w:rsidRDefault="00C57BF0" w:rsidP="006477A8">
            <w:pPr>
              <w:pStyle w:val="slovanseznam"/>
            </w:pPr>
            <w:r>
              <w:t>D</w:t>
            </w:r>
            <w:r w:rsidRPr="009F49D2">
              <w:t xml:space="preserve">ie Vereinbarung </w:t>
            </w:r>
            <w:r>
              <w:t xml:space="preserve">regelt </w:t>
            </w:r>
            <w:r w:rsidRPr="009F49D2">
              <w:t>die abgestimmte Abwicklung der jeweiligen Vertragsverhältnisse mit dem zukünftigen Auftragnehmer.</w:t>
            </w:r>
          </w:p>
          <w:p w:rsidR="006477A8" w:rsidRPr="00C13BA0" w:rsidRDefault="006477A8" w:rsidP="006477A8">
            <w:pPr>
              <w:pStyle w:val="text"/>
            </w:pPr>
          </w:p>
          <w:p w:rsidR="00C57BF0" w:rsidRPr="0097129D" w:rsidRDefault="00C57BF0" w:rsidP="006477A8">
            <w:pPr>
              <w:pStyle w:val="slovanseznam"/>
            </w:pPr>
            <w:r w:rsidRPr="0097129D">
              <w:t>Die Leistungen werden</w:t>
            </w:r>
            <w:r w:rsidR="008E2CD3">
              <w:t xml:space="preserve"> voraussichtlich</w:t>
            </w:r>
            <w:r w:rsidRPr="0097129D">
              <w:t xml:space="preserve"> für den Zeitraum Fahrplanwechsel Dezember 201</w:t>
            </w:r>
            <w:r w:rsidR="008E2CD3">
              <w:t>9</w:t>
            </w:r>
            <w:r w:rsidRPr="0097129D">
              <w:t xml:space="preserve"> </w:t>
            </w:r>
            <w:r w:rsidR="008E2CD3">
              <w:t xml:space="preserve">oder Dezember 2020 für 12 Fahrplanjahre, also </w:t>
            </w:r>
            <w:r w:rsidRPr="0097129D">
              <w:t xml:space="preserve">bis </w:t>
            </w:r>
            <w:r w:rsidR="008E2CD3">
              <w:t xml:space="preserve">zum </w:t>
            </w:r>
            <w:r w:rsidRPr="0097129D">
              <w:t xml:space="preserve">Fahrplanwechsel Dezember </w:t>
            </w:r>
            <w:r w:rsidR="008E2CD3">
              <w:t xml:space="preserve"> 2031 oder Dezember 2032 </w:t>
            </w:r>
            <w:r w:rsidRPr="0097129D">
              <w:t xml:space="preserve">vergeben. Abweichend dazu wird die Leistung TL 70 für den Zeitraum Fahrplanwechsel Dezember 2020 bis </w:t>
            </w:r>
            <w:r w:rsidR="008E2CD3">
              <w:t xml:space="preserve">voraussichtlich </w:t>
            </w:r>
            <w:r w:rsidRPr="0097129D">
              <w:t xml:space="preserve">ebenfalls Fahrplanwechsel </w:t>
            </w:r>
            <w:r w:rsidR="008E2CD3">
              <w:t xml:space="preserve"> Dezember 2031 oder Dezember 2032 </w:t>
            </w:r>
            <w:r w:rsidRPr="0097129D">
              <w:t xml:space="preserve">vergeben. Eine </w:t>
            </w:r>
            <w:r w:rsidR="008E2CD3">
              <w:t xml:space="preserve">kürzere </w:t>
            </w:r>
            <w:r w:rsidRPr="0097129D">
              <w:t>Laufzeit</w:t>
            </w:r>
            <w:r w:rsidR="008E2CD3">
              <w:t xml:space="preserve"> von 10 Fahrplanjahren, also für den Zeitraum Fahrplanwechsel</w:t>
            </w:r>
            <w:r w:rsidR="00E91A24">
              <w:t xml:space="preserve"> Dezember</w:t>
            </w:r>
            <w:r w:rsidR="008E2CD3">
              <w:t xml:space="preserve"> 2019 oder Dezember 2020 bis zum Fahrplanwechsel im Dezember 2029 oder 2030, </w:t>
            </w:r>
            <w:r w:rsidRPr="0097129D">
              <w:t>ist in Abhängigkeit der Ergebnisse des Verhandlungsverfahrens möglich.</w:t>
            </w:r>
          </w:p>
          <w:p w:rsidR="006477A8" w:rsidRPr="00C13BA0" w:rsidRDefault="006477A8" w:rsidP="006477A8">
            <w:pPr>
              <w:pStyle w:val="text"/>
            </w:pPr>
          </w:p>
          <w:p w:rsidR="00C57BF0" w:rsidRPr="009F49D2" w:rsidRDefault="00C57BF0" w:rsidP="006477A8">
            <w:pPr>
              <w:pStyle w:val="slovanseznam"/>
            </w:pPr>
            <w:r w:rsidRPr="009F49D2">
              <w:t>Jeder Aufgabenträger wird in seinem Zuständigkeitsbereich Vertrags</w:t>
            </w:r>
            <w:r>
              <w:t>partner des EVU</w:t>
            </w:r>
            <w:r w:rsidRPr="009F49D2">
              <w:t>, das den Zuschlag erhält. Eine gesamtschuldnerische Haftung der Aufgabenträger für die Verpflichtungen aus den Verkehrsverträgen soll hierdurch nicht begründet werden.</w:t>
            </w:r>
          </w:p>
          <w:p w:rsidR="006477A8" w:rsidRPr="00C13BA0" w:rsidRDefault="006477A8" w:rsidP="006477A8">
            <w:pPr>
              <w:pStyle w:val="text"/>
            </w:pPr>
          </w:p>
          <w:p w:rsidR="00C57BF0" w:rsidRPr="005F6B23" w:rsidRDefault="00C57BF0" w:rsidP="006477A8">
            <w:pPr>
              <w:pStyle w:val="slovanseznam"/>
            </w:pPr>
            <w:r w:rsidRPr="005F6B23">
              <w:t xml:space="preserve">Die Anzahl der </w:t>
            </w:r>
            <w:r>
              <w:t>maximal</w:t>
            </w:r>
            <w:r w:rsidRPr="005F6B23">
              <w:t xml:space="preserve"> auf den jeweiligen Aufgabenträger entfallenden Zugkilometer für ein Normjahr ergibt sich aus der Anlage A zu dieser Vereinbarung. </w:t>
            </w:r>
            <w:r>
              <w:t>Das vom EVU zu fahrende Betriebskonzept basiert auf dem gemeinsam entwickelten und beschlossenen „SPNV-Netz“.</w:t>
            </w:r>
          </w:p>
          <w:p w:rsidR="006477A8" w:rsidRPr="00C13BA0" w:rsidRDefault="006477A8" w:rsidP="006477A8">
            <w:pPr>
              <w:pStyle w:val="text"/>
            </w:pPr>
          </w:p>
          <w:p w:rsidR="00C57BF0" w:rsidRDefault="00C57BF0" w:rsidP="006477A8">
            <w:pPr>
              <w:pStyle w:val="slovanseznam"/>
            </w:pPr>
            <w:r w:rsidRPr="00E65836">
              <w:t xml:space="preserve">Der zu vergebende Verkehrsvertrag wird im ZVON als </w:t>
            </w:r>
            <w:r w:rsidRPr="00E65836">
              <w:lastRenderedPageBreak/>
              <w:t>Nettovertrag ausgestaltet (d.</w:t>
            </w:r>
            <w:r>
              <w:t> </w:t>
            </w:r>
            <w:r w:rsidRPr="00E65836">
              <w:t xml:space="preserve">h. das </w:t>
            </w:r>
            <w:r>
              <w:t>Erlös</w:t>
            </w:r>
            <w:r w:rsidRPr="00E65836">
              <w:t>risiko verbleibt be</w:t>
            </w:r>
            <w:r>
              <w:t>im EVU)</w:t>
            </w:r>
            <w:r w:rsidRPr="00E65836">
              <w:t xml:space="preserve">. </w:t>
            </w:r>
            <w:r>
              <w:t xml:space="preserve">Im LK und UK wird der Verkehrsvertrag als Bruttovertrag ausgestaltet </w:t>
            </w:r>
            <w:r w:rsidRPr="00E65836">
              <w:t>(d.</w:t>
            </w:r>
            <w:r>
              <w:t> </w:t>
            </w:r>
            <w:r w:rsidRPr="00E65836">
              <w:t xml:space="preserve">h. das </w:t>
            </w:r>
            <w:r>
              <w:t>Erlös</w:t>
            </w:r>
            <w:r w:rsidRPr="00E65836">
              <w:t>risiko verbleibt be</w:t>
            </w:r>
            <w:r>
              <w:t>im jeweiligen Aufgabenträger).</w:t>
            </w:r>
          </w:p>
          <w:p w:rsidR="006477A8" w:rsidRPr="00C13BA0" w:rsidRDefault="006477A8" w:rsidP="006477A8">
            <w:pPr>
              <w:pStyle w:val="text"/>
            </w:pPr>
          </w:p>
          <w:p w:rsidR="00C57BF0" w:rsidRPr="00E65836" w:rsidRDefault="00C57BF0" w:rsidP="006477A8">
            <w:pPr>
              <w:pStyle w:val="slovanseznam"/>
            </w:pPr>
            <w:r w:rsidRPr="00E65836">
              <w:t>Die vorliegende Vereinbarung regelt die Finanzierung des Vergabeverfahrens und trifft Regelungen zur Zusammenarbeit der Vertragsparteien bei der Planung des zukünftigen Angebots an SPNV-Leistungen.</w:t>
            </w:r>
          </w:p>
          <w:p w:rsidR="006477A8" w:rsidRPr="00C13BA0" w:rsidRDefault="006477A8" w:rsidP="006477A8">
            <w:pPr>
              <w:pStyle w:val="text"/>
            </w:pPr>
          </w:p>
          <w:p w:rsidR="00C57BF0" w:rsidRPr="007C7279" w:rsidRDefault="00C57BF0" w:rsidP="006477A8">
            <w:pPr>
              <w:pStyle w:val="slovanseznam"/>
            </w:pPr>
            <w:r w:rsidRPr="007C7279">
              <w:t>Die Verdingungsunterlagen enthalten Regelungen mindestens zu folgenden Kriterien:</w:t>
            </w:r>
          </w:p>
          <w:p w:rsidR="00C57BF0" w:rsidRPr="007C7279" w:rsidRDefault="00C57BF0" w:rsidP="006477A8">
            <w:pPr>
              <w:pStyle w:val="Seznamsodrkami3"/>
            </w:pPr>
            <w:r w:rsidRPr="007C7279">
              <w:rPr>
                <w:u w:val="single"/>
              </w:rPr>
              <w:t>Fahrzeugeinsatz</w:t>
            </w:r>
            <w:r>
              <w:rPr>
                <w:u w:val="single"/>
              </w:rPr>
              <w:t xml:space="preserve"> und Fahrzeugqualität</w:t>
            </w:r>
            <w:r w:rsidRPr="007C7279">
              <w:rPr>
                <w:u w:val="single"/>
              </w:rPr>
              <w:t>:</w:t>
            </w:r>
            <w:r w:rsidRPr="007C7279">
              <w:t xml:space="preserve"> Der Einsatz von Gebrauchtfahrzeugen ist zugelassen. </w:t>
            </w:r>
            <w:r>
              <w:t>Die Qualitätskriterien dieser Fahrzeuge müssen im Wesentlichen denen entsprechen, die die derzeit im Einsatz befindlichen Fahrzeuge aufweisen, es sei denn, die nachfolgenden Kriterien schreiben eine höhere Qualität vor.</w:t>
            </w:r>
          </w:p>
          <w:p w:rsidR="00C57BF0" w:rsidRPr="007C7279" w:rsidRDefault="00C57BF0" w:rsidP="006477A8">
            <w:pPr>
              <w:pStyle w:val="Seznamsodrkami3"/>
            </w:pPr>
            <w:r w:rsidRPr="007C7279">
              <w:rPr>
                <w:u w:val="single"/>
              </w:rPr>
              <w:t>Barrierefreiheit:</w:t>
            </w:r>
            <w:r w:rsidRPr="007C7279">
              <w:t xml:space="preserve"> Sämtliche Fahrzeuge müssen barrierefrei zugänglich sein. </w:t>
            </w:r>
          </w:p>
          <w:p w:rsidR="00C57BF0" w:rsidRPr="007C7279" w:rsidRDefault="00C57BF0" w:rsidP="006477A8">
            <w:pPr>
              <w:pStyle w:val="Seznamsodrkami3"/>
            </w:pPr>
            <w:r w:rsidRPr="007C7279">
              <w:rPr>
                <w:u w:val="single"/>
              </w:rPr>
              <w:t>Heizung</w:t>
            </w:r>
            <w:r>
              <w:rPr>
                <w:u w:val="single"/>
              </w:rPr>
              <w:t xml:space="preserve"> und Kühlung</w:t>
            </w:r>
            <w:r w:rsidRPr="007C7279">
              <w:rPr>
                <w:u w:val="single"/>
              </w:rPr>
              <w:t>:</w:t>
            </w:r>
            <w:r w:rsidRPr="007C7279">
              <w:t xml:space="preserve"> Stufenlos regelbar</w:t>
            </w:r>
          </w:p>
          <w:p w:rsidR="00C57BF0" w:rsidRPr="007C7279" w:rsidRDefault="00C57BF0" w:rsidP="006477A8">
            <w:pPr>
              <w:pStyle w:val="Seznamsodrkami3"/>
            </w:pPr>
            <w:r w:rsidRPr="00935E79">
              <w:rPr>
                <w:u w:val="single"/>
              </w:rPr>
              <w:t>Personalanforderungen:</w:t>
            </w:r>
            <w:r w:rsidRPr="007C7279">
              <w:t xml:space="preserve"> 100 % </w:t>
            </w:r>
            <w:r>
              <w:t xml:space="preserve">Abfertigung durch </w:t>
            </w:r>
            <w:r w:rsidRPr="007C7279">
              <w:t>Zugbegleitung</w:t>
            </w:r>
          </w:p>
          <w:p w:rsidR="00671C69" w:rsidRDefault="00C57BF0" w:rsidP="00EF49FF">
            <w:pPr>
              <w:pStyle w:val="Seznamsodrkami3"/>
            </w:pPr>
            <w:r w:rsidRPr="00935E79">
              <w:rPr>
                <w:u w:val="single"/>
              </w:rPr>
              <w:t>Vertrieb:</w:t>
            </w:r>
            <w:r w:rsidRPr="007C7279">
              <w:t xml:space="preserve"> Der Vertrieb ist </w:t>
            </w:r>
            <w:r>
              <w:t xml:space="preserve">grundsätzlich </w:t>
            </w:r>
            <w:r w:rsidRPr="007C7279">
              <w:t>durch das EVU zu organisieren (ohne Automa</w:t>
            </w:r>
            <w:r w:rsidR="00EF49FF">
              <w:t>ten im Zug und ohne Entwerter).</w:t>
            </w:r>
          </w:p>
        </w:tc>
      </w:tr>
      <w:tr w:rsidR="00671C69" w:rsidTr="00285A1B">
        <w:tc>
          <w:tcPr>
            <w:tcW w:w="7213" w:type="dxa"/>
          </w:tcPr>
          <w:p w:rsidR="00671C69" w:rsidRPr="00CF3D04" w:rsidRDefault="00671C69" w:rsidP="004100A6">
            <w:pPr>
              <w:pStyle w:val="Nadpis1"/>
              <w:outlineLvl w:val="0"/>
            </w:pPr>
            <w:bookmarkStart w:id="10" w:name="_Toc447179497"/>
            <w:bookmarkStart w:id="11" w:name="_Toc447185417"/>
            <w:r w:rsidRPr="00091496">
              <w:rPr>
                <w:lang w:val="cs-CZ"/>
              </w:rPr>
              <w:lastRenderedPageBreak/>
              <w:t xml:space="preserve">§ 2 Způsob a druh </w:t>
            </w:r>
            <w:r w:rsidRPr="004100A6">
              <w:t>spolupráce</w:t>
            </w:r>
            <w:bookmarkEnd w:id="10"/>
            <w:bookmarkEnd w:id="11"/>
          </w:p>
          <w:p w:rsidR="00671C69" w:rsidRPr="004100A6" w:rsidRDefault="00671C69" w:rsidP="004100A6">
            <w:pPr>
              <w:pStyle w:val="slovanseznam"/>
              <w:numPr>
                <w:ilvl w:val="0"/>
                <w:numId w:val="18"/>
              </w:numPr>
              <w:rPr>
                <w:lang w:val="cs-CZ"/>
              </w:rPr>
            </w:pPr>
            <w:r w:rsidRPr="004100A6">
              <w:rPr>
                <w:lang w:val="cs-CZ"/>
              </w:rPr>
              <w:t>Zadání výkonů regionální drážní přepravy osob pro linky uvedené v § 1 odst. 1 realizují nositelé závazku společně.</w:t>
            </w:r>
          </w:p>
          <w:p w:rsidR="004100A6" w:rsidRDefault="004100A6" w:rsidP="007C769C">
            <w:pPr>
              <w:pStyle w:val="Pokraovnseznamu"/>
              <w:rPr>
                <w:lang w:val="cs-CZ"/>
              </w:rPr>
            </w:pPr>
          </w:p>
          <w:p w:rsidR="007C769C" w:rsidRPr="005F56E5" w:rsidRDefault="007C769C" w:rsidP="007C769C">
            <w:pPr>
              <w:pStyle w:val="Pokraovnseznamu"/>
              <w:rPr>
                <w:lang w:val="cs-CZ"/>
              </w:rPr>
            </w:pPr>
          </w:p>
          <w:p w:rsidR="00671C69" w:rsidRPr="005F56E5" w:rsidRDefault="00671C69" w:rsidP="004100A6">
            <w:pPr>
              <w:pStyle w:val="slovanseznam"/>
              <w:rPr>
                <w:lang w:val="cs-CZ"/>
              </w:rPr>
            </w:pPr>
            <w:r w:rsidRPr="00091496">
              <w:rPr>
                <w:lang w:val="cs-CZ"/>
              </w:rPr>
              <w:t>Rozhodnutí a opatření v rámci přípravy a realizace výběrového řízení včetně udělení zakázky budou činěna resp. prováděna objednateli zásadně jednohlasně.</w:t>
            </w:r>
            <w:r w:rsidRPr="005F56E5">
              <w:rPr>
                <w:lang w:val="cs-CZ"/>
              </w:rPr>
              <w:t xml:space="preserve"> </w:t>
            </w:r>
            <w:r w:rsidRPr="00091496">
              <w:rPr>
                <w:lang w:val="cs-CZ"/>
              </w:rPr>
              <w:t>Pro toto je nutný písemný souhlas každého objednatele, jednohlasnost musí být písemně zdokumentována.</w:t>
            </w:r>
            <w:r w:rsidRPr="005F56E5">
              <w:rPr>
                <w:lang w:val="cs-CZ"/>
              </w:rPr>
              <w:t xml:space="preserve"> </w:t>
            </w:r>
            <w:r w:rsidRPr="00091496">
              <w:rPr>
                <w:lang w:val="cs-CZ"/>
              </w:rPr>
              <w:t>Jednomyslnosti není potřeba, pokud se bude jednat o rozhodnutí či opatření, která se jednoho z nositelů závazku nedotýkají.</w:t>
            </w:r>
            <w:r w:rsidRPr="005F56E5">
              <w:rPr>
                <w:lang w:val="cs-CZ"/>
              </w:rPr>
              <w:t xml:space="preserve"> </w:t>
            </w:r>
            <w:r w:rsidRPr="00091496">
              <w:rPr>
                <w:lang w:val="cs-CZ"/>
              </w:rPr>
              <w:t>V těchto případech mohou být vydávána rozhodnutí nebo činěna opatření bez onoho nositele závazku, jež jimi není dotčen.</w:t>
            </w:r>
            <w:r w:rsidRPr="005F56E5">
              <w:rPr>
                <w:lang w:val="cs-CZ"/>
              </w:rPr>
              <w:t xml:space="preserve"> </w:t>
            </w:r>
            <w:r w:rsidRPr="00091496">
              <w:rPr>
                <w:lang w:val="cs-CZ"/>
              </w:rPr>
              <w:t>Nositeli závazku, kterého se daná věc netýká, musí být dána příležitost k zauj</w:t>
            </w:r>
            <w:r>
              <w:rPr>
                <w:lang w:val="cs-CZ"/>
              </w:rPr>
              <w:t>e</w:t>
            </w:r>
            <w:r w:rsidRPr="00091496">
              <w:rPr>
                <w:lang w:val="cs-CZ"/>
              </w:rPr>
              <w:t>tí stanoviska.</w:t>
            </w:r>
            <w:r w:rsidRPr="005F56E5">
              <w:rPr>
                <w:lang w:val="cs-CZ"/>
              </w:rPr>
              <w:t xml:space="preserve"> </w:t>
            </w:r>
            <w:r w:rsidRPr="00091496">
              <w:rPr>
                <w:lang w:val="cs-CZ"/>
              </w:rPr>
              <w:t>Jednohlasnost vyžadují především následující opatření a rozhodnutí.</w:t>
            </w:r>
            <w:r w:rsidRPr="005F56E5">
              <w:rPr>
                <w:lang w:val="cs-CZ"/>
              </w:rPr>
              <w:t xml:space="preserve"> </w:t>
            </w:r>
          </w:p>
          <w:p w:rsidR="00671C69" w:rsidRPr="005F56E5" w:rsidRDefault="00671C69" w:rsidP="0040799C">
            <w:pPr>
              <w:pStyle w:val="slovanseznam2"/>
              <w:rPr>
                <w:b/>
                <w:i/>
                <w:lang w:val="cs-CZ"/>
              </w:rPr>
            </w:pPr>
            <w:r w:rsidRPr="00091496">
              <w:rPr>
                <w:lang w:val="cs-CZ"/>
              </w:rPr>
              <w:t>vytváření a forma zadávací dokumentace, pokud se tato dokumentace netýká oblasti působnosti p</w:t>
            </w:r>
            <w:r w:rsidR="00A24B99">
              <w:rPr>
                <w:lang w:val="cs-CZ"/>
              </w:rPr>
              <w:t>ouze jednoho z nositelů závazku,</w:t>
            </w:r>
            <w:r w:rsidRPr="005F56E5">
              <w:rPr>
                <w:lang w:val="cs-CZ"/>
              </w:rPr>
              <w:t xml:space="preserve"> </w:t>
            </w:r>
          </w:p>
          <w:p w:rsidR="00671C69" w:rsidRPr="005F56E5" w:rsidRDefault="00671C69" w:rsidP="0040799C">
            <w:pPr>
              <w:pStyle w:val="slovanseznam2"/>
              <w:rPr>
                <w:lang w:val="cs-CZ"/>
              </w:rPr>
            </w:pPr>
            <w:r w:rsidRPr="00091496">
              <w:rPr>
                <w:lang w:val="cs-CZ"/>
              </w:rPr>
              <w:t>zahájení zadávacího řízení (obsah a odeslání oznámení o zadávacím řízení),</w:t>
            </w:r>
          </w:p>
          <w:p w:rsidR="00671C69" w:rsidRPr="005F56E5" w:rsidRDefault="00671C69" w:rsidP="0040799C">
            <w:pPr>
              <w:pStyle w:val="slovanseznam2"/>
              <w:rPr>
                <w:lang w:val="cs-CZ"/>
              </w:rPr>
            </w:pPr>
            <w:r w:rsidRPr="00091496">
              <w:rPr>
                <w:lang w:val="cs-CZ"/>
              </w:rPr>
              <w:t xml:space="preserve">odpovídání dotazů účastníků řízení a námitek/výhrad dle § </w:t>
            </w:r>
            <w:r w:rsidR="00E91A24">
              <w:rPr>
                <w:lang w:val="cs-CZ"/>
              </w:rPr>
              <w:t xml:space="preserve">160 </w:t>
            </w:r>
            <w:r w:rsidRPr="00091496">
              <w:rPr>
                <w:lang w:val="cs-CZ"/>
              </w:rPr>
              <w:t>odst. 3 GWB,</w:t>
            </w:r>
          </w:p>
          <w:p w:rsidR="00671C69" w:rsidRPr="005F56E5" w:rsidRDefault="00671C69" w:rsidP="0040799C">
            <w:pPr>
              <w:pStyle w:val="slovanseznam2"/>
              <w:rPr>
                <w:lang w:val="cs-CZ"/>
              </w:rPr>
            </w:pPr>
            <w:r w:rsidRPr="00091496">
              <w:rPr>
                <w:lang w:val="cs-CZ"/>
              </w:rPr>
              <w:t>změna zadávací dokumentace, v případě, kdy se tyto změny netýkají oblasti působnosti pouze jednoho nositele závaz</w:t>
            </w:r>
            <w:r w:rsidR="00CB1933">
              <w:rPr>
                <w:lang w:val="cs-CZ"/>
              </w:rPr>
              <w:t>k</w:t>
            </w:r>
            <w:r w:rsidR="00A24B99">
              <w:rPr>
                <w:lang w:val="cs-CZ"/>
              </w:rPr>
              <w:t>u,</w:t>
            </w:r>
            <w:r w:rsidRPr="005F56E5">
              <w:rPr>
                <w:lang w:val="cs-CZ"/>
              </w:rPr>
              <w:t xml:space="preserve"> </w:t>
            </w:r>
          </w:p>
          <w:p w:rsidR="00671C69" w:rsidRPr="005F56E5" w:rsidRDefault="00671C69" w:rsidP="0040799C">
            <w:pPr>
              <w:pStyle w:val="slovanseznam2"/>
              <w:rPr>
                <w:lang w:val="cs-CZ"/>
              </w:rPr>
            </w:pPr>
            <w:r w:rsidRPr="00091496">
              <w:rPr>
                <w:lang w:val="cs-CZ"/>
              </w:rPr>
              <w:t>otevírání nabídek, nakládání se zpožděnými nabídkami,</w:t>
            </w:r>
          </w:p>
          <w:p w:rsidR="00671C69" w:rsidRPr="005F56E5" w:rsidRDefault="00671C69" w:rsidP="0040799C">
            <w:pPr>
              <w:pStyle w:val="slovanseznam2"/>
              <w:rPr>
                <w:lang w:val="en-US"/>
              </w:rPr>
            </w:pPr>
            <w:r w:rsidRPr="00091496">
              <w:rPr>
                <w:lang w:val="cs-CZ"/>
              </w:rPr>
              <w:t xml:space="preserve">realizace poučení dle § 15 </w:t>
            </w:r>
            <w:r w:rsidR="00E91A24">
              <w:rPr>
                <w:lang w:val="cs-CZ"/>
              </w:rPr>
              <w:t>odst. 5 věta 1 VgV</w:t>
            </w:r>
            <w:r w:rsidRPr="00091496">
              <w:rPr>
                <w:lang w:val="cs-CZ"/>
              </w:rPr>
              <w:t>,</w:t>
            </w:r>
          </w:p>
          <w:p w:rsidR="00671C69" w:rsidRPr="005F56E5" w:rsidRDefault="00671C69" w:rsidP="0040799C">
            <w:pPr>
              <w:pStyle w:val="slovanseznam2"/>
              <w:rPr>
                <w:lang w:val="en-US"/>
              </w:rPr>
            </w:pPr>
            <w:r w:rsidRPr="00091496">
              <w:rPr>
                <w:lang w:val="cs-CZ"/>
              </w:rPr>
              <w:t>hodnocení a vyřazování nabídek,</w:t>
            </w:r>
          </w:p>
          <w:p w:rsidR="00671C69" w:rsidRPr="005F56E5" w:rsidRDefault="00671C69" w:rsidP="0040799C">
            <w:pPr>
              <w:pStyle w:val="slovanseznam2"/>
              <w:rPr>
                <w:lang w:val="en-US"/>
              </w:rPr>
            </w:pPr>
            <w:r w:rsidRPr="00091496">
              <w:rPr>
                <w:lang w:val="cs-CZ"/>
              </w:rPr>
              <w:t>výběr uchazeče, který má získat zakázku,</w:t>
            </w:r>
          </w:p>
          <w:p w:rsidR="00671C69" w:rsidRPr="005F56E5" w:rsidRDefault="00671C69" w:rsidP="0040799C">
            <w:pPr>
              <w:pStyle w:val="slovanseznam2"/>
              <w:rPr>
                <w:lang w:val="cs-CZ"/>
              </w:rPr>
            </w:pPr>
            <w:r w:rsidRPr="00091496">
              <w:rPr>
                <w:lang w:val="cs-CZ"/>
              </w:rPr>
              <w:t xml:space="preserve">sdělení ostatním nevítězným uchazečům o zamýšleném udělení zakázky dle § </w:t>
            </w:r>
            <w:r w:rsidR="00E91A24">
              <w:rPr>
                <w:lang w:val="cs-CZ"/>
              </w:rPr>
              <w:t>134</w:t>
            </w:r>
            <w:r w:rsidR="00E91A24" w:rsidRPr="00091496">
              <w:rPr>
                <w:lang w:val="cs-CZ"/>
              </w:rPr>
              <w:t xml:space="preserve"> </w:t>
            </w:r>
            <w:r w:rsidRPr="00091496">
              <w:rPr>
                <w:lang w:val="cs-CZ"/>
              </w:rPr>
              <w:t xml:space="preserve">odst. 1 GWB a také uchazeči, </w:t>
            </w:r>
            <w:r>
              <w:rPr>
                <w:lang w:val="cs-CZ"/>
              </w:rPr>
              <w:t xml:space="preserve">jemuž </w:t>
            </w:r>
            <w:r w:rsidRPr="00091496">
              <w:rPr>
                <w:lang w:val="cs-CZ"/>
              </w:rPr>
              <w:t xml:space="preserve">má </w:t>
            </w:r>
            <w:r>
              <w:rPr>
                <w:lang w:val="cs-CZ"/>
              </w:rPr>
              <w:t>být udělena zakázka</w:t>
            </w:r>
            <w:r w:rsidRPr="00091496">
              <w:rPr>
                <w:lang w:val="cs-CZ"/>
              </w:rPr>
              <w:t>,</w:t>
            </w:r>
          </w:p>
          <w:p w:rsidR="00671C69" w:rsidRPr="005F56E5" w:rsidRDefault="00671C69" w:rsidP="0040799C">
            <w:pPr>
              <w:pStyle w:val="slovanseznam2"/>
              <w:rPr>
                <w:lang w:val="cs-CZ"/>
              </w:rPr>
            </w:pPr>
            <w:r w:rsidRPr="00091496">
              <w:rPr>
                <w:lang w:val="cs-CZ"/>
              </w:rPr>
              <w:t>udělení zakázky</w:t>
            </w:r>
            <w:r w:rsidR="00CB1933">
              <w:rPr>
                <w:lang w:val="cs-CZ"/>
              </w:rPr>
              <w:t>,</w:t>
            </w:r>
          </w:p>
          <w:p w:rsidR="00671C69" w:rsidRPr="005F56E5" w:rsidRDefault="00671C69" w:rsidP="0040799C">
            <w:pPr>
              <w:pStyle w:val="slovanseznam2"/>
              <w:rPr>
                <w:lang w:val="cs-CZ"/>
              </w:rPr>
            </w:pPr>
            <w:r w:rsidRPr="00091496">
              <w:rPr>
                <w:lang w:val="cs-CZ"/>
              </w:rPr>
              <w:t>podávání opravných prostředků</w:t>
            </w:r>
            <w:r w:rsidR="00CB1933">
              <w:rPr>
                <w:lang w:val="cs-CZ"/>
              </w:rPr>
              <w:t>,</w:t>
            </w:r>
            <w:r w:rsidRPr="005F56E5">
              <w:rPr>
                <w:lang w:val="cs-CZ"/>
              </w:rPr>
              <w:t xml:space="preserve"> </w:t>
            </w:r>
          </w:p>
          <w:p w:rsidR="00671C69" w:rsidRPr="005F56E5" w:rsidRDefault="00671C69" w:rsidP="0040799C">
            <w:pPr>
              <w:pStyle w:val="slovanseznam2"/>
              <w:rPr>
                <w:lang w:val="cs-CZ"/>
              </w:rPr>
            </w:pPr>
            <w:r w:rsidRPr="00091496">
              <w:rPr>
                <w:lang w:val="cs-CZ"/>
              </w:rPr>
              <w:lastRenderedPageBreak/>
              <w:t>případné zrušení zadávacího řízení,</w:t>
            </w:r>
            <w:r w:rsidRPr="005F56E5">
              <w:rPr>
                <w:lang w:val="cs-CZ"/>
              </w:rPr>
              <w:t xml:space="preserve"> </w:t>
            </w:r>
          </w:p>
          <w:p w:rsidR="00671C69" w:rsidRPr="005F56E5" w:rsidRDefault="00671C69" w:rsidP="0040799C">
            <w:pPr>
              <w:pStyle w:val="slovanseznam2"/>
              <w:rPr>
                <w:lang w:val="cs-CZ"/>
              </w:rPr>
            </w:pPr>
            <w:r w:rsidRPr="00091496">
              <w:rPr>
                <w:lang w:val="cs-CZ"/>
              </w:rPr>
              <w:t>procesní úkony a postupy/chování při přezkumném řízení zadávacího řízení,</w:t>
            </w:r>
          </w:p>
          <w:p w:rsidR="00671C69" w:rsidRPr="005F56E5" w:rsidRDefault="00671C69" w:rsidP="0040799C">
            <w:pPr>
              <w:pStyle w:val="slovanseznam2"/>
              <w:rPr>
                <w:lang w:val="cs-CZ"/>
              </w:rPr>
            </w:pPr>
            <w:r w:rsidRPr="00091496">
              <w:rPr>
                <w:lang w:val="cs-CZ"/>
              </w:rPr>
              <w:t>oznámení o udělení zakázky a</w:t>
            </w:r>
          </w:p>
          <w:p w:rsidR="00671C69" w:rsidRPr="005F56E5" w:rsidRDefault="00671C69" w:rsidP="0040799C">
            <w:pPr>
              <w:pStyle w:val="slovanseznam2"/>
              <w:rPr>
                <w:lang w:val="cs-CZ"/>
              </w:rPr>
            </w:pPr>
            <w:r w:rsidRPr="00091496">
              <w:rPr>
                <w:lang w:val="cs-CZ"/>
              </w:rPr>
              <w:t>práce s veřejností v souvislosti s udělením zakázky na výkony.</w:t>
            </w:r>
          </w:p>
          <w:p w:rsidR="0040799C" w:rsidRDefault="0040799C"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671C69" w:rsidRDefault="00E91A24" w:rsidP="0040799C">
            <w:pPr>
              <w:pStyle w:val="slovanseznam"/>
              <w:rPr>
                <w:lang w:val="cs-CZ"/>
              </w:rPr>
            </w:pPr>
            <w:r>
              <w:rPr>
                <w:lang w:val="cs-CZ"/>
              </w:rPr>
              <w:t>Pokud se pro to objednatelé rozhodnou, bude p</w:t>
            </w:r>
            <w:r w:rsidR="00671C69" w:rsidRPr="00091496">
              <w:rPr>
                <w:lang w:val="cs-CZ"/>
              </w:rPr>
              <w:t>ro zadávací řízení využit portál DAiSikomm®.</w:t>
            </w:r>
            <w:r w:rsidR="00671C69" w:rsidRPr="005F56E5">
              <w:rPr>
                <w:lang w:val="cs-CZ"/>
              </w:rPr>
              <w:t xml:space="preserve"> </w:t>
            </w:r>
            <w:r w:rsidR="00671C69" w:rsidRPr="00091496">
              <w:rPr>
                <w:lang w:val="cs-CZ"/>
              </w:rPr>
              <w:t xml:space="preserve">Rozdělení nákladů pro jeho zřízení a provoz </w:t>
            </w:r>
            <w:r w:rsidR="00671C69">
              <w:rPr>
                <w:lang w:val="cs-CZ"/>
              </w:rPr>
              <w:t xml:space="preserve">mezi objednatele bude </w:t>
            </w:r>
            <w:r>
              <w:rPr>
                <w:lang w:val="cs-CZ"/>
              </w:rPr>
              <w:t xml:space="preserve">v tomto případě </w:t>
            </w:r>
            <w:r w:rsidR="00671C69">
              <w:rPr>
                <w:lang w:val="cs-CZ"/>
              </w:rPr>
              <w:t>provedeno podle jejich podílu na soutěžních dopravních výkonech.</w:t>
            </w:r>
          </w:p>
          <w:p w:rsidR="0040799C" w:rsidRDefault="0040799C" w:rsidP="0040799C">
            <w:pPr>
              <w:pStyle w:val="Pokraovnseznamu"/>
              <w:rPr>
                <w:lang w:val="cs-CZ"/>
              </w:rPr>
            </w:pPr>
          </w:p>
          <w:p w:rsidR="00671C69" w:rsidRDefault="00671C69" w:rsidP="0040799C">
            <w:pPr>
              <w:pStyle w:val="Pokraovnseznamu"/>
              <w:rPr>
                <w:lang w:val="cs-CZ"/>
              </w:rPr>
            </w:pPr>
            <w:r w:rsidRPr="00091496">
              <w:rPr>
                <w:lang w:val="cs-CZ"/>
              </w:rPr>
              <w:t>V dostatečném časovém předstihu před zahájením řízení proběhne zaškolení kontaktních osob dle Od</w:t>
            </w:r>
            <w:r w:rsidRPr="00155DF4">
              <w:rPr>
                <w:lang w:val="cs-CZ"/>
              </w:rPr>
              <w:t>st. 5.</w:t>
            </w:r>
            <w:r w:rsidRPr="005F56E5">
              <w:rPr>
                <w:lang w:val="cs-CZ"/>
              </w:rPr>
              <w:t xml:space="preserve"> </w:t>
            </w:r>
          </w:p>
          <w:p w:rsidR="003B7E62" w:rsidRDefault="003B7E62" w:rsidP="0040799C">
            <w:pPr>
              <w:pStyle w:val="Pokraovnseznamu"/>
              <w:rPr>
                <w:lang w:val="cs-CZ"/>
              </w:rPr>
            </w:pPr>
          </w:p>
          <w:p w:rsidR="003B7E62" w:rsidRPr="005F56E5" w:rsidRDefault="003B7E62" w:rsidP="0040799C">
            <w:pPr>
              <w:pStyle w:val="Pokraovnseznamu"/>
              <w:rPr>
                <w:lang w:val="cs-CZ"/>
              </w:rPr>
            </w:pPr>
          </w:p>
          <w:p w:rsidR="00671C69" w:rsidRDefault="00671C69" w:rsidP="0040799C">
            <w:pPr>
              <w:pStyle w:val="slovanseznam"/>
              <w:rPr>
                <w:lang w:val="cs-CZ"/>
              </w:rPr>
            </w:pPr>
            <w:r w:rsidRPr="00091496">
              <w:rPr>
                <w:lang w:val="cs-CZ"/>
              </w:rPr>
              <w:t>LK a ÚK zplnomocňují ZVON coby kancelář zadávacího řízení, aby ve shodě s </w:t>
            </w:r>
            <w:r>
              <w:rPr>
                <w:lang w:val="cs-CZ"/>
              </w:rPr>
              <w:t xml:space="preserve">nimi </w:t>
            </w:r>
            <w:r w:rsidRPr="00091496">
              <w:rPr>
                <w:lang w:val="cs-CZ"/>
              </w:rPr>
              <w:t xml:space="preserve">a </w:t>
            </w:r>
            <w:r>
              <w:rPr>
                <w:lang w:val="cs-CZ"/>
              </w:rPr>
              <w:t xml:space="preserve">jejich </w:t>
            </w:r>
            <w:r w:rsidRPr="00091496">
              <w:rPr>
                <w:lang w:val="cs-CZ"/>
              </w:rPr>
              <w:t>jménem vedl procesní jednání a přijímal a podával prohlášení v zadávacím řízení, pokud tato dohoda nestanovuje jinak.</w:t>
            </w:r>
            <w:r w:rsidRPr="005F56E5">
              <w:rPr>
                <w:lang w:val="cs-CZ"/>
              </w:rPr>
              <w:t xml:space="preserve"> </w:t>
            </w:r>
            <w:r w:rsidRPr="00B12F4F">
              <w:rPr>
                <w:lang w:val="cs-CZ"/>
              </w:rPr>
              <w:t>V případě nutnosti vystaví LK a ÚK zvláštní plnou moc.</w:t>
            </w:r>
            <w:r w:rsidRPr="005F56E5">
              <w:rPr>
                <w:lang w:val="cs-CZ"/>
              </w:rPr>
              <w:t xml:space="preserve"> </w:t>
            </w:r>
          </w:p>
          <w:p w:rsidR="0040799C" w:rsidRDefault="0040799C" w:rsidP="0040799C">
            <w:pPr>
              <w:pStyle w:val="Pokraovnseznamu"/>
              <w:rPr>
                <w:lang w:val="cs-CZ"/>
              </w:rPr>
            </w:pPr>
          </w:p>
          <w:p w:rsidR="003B7E62" w:rsidRDefault="003B7E62" w:rsidP="0040799C">
            <w:pPr>
              <w:pStyle w:val="Pokraovnseznamu"/>
              <w:rPr>
                <w:lang w:val="cs-CZ"/>
              </w:rPr>
            </w:pPr>
          </w:p>
          <w:p w:rsidR="003B7E62" w:rsidRPr="005F56E5" w:rsidRDefault="003B7E62" w:rsidP="0040799C">
            <w:pPr>
              <w:pStyle w:val="Pokraovnseznamu"/>
              <w:rPr>
                <w:lang w:val="cs-CZ"/>
              </w:rPr>
            </w:pPr>
          </w:p>
          <w:p w:rsidR="00671C69" w:rsidRPr="005F56E5" w:rsidRDefault="00671C69" w:rsidP="0040799C">
            <w:pPr>
              <w:pStyle w:val="slovanseznam"/>
              <w:rPr>
                <w:lang w:val="cs-CZ"/>
              </w:rPr>
            </w:pPr>
            <w:r w:rsidRPr="00B12F4F">
              <w:rPr>
                <w:lang w:val="cs-CZ"/>
              </w:rPr>
              <w:t>LK a ÚK uvedou ZVONu kontaktní osobu a jejího zástupce, s cílem umožnění rychlého a bezproblémového projedná</w:t>
            </w:r>
            <w:r>
              <w:rPr>
                <w:lang w:val="cs-CZ"/>
              </w:rPr>
              <w:t>vá</w:t>
            </w:r>
            <w:r w:rsidRPr="00B12F4F">
              <w:rPr>
                <w:lang w:val="cs-CZ"/>
              </w:rPr>
              <w:t>ní jednotlivých otázek.</w:t>
            </w:r>
            <w:r w:rsidRPr="005F56E5">
              <w:rPr>
                <w:lang w:val="cs-CZ"/>
              </w:rPr>
              <w:t xml:space="preserve"> </w:t>
            </w:r>
            <w:r w:rsidRPr="00B12F4F">
              <w:rPr>
                <w:lang w:val="cs-CZ"/>
              </w:rPr>
              <w:t xml:space="preserve">Stejným způsobem uvede ZVON </w:t>
            </w:r>
            <w:r>
              <w:rPr>
                <w:lang w:val="cs-CZ"/>
              </w:rPr>
              <w:t xml:space="preserve">vůči </w:t>
            </w:r>
            <w:r w:rsidRPr="00B12F4F">
              <w:rPr>
                <w:lang w:val="cs-CZ"/>
              </w:rPr>
              <w:t>LK a ÚK kompetentní kontaktní osobu a jejího zástupce.</w:t>
            </w:r>
            <w:r>
              <w:rPr>
                <w:lang w:val="cs-CZ"/>
              </w:rPr>
              <w:t xml:space="preserve"> U kontaktních osob a jejich zástupců budou uvedeny funkce, na </w:t>
            </w:r>
            <w:r>
              <w:rPr>
                <w:lang w:val="cs-CZ"/>
              </w:rPr>
              <w:lastRenderedPageBreak/>
              <w:t>základě kterých ZVON, LK a ÚK zastupují.</w:t>
            </w:r>
          </w:p>
          <w:p w:rsidR="0040799C" w:rsidRDefault="0040799C" w:rsidP="0040799C">
            <w:pPr>
              <w:pStyle w:val="Pokraovnseznamu"/>
              <w:rPr>
                <w:lang w:val="cs-CZ"/>
              </w:rPr>
            </w:pPr>
          </w:p>
          <w:p w:rsidR="003B7E62" w:rsidRDefault="003B7E62" w:rsidP="0040799C">
            <w:pPr>
              <w:pStyle w:val="Pokraovnseznamu"/>
              <w:rPr>
                <w:lang w:val="cs-CZ"/>
              </w:rPr>
            </w:pPr>
          </w:p>
          <w:p w:rsidR="003B7E62" w:rsidRPr="005F56E5" w:rsidRDefault="003B7E62" w:rsidP="0040799C">
            <w:pPr>
              <w:pStyle w:val="Pokraovnseznamu"/>
              <w:rPr>
                <w:lang w:val="cs-CZ"/>
              </w:rPr>
            </w:pPr>
          </w:p>
          <w:p w:rsidR="00671C69" w:rsidRPr="005F56E5" w:rsidRDefault="00671C69" w:rsidP="0040799C">
            <w:pPr>
              <w:pStyle w:val="slovanseznam"/>
              <w:rPr>
                <w:lang w:val="cs-CZ"/>
              </w:rPr>
            </w:pPr>
            <w:r w:rsidRPr="00B12F4F">
              <w:rPr>
                <w:lang w:val="cs-CZ"/>
              </w:rPr>
              <w:t>ZVON pro zajištění rychlého a efektivního zpracování dotazů a případných námitek uvolní odpovídající personální zdroje během celé doby realizace zadávacího řízení.</w:t>
            </w:r>
            <w:r w:rsidRPr="005F56E5">
              <w:rPr>
                <w:lang w:val="cs-CZ"/>
              </w:rPr>
              <w:t xml:space="preserve"> </w:t>
            </w:r>
            <w:r w:rsidRPr="00B12F4F">
              <w:rPr>
                <w:lang w:val="cs-CZ"/>
              </w:rPr>
              <w:t>LK a ÚK pro zajištění rychlého a efektivního zpracování dotazů a případných námitek uvolní odpovídající personální a technické zdroje během celé doby realizace zadávacího řízení.</w:t>
            </w:r>
          </w:p>
          <w:p w:rsidR="0040799C" w:rsidRDefault="0040799C"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671C69" w:rsidRPr="005F56E5" w:rsidRDefault="00671C69" w:rsidP="0040799C">
            <w:pPr>
              <w:pStyle w:val="slovanseznam"/>
              <w:rPr>
                <w:lang w:val="cs-CZ"/>
              </w:rPr>
            </w:pPr>
            <w:r w:rsidRPr="00B12F4F">
              <w:rPr>
                <w:lang w:val="cs-CZ"/>
              </w:rPr>
              <w:t xml:space="preserve">Pro </w:t>
            </w:r>
            <w:r>
              <w:rPr>
                <w:lang w:val="cs-CZ"/>
              </w:rPr>
              <w:t xml:space="preserve">předejití právním rizikům </w:t>
            </w:r>
            <w:r w:rsidRPr="00B12F4F">
              <w:rPr>
                <w:lang w:val="cs-CZ"/>
              </w:rPr>
              <w:t>ze zpoždění bude LK a ÚK během zadávacího řízení odevzdávat nutná prohlášení, souhlasy, stanoviska atd. vůči ZVONu vždy v nejkratší možné době, v nabídkové fázi zpravidla nejpozději do pěti dnů (vyjma sobot, nedělí a státních svátků ve Svobodném státě Sasko</w:t>
            </w:r>
            <w:r w:rsidR="008453D8">
              <w:rPr>
                <w:lang w:val="cs-CZ"/>
              </w:rPr>
              <w:t xml:space="preserve"> a České republice</w:t>
            </w:r>
            <w:r w:rsidRPr="00B12F4F">
              <w:rPr>
                <w:lang w:val="cs-CZ"/>
              </w:rPr>
              <w:t>) od doručení příslušných návrhů.</w:t>
            </w:r>
            <w:r w:rsidRPr="005F56E5">
              <w:rPr>
                <w:lang w:val="cs-CZ"/>
              </w:rPr>
              <w:t xml:space="preserve"> </w:t>
            </w:r>
            <w:r w:rsidRPr="00B12F4F">
              <w:rPr>
                <w:lang w:val="cs-CZ"/>
              </w:rPr>
              <w:t>Pokud ZVON zašle LK a ÚK návrhy odpovědí na dotazy či námitky, musí být návrhy změn nebo žádosti o prodloužení lhůty sděleny ZVONu do tří dnů (vyjma sobot, nedělí a státních svátků ve Svobodném státě Sasko</w:t>
            </w:r>
            <w:r>
              <w:rPr>
                <w:lang w:val="cs-CZ"/>
              </w:rPr>
              <w:t xml:space="preserve"> a České republice</w:t>
            </w:r>
            <w:r w:rsidRPr="00B12F4F">
              <w:rPr>
                <w:lang w:val="cs-CZ"/>
              </w:rPr>
              <w:t>) s odpovídajícím zdůvodněním.</w:t>
            </w:r>
            <w:r w:rsidRPr="005F56E5">
              <w:rPr>
                <w:lang w:val="cs-CZ"/>
              </w:rPr>
              <w:t xml:space="preserve"> </w:t>
            </w:r>
            <w:r w:rsidRPr="00B12F4F">
              <w:rPr>
                <w:lang w:val="cs-CZ"/>
              </w:rPr>
              <w:t>Pokud do tří dnů nebudou ZVONu doručeny žádné pozměňovací návrhy nebo žádosti o prodloužení lhůty, bude se vycházet ze souhlasu LK a ÚK s příslušným návrhem.</w:t>
            </w:r>
          </w:p>
          <w:p w:rsidR="0040799C" w:rsidRDefault="0040799C"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3B7E62" w:rsidRPr="005F56E5" w:rsidRDefault="003B7E62" w:rsidP="0040799C">
            <w:pPr>
              <w:pStyle w:val="Pokraovnseznamu"/>
              <w:rPr>
                <w:lang w:val="cs-CZ"/>
              </w:rPr>
            </w:pPr>
          </w:p>
          <w:p w:rsidR="00671C69" w:rsidRDefault="00671C69" w:rsidP="0040799C">
            <w:pPr>
              <w:pStyle w:val="slovanseznam"/>
              <w:rPr>
                <w:lang w:val="cs-CZ"/>
              </w:rPr>
            </w:pPr>
            <w:r w:rsidRPr="00B12F4F">
              <w:rPr>
                <w:lang w:val="cs-CZ"/>
              </w:rPr>
              <w:lastRenderedPageBreak/>
              <w:t xml:space="preserve">Zákazy účasti na zadávacím řízení z právních důvodů zadávacího řízení nebo z důvodů </w:t>
            </w:r>
            <w:r>
              <w:rPr>
                <w:lang w:val="cs-CZ"/>
              </w:rPr>
              <w:t xml:space="preserve">komunálních </w:t>
            </w:r>
            <w:r w:rsidRPr="00B12F4F">
              <w:rPr>
                <w:lang w:val="cs-CZ"/>
              </w:rPr>
              <w:t>právních předpisů budou vždy řešit sami zúčastnění nositelé závazku.</w:t>
            </w:r>
            <w:r w:rsidRPr="005F56E5">
              <w:rPr>
                <w:lang w:val="cs-CZ"/>
              </w:rPr>
              <w:t xml:space="preserve"> </w:t>
            </w:r>
            <w:r w:rsidRPr="00B12F4F">
              <w:rPr>
                <w:lang w:val="cs-CZ"/>
              </w:rPr>
              <w:t>Nositelé závazku zajistí samostatně zvláště to, že se rozhodovacích procesů zadávacího řízení nebude účastnit nikdo, kdo je dle § 16 VgV vyloučen.</w:t>
            </w:r>
          </w:p>
          <w:p w:rsidR="003B7E62" w:rsidRPr="005F56E5" w:rsidRDefault="003B7E62" w:rsidP="003B7E62">
            <w:pPr>
              <w:pStyle w:val="Pokraovnseznamu"/>
              <w:rPr>
                <w:lang w:val="cs-CZ"/>
              </w:rPr>
            </w:pPr>
          </w:p>
          <w:p w:rsidR="00671C69" w:rsidRDefault="00671C69" w:rsidP="0040799C">
            <w:pPr>
              <w:pStyle w:val="slovanseznam"/>
              <w:rPr>
                <w:lang w:val="cs-CZ"/>
              </w:rPr>
            </w:pPr>
            <w:r w:rsidRPr="00B12F4F">
              <w:rPr>
                <w:lang w:val="cs-CZ"/>
              </w:rPr>
              <w:t xml:space="preserve">Smluvní strany </w:t>
            </w:r>
            <w:r w:rsidR="00D00208">
              <w:rPr>
                <w:lang w:val="cs-CZ"/>
              </w:rPr>
              <w:t xml:space="preserve">se </w:t>
            </w:r>
            <w:r w:rsidRPr="00B12F4F">
              <w:rPr>
                <w:lang w:val="cs-CZ"/>
              </w:rPr>
              <w:t xml:space="preserve">dohodly </w:t>
            </w:r>
            <w:r>
              <w:rPr>
                <w:lang w:val="cs-CZ"/>
              </w:rPr>
              <w:t xml:space="preserve">na zachovávání </w:t>
            </w:r>
            <w:r w:rsidRPr="00B12F4F">
              <w:rPr>
                <w:lang w:val="cs-CZ"/>
              </w:rPr>
              <w:t>mlčenlivost</w:t>
            </w:r>
            <w:r>
              <w:rPr>
                <w:lang w:val="cs-CZ"/>
              </w:rPr>
              <w:t>i</w:t>
            </w:r>
            <w:r w:rsidRPr="00B12F4F">
              <w:rPr>
                <w:lang w:val="cs-CZ"/>
              </w:rPr>
              <w:t xml:space="preserve"> ohledně všech okolností a informací, o nichž se v rámci přípravy a realizace zadávacího řízení dozví, pokud se netýkají výhradně toho kterého příslušného objednatele.</w:t>
            </w:r>
            <w:r w:rsidRPr="005F56E5">
              <w:rPr>
                <w:lang w:val="cs-CZ"/>
              </w:rPr>
              <w:t xml:space="preserve"> </w:t>
            </w:r>
            <w:r w:rsidRPr="00B12F4F">
              <w:rPr>
                <w:lang w:val="cs-CZ"/>
              </w:rPr>
              <w:t>Toto neplatí pro zákonem stanovené povinnosti poskytování informací vůči dozorujícím orgánům a také v rámci poradenské činnosti právních zástupců, daňových poradců a auditorů.</w:t>
            </w:r>
            <w:r w:rsidRPr="005F56E5">
              <w:rPr>
                <w:lang w:val="cs-CZ"/>
              </w:rPr>
              <w:t xml:space="preserve"> </w:t>
            </w:r>
          </w:p>
          <w:p w:rsidR="003B7E62" w:rsidRDefault="003B7E62" w:rsidP="003B7E62">
            <w:pPr>
              <w:pStyle w:val="Pokraovnseznamu"/>
              <w:rPr>
                <w:lang w:val="cs-CZ"/>
              </w:rPr>
            </w:pPr>
          </w:p>
          <w:p w:rsidR="003B7E62" w:rsidRDefault="003B7E62" w:rsidP="003B7E62">
            <w:pPr>
              <w:pStyle w:val="Pokraovnseznamu"/>
              <w:rPr>
                <w:lang w:val="cs-CZ"/>
              </w:rPr>
            </w:pPr>
          </w:p>
          <w:p w:rsidR="003B7E62" w:rsidRPr="005F56E5" w:rsidRDefault="003B7E62" w:rsidP="003B7E62">
            <w:pPr>
              <w:pStyle w:val="Pokraovnseznamu"/>
              <w:rPr>
                <w:lang w:val="cs-CZ"/>
              </w:rPr>
            </w:pPr>
          </w:p>
          <w:p w:rsidR="00671C69" w:rsidRDefault="00671C69" w:rsidP="003B7E62">
            <w:pPr>
              <w:pStyle w:val="slovanseznam"/>
            </w:pPr>
            <w:r w:rsidRPr="00B12F4F">
              <w:rPr>
                <w:lang w:val="cs-CZ"/>
              </w:rPr>
              <w:t xml:space="preserve">Smluvní strany zajistí, že </w:t>
            </w:r>
            <w:r>
              <w:rPr>
                <w:lang w:val="cs-CZ"/>
              </w:rPr>
              <w:t xml:space="preserve">k </w:t>
            </w:r>
            <w:r w:rsidRPr="00B12F4F">
              <w:rPr>
                <w:lang w:val="cs-CZ"/>
              </w:rPr>
              <w:t>informac</w:t>
            </w:r>
            <w:r>
              <w:rPr>
                <w:lang w:val="cs-CZ"/>
              </w:rPr>
              <w:t>ím</w:t>
            </w:r>
            <w:r w:rsidRPr="00B12F4F">
              <w:rPr>
                <w:lang w:val="cs-CZ"/>
              </w:rPr>
              <w:t xml:space="preserve">, které </w:t>
            </w:r>
            <w:r>
              <w:rPr>
                <w:lang w:val="cs-CZ"/>
              </w:rPr>
              <w:t>vzniknou</w:t>
            </w:r>
            <w:r w:rsidRPr="00B12F4F">
              <w:rPr>
                <w:lang w:val="cs-CZ"/>
              </w:rPr>
              <w:t xml:space="preserve"> v rámci zadávacího řízení – nezávisle na tom, zda se tak stane ústně, v papírové podobě nebo v elektronické podobě – budou </w:t>
            </w:r>
            <w:r>
              <w:rPr>
                <w:lang w:val="cs-CZ"/>
              </w:rPr>
              <w:t xml:space="preserve">mít přístup </w:t>
            </w:r>
            <w:r w:rsidRPr="00B12F4F">
              <w:rPr>
                <w:lang w:val="cs-CZ"/>
              </w:rPr>
              <w:t>pouze ti pracovníci v takovém rozsahu, který je nutný pro řádné zpracovávání.</w:t>
            </w:r>
            <w:r w:rsidRPr="005F56E5">
              <w:rPr>
                <w:lang w:val="cs-CZ"/>
              </w:rPr>
              <w:t xml:space="preserve"> </w:t>
            </w:r>
          </w:p>
        </w:tc>
        <w:tc>
          <w:tcPr>
            <w:tcW w:w="7214" w:type="dxa"/>
          </w:tcPr>
          <w:p w:rsidR="00C57BF0" w:rsidRPr="00CF3D04" w:rsidRDefault="00C57BF0" w:rsidP="00B963A8">
            <w:pPr>
              <w:pStyle w:val="Nadpis2"/>
              <w:outlineLvl w:val="1"/>
            </w:pPr>
            <w:bookmarkStart w:id="12" w:name="_Toc447179468"/>
            <w:bookmarkStart w:id="13" w:name="_Toc447185428"/>
            <w:r w:rsidRPr="00CF3D04">
              <w:lastRenderedPageBreak/>
              <w:t xml:space="preserve">§ 2 Art und Weise der </w:t>
            </w:r>
            <w:r w:rsidRPr="00B963A8">
              <w:t>Kooperation</w:t>
            </w:r>
            <w:bookmarkEnd w:id="12"/>
            <w:bookmarkEnd w:id="13"/>
          </w:p>
          <w:p w:rsidR="007C769C" w:rsidRPr="007C769C" w:rsidRDefault="00C57BF0" w:rsidP="007C769C">
            <w:pPr>
              <w:pStyle w:val="slovanseznam"/>
              <w:numPr>
                <w:ilvl w:val="0"/>
                <w:numId w:val="20"/>
              </w:numPr>
              <w:rPr>
                <w:rFonts w:cs="Arial"/>
                <w:sz w:val="22"/>
                <w:szCs w:val="22"/>
              </w:rPr>
            </w:pPr>
            <w:r w:rsidRPr="00CF3D04">
              <w:t xml:space="preserve">Die Vergabe der SPNV-Leistungen für die in § 1 Absatz 1 genannten Linien erfolgt gemeinsam durch die </w:t>
            </w:r>
            <w:r w:rsidRPr="00CF3D04">
              <w:lastRenderedPageBreak/>
              <w:t>Aufgabenträger.</w:t>
            </w:r>
          </w:p>
          <w:p w:rsidR="007C769C" w:rsidRPr="007C769C" w:rsidRDefault="007C769C" w:rsidP="007C769C">
            <w:pPr>
              <w:pStyle w:val="Pokraovnseznamu"/>
            </w:pPr>
          </w:p>
          <w:p w:rsidR="00C57BF0" w:rsidRPr="007C769C" w:rsidRDefault="00C57BF0" w:rsidP="007C769C">
            <w:pPr>
              <w:pStyle w:val="slovanseznam"/>
              <w:numPr>
                <w:ilvl w:val="0"/>
                <w:numId w:val="20"/>
              </w:numPr>
            </w:pPr>
            <w:r w:rsidRPr="007C769C">
              <w:t xml:space="preserve">Entscheidungen und Maßnahmen im Rahmen der Vorbereitung und Durchführung der Ausschreibung einschließlich der Zuschlagserteilung werden durch die Aufgabenträger grundsätzlich einstimmig getroffen bzw. durchgeführt. Hierfür ist die schriftliche Zustimmung jedes Aufgabenträgers erforderlich, die Einstimmigkeit ist schriftlich zu dokumentieren. Der Einstimmigkeit bedarf es nicht, wenn es um Entscheidungen oder Maßnahmen geht, die einen Aufgabenträger nicht betreffen. In diesen Fällen können die Entscheidungen oder Maßnahmen ohne den nicht betroffenen Aufgabenträger ergehen. Dem nicht betroffenen Aufgabenträger ist Gelegenheit zur Stellungnahme zu geben. Der Einstimmigkeit bedürfen insbesondere folgende Maßnahmen und Entscheidungen: </w:t>
            </w:r>
          </w:p>
          <w:p w:rsidR="00C57BF0" w:rsidRPr="003B7E62" w:rsidRDefault="00C57BF0" w:rsidP="003B7E62">
            <w:pPr>
              <w:pStyle w:val="slovanseznam2"/>
              <w:numPr>
                <w:ilvl w:val="0"/>
                <w:numId w:val="22"/>
              </w:numPr>
              <w:rPr>
                <w:b/>
                <w:i/>
              </w:rPr>
            </w:pPr>
            <w:r w:rsidRPr="00CF3D04">
              <w:t xml:space="preserve">die Ausgestaltung der Vergabeunterlagen, soweit die Vergabeunterlagen nicht nur den Zuständigkeitsbereich eines Aufgabenträgers betreffen. </w:t>
            </w:r>
          </w:p>
          <w:p w:rsidR="00C57BF0" w:rsidRPr="00CF3D04" w:rsidRDefault="00C57BF0" w:rsidP="007C769C">
            <w:pPr>
              <w:pStyle w:val="slovanseznam2"/>
            </w:pPr>
            <w:r w:rsidRPr="00CF3D04">
              <w:t>die Einleitung des Vergabeverfahrens (Inhalt und Absendung der Vergabebekanntmachung),</w:t>
            </w:r>
          </w:p>
          <w:p w:rsidR="00C57BF0" w:rsidRPr="00CF3D04" w:rsidRDefault="00C57BF0" w:rsidP="007C769C">
            <w:pPr>
              <w:pStyle w:val="slovanseznam2"/>
            </w:pPr>
            <w:r w:rsidRPr="00CF3D04">
              <w:t>die Beantwortung von Rückfragen der Verfahrensteilnehmer und von Rügen nach § </w:t>
            </w:r>
            <w:r w:rsidR="008E2CD3">
              <w:t xml:space="preserve">160 </w:t>
            </w:r>
            <w:r w:rsidRPr="00CF3D04">
              <w:t>Abs. 3 GWB,</w:t>
            </w:r>
          </w:p>
          <w:p w:rsidR="00C57BF0" w:rsidRPr="00CF3D04" w:rsidRDefault="00C57BF0" w:rsidP="007C769C">
            <w:pPr>
              <w:pStyle w:val="slovanseznam2"/>
            </w:pPr>
            <w:r w:rsidRPr="00CF3D04">
              <w:t>die Veränderung der Vergabeunterlagen, soweit diese Veränderungen nicht nur den Z</w:t>
            </w:r>
            <w:r w:rsidRPr="005F6B23">
              <w:t>u</w:t>
            </w:r>
            <w:r w:rsidRPr="00CF3D04">
              <w:t xml:space="preserve">ständigkeitsbereich eines Aufgabenträgers treffen, </w:t>
            </w:r>
          </w:p>
          <w:p w:rsidR="00C57BF0" w:rsidRPr="00CF3D04" w:rsidRDefault="00C57BF0" w:rsidP="007C769C">
            <w:pPr>
              <w:pStyle w:val="slovanseznam2"/>
            </w:pPr>
            <w:r w:rsidRPr="00CF3D04">
              <w:t>die Öffnung der Angebote, Behandlung verspäteter Angebote,</w:t>
            </w:r>
          </w:p>
          <w:p w:rsidR="00C57BF0" w:rsidRPr="00CF3D04" w:rsidRDefault="00C57BF0" w:rsidP="007C769C">
            <w:pPr>
              <w:pStyle w:val="slovanseznam2"/>
            </w:pPr>
            <w:r w:rsidRPr="00CF3D04">
              <w:t xml:space="preserve">die Durchführung einer Aufklärung </w:t>
            </w:r>
            <w:r w:rsidR="00CE1E51">
              <w:t xml:space="preserve">entsprechend </w:t>
            </w:r>
            <w:r w:rsidRPr="00CF3D04">
              <w:t xml:space="preserve">§ 15 </w:t>
            </w:r>
            <w:r w:rsidR="00CE1E51">
              <w:t>Abs. 5 Satz 1 VgV</w:t>
            </w:r>
            <w:r w:rsidRPr="00CF3D04">
              <w:t>,</w:t>
            </w:r>
          </w:p>
          <w:p w:rsidR="00C57BF0" w:rsidRPr="00CF3D04" w:rsidRDefault="00C57BF0" w:rsidP="007C769C">
            <w:pPr>
              <w:pStyle w:val="slovanseznam2"/>
            </w:pPr>
            <w:r w:rsidRPr="00CF3D04">
              <w:t>die Wertung und der Ausschluss von Angeboten,</w:t>
            </w:r>
          </w:p>
          <w:p w:rsidR="00C57BF0" w:rsidRPr="00CF3D04" w:rsidRDefault="00C57BF0" w:rsidP="007C769C">
            <w:pPr>
              <w:pStyle w:val="slovanseznam2"/>
            </w:pPr>
            <w:r w:rsidRPr="00CF3D04">
              <w:t>die Auswahl des Bieters, der den Zuschlag erhalten soll,</w:t>
            </w:r>
          </w:p>
          <w:p w:rsidR="00C57BF0" w:rsidRPr="00CF3D04" w:rsidRDefault="00C57BF0" w:rsidP="007C769C">
            <w:pPr>
              <w:pStyle w:val="slovanseznam2"/>
            </w:pPr>
            <w:r w:rsidRPr="00CF3D04">
              <w:lastRenderedPageBreak/>
              <w:t xml:space="preserve">die Mitteilung über den beabsichtigten Zuschlag an die unterlegenen Bieter nach § </w:t>
            </w:r>
            <w:r w:rsidR="00CE1E51">
              <w:t xml:space="preserve">134 </w:t>
            </w:r>
            <w:r w:rsidR="00CE1E51" w:rsidRPr="00CF3D04">
              <w:t xml:space="preserve"> </w:t>
            </w:r>
            <w:r w:rsidRPr="00CF3D04">
              <w:t>Abs. 1 GWB sowie an den für den Zuschlag vorgesehenen Bieter,</w:t>
            </w:r>
          </w:p>
          <w:p w:rsidR="00C57BF0" w:rsidRPr="00CF3D04" w:rsidRDefault="00C57BF0" w:rsidP="007C769C">
            <w:pPr>
              <w:pStyle w:val="slovanseznam2"/>
            </w:pPr>
            <w:r w:rsidRPr="00CF3D04">
              <w:t>die Erteilung des Zuschlages</w:t>
            </w:r>
          </w:p>
          <w:p w:rsidR="00C57BF0" w:rsidRPr="00CF3D04" w:rsidRDefault="00C57BF0" w:rsidP="007C769C">
            <w:pPr>
              <w:pStyle w:val="slovanseznam2"/>
            </w:pPr>
            <w:r w:rsidRPr="00CF3D04">
              <w:t xml:space="preserve">die Einlegung von Rechtsbehelfen </w:t>
            </w:r>
          </w:p>
          <w:p w:rsidR="00C57BF0" w:rsidRPr="00CF3D04" w:rsidRDefault="00C57BF0" w:rsidP="007C769C">
            <w:pPr>
              <w:pStyle w:val="slovanseznam2"/>
            </w:pPr>
            <w:r w:rsidRPr="00CF3D04">
              <w:t xml:space="preserve">die eventuelle Aufhebung des Vergabeverfahrens, </w:t>
            </w:r>
          </w:p>
          <w:p w:rsidR="00C57BF0" w:rsidRPr="00CF3D04" w:rsidRDefault="00C57BF0" w:rsidP="007C769C">
            <w:pPr>
              <w:pStyle w:val="slovanseznam2"/>
            </w:pPr>
            <w:r w:rsidRPr="00CF3D04">
              <w:t>Verfahrenshandlungen und Verhalten im Vergabenachprüfungsverfahren,</w:t>
            </w:r>
          </w:p>
          <w:p w:rsidR="00C57BF0" w:rsidRDefault="00C57BF0" w:rsidP="007C769C">
            <w:pPr>
              <w:pStyle w:val="slovanseznam2"/>
            </w:pPr>
            <w:r w:rsidRPr="00CF3D04">
              <w:t>Bekanntgabe des Zuschlages und</w:t>
            </w:r>
          </w:p>
          <w:p w:rsidR="003146B3" w:rsidRDefault="003146B3" w:rsidP="003146B3">
            <w:pPr>
              <w:pStyle w:val="slovanseznam2"/>
            </w:pPr>
            <w:r w:rsidRPr="003146B3">
              <w:t>die Öffentlichkeitsarbeit über die Vergabe der Leistungen.</w:t>
            </w:r>
          </w:p>
          <w:p w:rsidR="003B7E62" w:rsidRPr="00CF3D04" w:rsidRDefault="003B7E62" w:rsidP="003B7E62">
            <w:pPr>
              <w:pStyle w:val="Pokraovnseznamu"/>
            </w:pPr>
          </w:p>
          <w:p w:rsidR="00C57BF0" w:rsidRDefault="00C57BF0" w:rsidP="003B7E62">
            <w:pPr>
              <w:pStyle w:val="slovanseznam"/>
            </w:pPr>
            <w:r w:rsidRPr="003953BC">
              <w:t>Für das Vergabeverfahren wird</w:t>
            </w:r>
            <w:r w:rsidR="00F906D4">
              <w:t>, sofern die Aufgabenträger sich dafür entscheiden,</w:t>
            </w:r>
            <w:r w:rsidRPr="003953BC">
              <w:t xml:space="preserve"> das Portal DAiSikomm® verwendet. Die Kostenaufteilung für seine Einrichtung </w:t>
            </w:r>
            <w:r>
              <w:t xml:space="preserve">und den Betrieb erfolgt </w:t>
            </w:r>
            <w:r w:rsidR="00F906D4">
              <w:t xml:space="preserve">in diesem Fall </w:t>
            </w:r>
            <w:r>
              <w:t xml:space="preserve">zwischen den Aufgabenträgern </w:t>
            </w:r>
            <w:r w:rsidRPr="00CF3D04">
              <w:t>nach ihre</w:t>
            </w:r>
            <w:r>
              <w:t>m</w:t>
            </w:r>
            <w:r w:rsidRPr="00CF3D04">
              <w:t xml:space="preserve"> prozentualen Anteil an den ausgeschriebenen Verkehrsleistungen</w:t>
            </w:r>
            <w:r>
              <w:t>.</w:t>
            </w:r>
          </w:p>
          <w:p w:rsidR="003B7E62" w:rsidRDefault="003B7E62" w:rsidP="003B7E62">
            <w:pPr>
              <w:pStyle w:val="Pokraovnseznamu"/>
            </w:pPr>
          </w:p>
          <w:p w:rsidR="00C57BF0" w:rsidRDefault="00C57BF0" w:rsidP="003B7E62">
            <w:pPr>
              <w:pStyle w:val="Pokraovnseznamu"/>
            </w:pPr>
            <w:r>
              <w:t>Rechtzeitig vor Verfahrenseröffnung erfolgt eine Einweisung der Ansprechpartner gemäß Absatz 5.</w:t>
            </w:r>
            <w:bookmarkStart w:id="14" w:name="os_autosavelastposition11941"/>
            <w:bookmarkEnd w:id="14"/>
            <w:r>
              <w:t xml:space="preserve"> </w:t>
            </w:r>
          </w:p>
          <w:p w:rsidR="003B7E62" w:rsidRPr="00CF3D04" w:rsidRDefault="003B7E62" w:rsidP="003B7E62">
            <w:pPr>
              <w:pStyle w:val="Pokraovnseznamu"/>
            </w:pPr>
          </w:p>
          <w:p w:rsidR="00C57BF0" w:rsidRDefault="00C57BF0" w:rsidP="003B7E62">
            <w:pPr>
              <w:pStyle w:val="slovanseznam"/>
            </w:pPr>
            <w:r w:rsidRPr="00CF3D04">
              <w:t xml:space="preserve">Der </w:t>
            </w:r>
            <w:r>
              <w:t>LK und der UK</w:t>
            </w:r>
            <w:r w:rsidRPr="00CF3D04">
              <w:t xml:space="preserve"> bevollmächtig</w:t>
            </w:r>
            <w:r>
              <w:t>en</w:t>
            </w:r>
            <w:r w:rsidRPr="00CF3D04">
              <w:t xml:space="preserve"> den ZVON, als Vergabebüro in Abstimmung mit ihm und in seinem Namen Verfahrenshandlungen durchzuführen und Erklärungen im Vergabeverfahren abzugeben und anzunehmen, soweit diese Vereinb</w:t>
            </w:r>
            <w:r w:rsidRPr="005F6B23">
              <w:t>a</w:t>
            </w:r>
            <w:r w:rsidRPr="00CF3D04">
              <w:t xml:space="preserve">rung nichts anderes regelt. Soweit nötig, </w:t>
            </w:r>
            <w:r>
              <w:t>werden</w:t>
            </w:r>
            <w:r w:rsidRPr="00CF3D04">
              <w:t xml:space="preserve"> der </w:t>
            </w:r>
            <w:r>
              <w:t>LK und der UK</w:t>
            </w:r>
            <w:r w:rsidRPr="00CF3D04">
              <w:t xml:space="preserve"> </w:t>
            </w:r>
            <w:r>
              <w:t xml:space="preserve">eine </w:t>
            </w:r>
            <w:r w:rsidRPr="00CF3D04">
              <w:t xml:space="preserve">gesonderte Vollmachtsurkunde ausstellen. </w:t>
            </w:r>
          </w:p>
          <w:p w:rsidR="003B7E62" w:rsidRDefault="003B7E62" w:rsidP="003B7E62">
            <w:pPr>
              <w:pStyle w:val="Pokraovnseznamu"/>
            </w:pPr>
          </w:p>
          <w:p w:rsidR="00C57BF0" w:rsidRPr="00CF3D04" w:rsidRDefault="00C57BF0" w:rsidP="003B7E62">
            <w:pPr>
              <w:pStyle w:val="slovanseznam"/>
            </w:pPr>
            <w:r w:rsidRPr="00CF3D04">
              <w:t xml:space="preserve">Der </w:t>
            </w:r>
            <w:r>
              <w:t>LK und der UK</w:t>
            </w:r>
            <w:r w:rsidRPr="00CF3D04">
              <w:t xml:space="preserve"> benenn</w:t>
            </w:r>
            <w:r>
              <w:t>en</w:t>
            </w:r>
            <w:r w:rsidRPr="00CF3D04">
              <w:t xml:space="preserve"> dem ZVON einen zuständigen Ansprechpartner und seinen Stellvertreter, um eine jeweils kurzfristige und reibungslose Abstimmung einzelner Fragen zu ermöglichen. Ebenso benenn</w:t>
            </w:r>
            <w:r>
              <w:t xml:space="preserve">t </w:t>
            </w:r>
            <w:r w:rsidRPr="00CF3D04">
              <w:t xml:space="preserve">der ZVON dem </w:t>
            </w:r>
            <w:r>
              <w:t xml:space="preserve">LK und dem </w:t>
            </w:r>
            <w:r>
              <w:lastRenderedPageBreak/>
              <w:t>UK</w:t>
            </w:r>
            <w:r w:rsidRPr="00CF3D04">
              <w:t xml:space="preserve"> einen zuständigen Ansprechpartner und seinen Stellve</w:t>
            </w:r>
            <w:r w:rsidRPr="005F6B23">
              <w:t>r</w:t>
            </w:r>
            <w:r w:rsidRPr="00CF3D04">
              <w:t>treter.</w:t>
            </w:r>
            <w:r>
              <w:t xml:space="preserve"> Bei den </w:t>
            </w:r>
            <w:r w:rsidRPr="00CF3D04">
              <w:t>Ansprechpartner</w:t>
            </w:r>
            <w:r>
              <w:t>n</w:t>
            </w:r>
            <w:r w:rsidRPr="00CF3D04">
              <w:t xml:space="preserve"> und </w:t>
            </w:r>
            <w:r>
              <w:t xml:space="preserve">deren </w:t>
            </w:r>
            <w:r w:rsidRPr="00CF3D04">
              <w:t>Stellvertreter</w:t>
            </w:r>
            <w:r>
              <w:t xml:space="preserve">n wird jeweils die Funktion angegeben, auf deren Grundlage sie den ZVON, den LK und den UK vertreten. </w:t>
            </w:r>
          </w:p>
          <w:p w:rsidR="003B7E62" w:rsidRDefault="003B7E62" w:rsidP="003B7E62">
            <w:pPr>
              <w:pStyle w:val="Pokraovnseznamu"/>
            </w:pPr>
          </w:p>
          <w:p w:rsidR="00C57BF0" w:rsidRPr="00CF3D04" w:rsidRDefault="00C57BF0" w:rsidP="003B7E62">
            <w:pPr>
              <w:pStyle w:val="slovanseznam"/>
            </w:pPr>
            <w:r w:rsidRPr="00CF3D04">
              <w:t xml:space="preserve">Der ZVON wird zur Sicherstellung einer schnellen und effektiven Bearbeitung von Rückfragen und etwaigen Rügen die Bereitstellung entsprechender personeller Ressourcen während der gesamten Dauer des Vergabeverfahrens gewährleisten. </w:t>
            </w:r>
            <w:r>
              <w:t>Der LK und der UK werden</w:t>
            </w:r>
            <w:r w:rsidRPr="00CF3D04">
              <w:t xml:space="preserve"> zur Sicherstellung einer schnellen und effektiven Bearbeitung von Rückfragen und möglichen Rügen die Bereitstellung entsprechender personeller und technischer Ressourcen während der gesamten Dauer des Vergabeverfahrens gewährleisten.</w:t>
            </w:r>
          </w:p>
          <w:p w:rsidR="003B7E62" w:rsidRDefault="003B7E62" w:rsidP="003B7E62">
            <w:pPr>
              <w:pStyle w:val="Pokraovnseznamu"/>
            </w:pPr>
          </w:p>
          <w:p w:rsidR="00C57BF0" w:rsidRPr="005F6B23" w:rsidRDefault="00C57BF0" w:rsidP="003B7E62">
            <w:pPr>
              <w:pStyle w:val="slovanseznam"/>
            </w:pPr>
            <w:r w:rsidRPr="00CF3D04">
              <w:t xml:space="preserve">Während des Vergabeverfahrens </w:t>
            </w:r>
            <w:r>
              <w:t>geben der LK und der UK</w:t>
            </w:r>
            <w:r w:rsidRPr="00CF3D04">
              <w:t xml:space="preserve"> zur Vermeidung von rechtlichen Risiken durch Verzögerungen die notwendigen Erklärungen, Zustimmungen, Stellungnahmen usw. gegenüber dem ZVON jeweils schnellstmöglich, in der Angebotsphase in der Regel jedoch spätestens innerhalb von </w:t>
            </w:r>
            <w:r>
              <w:t>fünf</w:t>
            </w:r>
            <w:r w:rsidRPr="00CF3D04">
              <w:t xml:space="preserve"> Tagen (Samstage, Sonntage und gesetzliche Feiertage im Freistaat Sachsen </w:t>
            </w:r>
            <w:r>
              <w:t xml:space="preserve">und der Tschechischen Republik </w:t>
            </w:r>
            <w:r w:rsidRPr="00CF3D04">
              <w:t xml:space="preserve">zählen nicht mit) nach Zugang des jeweiligen Vorschlags ab. Wenn der ZVON dem </w:t>
            </w:r>
            <w:r>
              <w:t xml:space="preserve">LK und dem UK </w:t>
            </w:r>
            <w:r w:rsidRPr="00CF3D04">
              <w:t>Entwü</w:t>
            </w:r>
            <w:r w:rsidRPr="005F6B23">
              <w:t>rfe für Antworten auf Rückfragen oder Rügen zuleite</w:t>
            </w:r>
            <w:r>
              <w:t>t</w:t>
            </w:r>
            <w:r w:rsidRPr="005F6B23">
              <w:t xml:space="preserve">, sind Änderungswünsche oder Bitten um Fristverlängerung dem ZVON </w:t>
            </w:r>
            <w:r>
              <w:t xml:space="preserve">in der Regel </w:t>
            </w:r>
            <w:r w:rsidRPr="005F6B23">
              <w:t xml:space="preserve">innerhalb von </w:t>
            </w:r>
            <w:r>
              <w:t>drei</w:t>
            </w:r>
            <w:r w:rsidRPr="005F6B23">
              <w:t xml:space="preserve"> Tagen (Samstage, Sonntage und gesetzliche Feiertage im Freistaat Sachsen </w:t>
            </w:r>
            <w:r w:rsidR="008453D8">
              <w:t xml:space="preserve">und der Tschechischen Republik </w:t>
            </w:r>
            <w:r w:rsidRPr="005F6B23">
              <w:t xml:space="preserve">zählen nicht mit) mit entsprechender Begründung mitzuteilen. Gehen innerhalb von drei Tagen keine Änderungswünsche oder Bitten um Fristverlängerung beim ZVON ein, ist von einer Zustimmung des </w:t>
            </w:r>
            <w:r>
              <w:t>LK und des UK</w:t>
            </w:r>
            <w:r w:rsidRPr="005F6B23">
              <w:t xml:space="preserve"> zum jeweiligen Entwurf </w:t>
            </w:r>
            <w:r w:rsidRPr="005F6B23">
              <w:lastRenderedPageBreak/>
              <w:t>auszugehen.</w:t>
            </w:r>
          </w:p>
          <w:p w:rsidR="003B7E62" w:rsidRDefault="003B7E62" w:rsidP="003B7E62">
            <w:pPr>
              <w:pStyle w:val="Pokraovnseznamu"/>
            </w:pPr>
          </w:p>
          <w:p w:rsidR="00C57BF0" w:rsidRPr="005F6B23" w:rsidRDefault="00C57BF0" w:rsidP="003B7E62">
            <w:pPr>
              <w:pStyle w:val="slovanseznam"/>
            </w:pPr>
            <w:r w:rsidRPr="005F6B23">
              <w:t>Vergaberechtliche oder kommunalrechtliche Mitwirkungsverbote werden durch die beteiligten Aufgabenträger jeweils selbst geklärt. Insbesondere stellen die Aufgabenträger jeweils selbständig sicher, dass niemand an Entscheidungen in dem Vergabeverfahren mitwirkt, der gemäß § 16 VgV ausgeschlossen ist.</w:t>
            </w:r>
          </w:p>
          <w:p w:rsidR="003B7E62" w:rsidRDefault="003B7E62" w:rsidP="003B7E62">
            <w:pPr>
              <w:pStyle w:val="Pokraovnseznamu"/>
            </w:pPr>
          </w:p>
          <w:p w:rsidR="00C57BF0" w:rsidRPr="00CF3D04" w:rsidRDefault="00C57BF0" w:rsidP="003B7E62">
            <w:pPr>
              <w:pStyle w:val="slovanseznam"/>
            </w:pPr>
            <w:r w:rsidRPr="005F6B23">
              <w:t>Die Parteien vereinbaren Verschwiegenheit hinsichtlich aller Umstände und Informationen, von denen sie im Rahmen der Vorbereitung und Durchführung des Vergabeverfahrens Kenntnis erlangen, soweit sie nicht allein den jeweiligen Aufgabenträger selbst betreffen. Dies gilt nicht für gesetzliche Mitteilungspflichten oder Mitteilungspflichten gegenüber Aufsichtsgremien und -behörden sowie im Rahmen einer Beratung durch Rechtsanwälte, Steu</w:t>
            </w:r>
            <w:r w:rsidRPr="00CF3D04">
              <w:t xml:space="preserve">erberater oder Wirtschaftsprüfer. </w:t>
            </w:r>
          </w:p>
          <w:p w:rsidR="003B7E62" w:rsidRDefault="003B7E62" w:rsidP="003B7E62">
            <w:pPr>
              <w:pStyle w:val="Pokraovnseznamu"/>
            </w:pPr>
          </w:p>
          <w:p w:rsidR="00671C69" w:rsidRDefault="00C57BF0" w:rsidP="00EF49FF">
            <w:pPr>
              <w:pStyle w:val="slovanseznam"/>
            </w:pPr>
            <w:r w:rsidRPr="00CF3D04">
              <w:t>Die Parteien stellen sicher, dass Informationen, die im Rahmen des Vergabeverfahrens anfallen – gleichgültig ob dies mündlich, in Papierform oder in elektronischer Form geschieht – nur denjenigen Mitarbeitern in dem Umfang zur Kenntnis gelangen können, wie dies zur or</w:t>
            </w:r>
            <w:r w:rsidRPr="005F6B23">
              <w:t>d</w:t>
            </w:r>
            <w:r w:rsidRPr="00CF3D04">
              <w:t>nungsgemäße</w:t>
            </w:r>
            <w:r w:rsidR="00EF49FF">
              <w:t>n Bearbeitung erforderlich ist.</w:t>
            </w:r>
          </w:p>
        </w:tc>
      </w:tr>
      <w:tr w:rsidR="00671C69" w:rsidTr="00285A1B">
        <w:tc>
          <w:tcPr>
            <w:tcW w:w="7213" w:type="dxa"/>
          </w:tcPr>
          <w:p w:rsidR="00671C69" w:rsidRPr="005F56E5" w:rsidRDefault="00671C69" w:rsidP="003B7E62">
            <w:pPr>
              <w:pStyle w:val="Nadpis1"/>
              <w:outlineLvl w:val="0"/>
              <w:rPr>
                <w:lang w:val="cs-CZ"/>
              </w:rPr>
            </w:pPr>
            <w:bookmarkStart w:id="15" w:name="_Toc447179498"/>
            <w:bookmarkStart w:id="16" w:name="_Toc447185418"/>
            <w:r w:rsidRPr="00C021CB">
              <w:rPr>
                <w:lang w:val="cs-CZ"/>
              </w:rPr>
              <w:lastRenderedPageBreak/>
              <w:t xml:space="preserve">§ 3 Příprava a realizace </w:t>
            </w:r>
            <w:r w:rsidR="00151B81">
              <w:rPr>
                <w:lang w:val="cs-CZ"/>
              </w:rPr>
              <w:br/>
            </w:r>
            <w:r w:rsidRPr="003B7E62">
              <w:t>zadávacího</w:t>
            </w:r>
            <w:r w:rsidRPr="00C021CB">
              <w:rPr>
                <w:lang w:val="cs-CZ"/>
              </w:rPr>
              <w:t xml:space="preserve"> řízení</w:t>
            </w:r>
            <w:bookmarkEnd w:id="15"/>
            <w:bookmarkEnd w:id="16"/>
            <w:r w:rsidR="003B7E62">
              <w:rPr>
                <w:lang w:val="cs-CZ"/>
              </w:rPr>
              <w:t xml:space="preserve"> </w:t>
            </w:r>
          </w:p>
          <w:p w:rsidR="00671C69" w:rsidRDefault="00671C69" w:rsidP="003B7E62">
            <w:pPr>
              <w:pStyle w:val="slovanseznam"/>
              <w:numPr>
                <w:ilvl w:val="0"/>
                <w:numId w:val="24"/>
              </w:numPr>
              <w:rPr>
                <w:lang w:val="cs-CZ"/>
              </w:rPr>
            </w:pPr>
            <w:r w:rsidRPr="003B7E62">
              <w:rPr>
                <w:lang w:val="cs-CZ"/>
              </w:rPr>
              <w:t xml:space="preserve">Výkony regionální drážní osobní dopravy, jež jsou předmětem zadání, budou zadány dle čl. 5 odst. 1 věty 1 a 2 Nařízení (ES) č. 1370/2007. Odchylky od tohoto způsobu zadání jsou </w:t>
            </w:r>
            <w:r w:rsidRPr="003B7E62">
              <w:rPr>
                <w:lang w:val="cs-CZ"/>
              </w:rPr>
              <w:lastRenderedPageBreak/>
              <w:t xml:space="preserve">přípustné, pokud se na tom shodnou smluvní strany a pokud pro to existuje věcný důvod. </w:t>
            </w:r>
          </w:p>
          <w:p w:rsidR="003B7E62" w:rsidRPr="003B7E62" w:rsidRDefault="003B7E62" w:rsidP="003B7E62">
            <w:pPr>
              <w:pStyle w:val="Pokraovnseznamu"/>
              <w:rPr>
                <w:lang w:val="cs-CZ"/>
              </w:rPr>
            </w:pPr>
          </w:p>
          <w:p w:rsidR="00671C69" w:rsidRDefault="00671C69" w:rsidP="003B7E62">
            <w:pPr>
              <w:pStyle w:val="slovanseznam"/>
              <w:rPr>
                <w:lang w:val="cs-CZ"/>
              </w:rPr>
            </w:pPr>
            <w:r w:rsidRPr="00C021CB">
              <w:rPr>
                <w:lang w:val="cs-CZ"/>
              </w:rPr>
              <w:t>Pod vedením ZVONu vypracují objednatelé zadávací dokumentaci pokud možno v brzké době</w:t>
            </w:r>
            <w:r>
              <w:rPr>
                <w:lang w:val="cs-CZ"/>
              </w:rPr>
              <w:t xml:space="preserve">, pokud možno do </w:t>
            </w:r>
            <w:r w:rsidR="00E91A24">
              <w:rPr>
                <w:lang w:val="cs-CZ"/>
              </w:rPr>
              <w:t xml:space="preserve"> 90</w:t>
            </w:r>
            <w:r>
              <w:rPr>
                <w:lang w:val="cs-CZ"/>
              </w:rPr>
              <w:t xml:space="preserve"> dnů od jejího zadání k vypracování ZVONem</w:t>
            </w:r>
            <w:r w:rsidRPr="00C021CB">
              <w:rPr>
                <w:lang w:val="cs-CZ"/>
              </w:rPr>
              <w:t>.</w:t>
            </w:r>
            <w:r w:rsidRPr="005F56E5">
              <w:rPr>
                <w:lang w:val="cs-CZ"/>
              </w:rPr>
              <w:t xml:space="preserve"> </w:t>
            </w:r>
            <w:r w:rsidRPr="009D08C4">
              <w:rPr>
                <w:lang w:val="cs-CZ"/>
              </w:rPr>
              <w:t>Objednatelé přitom budou usilovat o co nejširší jednotnost požadavků dotýkající se jejich příslušné oblasti.</w:t>
            </w:r>
            <w:r w:rsidRPr="005F56E5">
              <w:rPr>
                <w:lang w:val="cs-CZ"/>
              </w:rPr>
              <w:t xml:space="preserve"> </w:t>
            </w:r>
            <w:r w:rsidR="00CB1933">
              <w:rPr>
                <w:lang w:val="cs-CZ"/>
              </w:rPr>
              <w:t>Toto platí ob</w:t>
            </w:r>
            <w:r w:rsidRPr="009D08C4">
              <w:rPr>
                <w:lang w:val="cs-CZ"/>
              </w:rPr>
              <w:t>zvláště ve vztahu na kvalitu požadovaných výkonů, kvóty nasazení vlakového personálu atd.</w:t>
            </w:r>
            <w:r w:rsidRPr="005F56E5">
              <w:rPr>
                <w:lang w:val="cs-CZ"/>
              </w:rPr>
              <w:t xml:space="preserve"> </w:t>
            </w:r>
          </w:p>
          <w:p w:rsidR="003B7E62" w:rsidRPr="005F56E5" w:rsidRDefault="003B7E62" w:rsidP="003B7E62">
            <w:pPr>
              <w:pStyle w:val="Pokraovnseznamu"/>
              <w:rPr>
                <w:lang w:val="cs-CZ"/>
              </w:rPr>
            </w:pPr>
          </w:p>
          <w:p w:rsidR="00671C69" w:rsidRPr="005F56E5" w:rsidRDefault="00671C69" w:rsidP="003B7E62">
            <w:pPr>
              <w:pStyle w:val="Pokraovnseznamu"/>
              <w:rPr>
                <w:lang w:val="cs-CZ"/>
              </w:rPr>
            </w:pPr>
            <w:r w:rsidRPr="009D08C4">
              <w:rPr>
                <w:lang w:val="cs-CZ"/>
              </w:rPr>
              <w:t>Doplňujíc k tomuto bude zadávací dokumentace zaměřena především na následující:</w:t>
            </w:r>
          </w:p>
          <w:p w:rsidR="00671C69" w:rsidRPr="005F56E5" w:rsidRDefault="00671C69" w:rsidP="003B7E62">
            <w:pPr>
              <w:pStyle w:val="Seznamsodrkami3"/>
              <w:rPr>
                <w:lang w:val="cs-CZ"/>
              </w:rPr>
            </w:pPr>
            <w:r w:rsidRPr="009D08C4">
              <w:rPr>
                <w:lang w:val="cs-CZ"/>
              </w:rPr>
              <w:t>Dopravní provozní náklady budou poptávány separátně za linku a území objednatele a přiřazeny jednotlivým objednatelům.</w:t>
            </w:r>
          </w:p>
          <w:p w:rsidR="00671C69" w:rsidRPr="005F56E5" w:rsidRDefault="00671C69" w:rsidP="003B7E62">
            <w:pPr>
              <w:pStyle w:val="Seznamsodrkami3"/>
              <w:rPr>
                <w:lang w:val="cs-CZ"/>
              </w:rPr>
            </w:pPr>
            <w:r w:rsidRPr="009D08C4">
              <w:rPr>
                <w:lang w:val="cs-CZ"/>
              </w:rPr>
              <w:t>Dopravně-provozní náklady linky RE 2 na polském úseku trati mezi Žitavou a Hrádkem nad Nisou (2,7 kilometr</w:t>
            </w:r>
            <w:r>
              <w:rPr>
                <w:lang w:val="cs-CZ"/>
              </w:rPr>
              <w:t>u</w:t>
            </w:r>
            <w:r w:rsidRPr="009D08C4">
              <w:rPr>
                <w:lang w:val="cs-CZ"/>
              </w:rPr>
              <w:t>) ponesou objednatelé LK a ZVON ve výši jedné třetiny.</w:t>
            </w:r>
            <w:r w:rsidRPr="005F56E5">
              <w:rPr>
                <w:lang w:val="cs-CZ"/>
              </w:rPr>
              <w:t xml:space="preserve"> </w:t>
            </w:r>
            <w:r w:rsidRPr="009D08C4">
              <w:rPr>
                <w:lang w:val="cs-CZ"/>
              </w:rPr>
              <w:t>Zbývající třetinu ponese Z-VOE a není součástí této Dohody.</w:t>
            </w:r>
          </w:p>
          <w:p w:rsidR="00671C69" w:rsidRPr="005F56E5" w:rsidRDefault="00671C69" w:rsidP="003B7E62">
            <w:pPr>
              <w:pStyle w:val="Seznamsodrkami3"/>
              <w:rPr>
                <w:lang w:val="cs-CZ"/>
              </w:rPr>
            </w:pPr>
            <w:r w:rsidRPr="009D08C4">
              <w:rPr>
                <w:lang w:val="cs-CZ"/>
              </w:rPr>
              <w:t>Dopravně-provozní náklady linky TL 70 na polském úseku trati mezi Žitavou a Hrádkem nad Nisou (2,7 kilometr</w:t>
            </w:r>
            <w:r>
              <w:rPr>
                <w:lang w:val="cs-CZ"/>
              </w:rPr>
              <w:t>u</w:t>
            </w:r>
            <w:r w:rsidRPr="009D08C4">
              <w:rPr>
                <w:lang w:val="cs-CZ"/>
              </w:rPr>
              <w:t>) ponesou objednatelé LK, ÚK a ZVON ve výši jedné třetiny.</w:t>
            </w:r>
          </w:p>
          <w:p w:rsidR="00671C69" w:rsidRPr="005F56E5" w:rsidRDefault="00671C69" w:rsidP="003B7E62">
            <w:pPr>
              <w:pStyle w:val="Seznamsodrkami3"/>
              <w:rPr>
                <w:lang w:val="cs-CZ"/>
              </w:rPr>
            </w:pPr>
            <w:r w:rsidRPr="009D08C4">
              <w:rPr>
                <w:lang w:val="cs-CZ"/>
              </w:rPr>
              <w:t>Platby za železniční dopravní cestu a staniční infrastrukturu budou přiřazeny objednatelům dle nákladů připadnuvších na příslušná území v jejich gesci dle předpisů zadávací dokumentace.</w:t>
            </w:r>
            <w:r>
              <w:rPr>
                <w:lang w:val="cs-CZ"/>
              </w:rPr>
              <w:t xml:space="preserve"> Na území České republiky půjdou případné, dnes neúčtované, náklady k tíži územně příslušného objednatele.</w:t>
            </w:r>
          </w:p>
          <w:p w:rsidR="00671C69" w:rsidRPr="005F56E5" w:rsidRDefault="00671C69" w:rsidP="003B7E62">
            <w:pPr>
              <w:pStyle w:val="Seznamsodrkami3"/>
              <w:rPr>
                <w:lang w:val="cs-CZ"/>
              </w:rPr>
            </w:pPr>
            <w:r w:rsidRPr="009D08C4">
              <w:rPr>
                <w:lang w:val="cs-CZ"/>
              </w:rPr>
              <w:t>Výnosy z tržeb ze svazového/integrovaného tarifu musí být přiřazeny příslušnému území dopravního svazu.</w:t>
            </w:r>
          </w:p>
          <w:p w:rsidR="00671C69" w:rsidRPr="005F56E5" w:rsidRDefault="00671C69" w:rsidP="003B7E62">
            <w:pPr>
              <w:pStyle w:val="Seznamsodrkami3"/>
              <w:rPr>
                <w:lang w:val="cs-CZ"/>
              </w:rPr>
            </w:pPr>
            <w:r w:rsidRPr="009D08C4">
              <w:rPr>
                <w:lang w:val="cs-CZ"/>
              </w:rPr>
              <w:lastRenderedPageBreak/>
              <w:t>Náklady stacionárního prodeje budou poptávány separátně za každé území objednatele a přiřazeny jednotlivým objednatelům.</w:t>
            </w:r>
          </w:p>
          <w:p w:rsidR="00671C69" w:rsidRPr="005F56E5" w:rsidRDefault="00671C69" w:rsidP="003B7E62">
            <w:pPr>
              <w:pStyle w:val="Seznamsodrkami3"/>
              <w:rPr>
                <w:lang w:val="cs-CZ"/>
              </w:rPr>
            </w:pPr>
            <w:r w:rsidRPr="009D08C4">
              <w:rPr>
                <w:lang w:val="cs-CZ"/>
              </w:rPr>
              <w:t>Smluvní podmínky budou obsahovat maximální kvóty pro zvýšení a snížení objednávky při nezměněné kompenzaci za každý vlakokilometr</w:t>
            </w:r>
            <w:r>
              <w:rPr>
                <w:lang w:val="cs-CZ"/>
              </w:rPr>
              <w:t xml:space="preserve"> a objednatele</w:t>
            </w:r>
            <w:r w:rsidRPr="009D08C4">
              <w:rPr>
                <w:lang w:val="cs-CZ"/>
              </w:rPr>
              <w:t>.</w:t>
            </w:r>
            <w:r w:rsidRPr="005F56E5">
              <w:rPr>
                <w:lang w:val="cs-CZ"/>
              </w:rPr>
              <w:t xml:space="preserve"> </w:t>
            </w:r>
            <w:r w:rsidRPr="009D08C4">
              <w:rPr>
                <w:lang w:val="cs-CZ"/>
              </w:rPr>
              <w:t>Tyto maximální kvóty zvýšení a snížení objednávky se vztahují na celk</w:t>
            </w:r>
            <w:r>
              <w:rPr>
                <w:lang w:val="cs-CZ"/>
              </w:rPr>
              <w:t>ov</w:t>
            </w:r>
            <w:r w:rsidRPr="009D08C4">
              <w:rPr>
                <w:lang w:val="cs-CZ"/>
              </w:rPr>
              <w:t>ý objem výkonů dopravní smlouvy.</w:t>
            </w:r>
            <w:r w:rsidRPr="005F56E5">
              <w:rPr>
                <w:lang w:val="cs-CZ"/>
              </w:rPr>
              <w:t xml:space="preserve"> </w:t>
            </w:r>
            <w:r w:rsidRPr="009D08C4">
              <w:rPr>
                <w:lang w:val="cs-CZ"/>
              </w:rPr>
              <w:t>Zvýšení nebo snížení objednávky dopravních výkonů na území jednoho nositele závazku jdou k dobru nebo k tíži tohoto nositele závazku.</w:t>
            </w:r>
          </w:p>
          <w:p w:rsidR="00671C69" w:rsidRPr="005F56E5" w:rsidRDefault="00671C69" w:rsidP="003B7E62">
            <w:pPr>
              <w:pStyle w:val="Seznamsodrkami3"/>
              <w:rPr>
                <w:lang w:val="cs-CZ"/>
              </w:rPr>
            </w:pPr>
            <w:r w:rsidRPr="009D08C4">
              <w:rPr>
                <w:lang w:val="cs-CZ"/>
              </w:rPr>
              <w:t>Každý nositel závazku může během doby platnosti Dopravní smlouvy na vlastní odpovědnost a v rámci kvót dodatečných objednávek či odobjednání dodatečně objednávat dopravní výkony nebo krátit objednávku dopravních výkonů, pokud to projednal s druhým nositelem závazku nebo pokud není dotčena oblast jeho kompetencí.</w:t>
            </w:r>
            <w:r w:rsidRPr="005F56E5">
              <w:rPr>
                <w:lang w:val="cs-CZ"/>
              </w:rPr>
              <w:t xml:space="preserve"> </w:t>
            </w:r>
            <w:r w:rsidRPr="009D08C4">
              <w:rPr>
                <w:lang w:val="cs-CZ"/>
              </w:rPr>
              <w:t xml:space="preserve">Překročení maximální kvóty dodatečné objednávky nebo snížení objednávky – pokud </w:t>
            </w:r>
            <w:r>
              <w:rPr>
                <w:lang w:val="cs-CZ"/>
              </w:rPr>
              <w:t>je dotčeno více</w:t>
            </w:r>
            <w:r w:rsidRPr="009D08C4">
              <w:rPr>
                <w:lang w:val="cs-CZ"/>
              </w:rPr>
              <w:t xml:space="preserve"> nositel</w:t>
            </w:r>
            <w:r>
              <w:rPr>
                <w:lang w:val="cs-CZ"/>
              </w:rPr>
              <w:t>ů</w:t>
            </w:r>
            <w:r w:rsidRPr="009D08C4">
              <w:rPr>
                <w:lang w:val="cs-CZ"/>
              </w:rPr>
              <w:t xml:space="preserve"> závazku – </w:t>
            </w:r>
            <w:r>
              <w:rPr>
                <w:lang w:val="cs-CZ"/>
              </w:rPr>
              <w:t xml:space="preserve">je </w:t>
            </w:r>
            <w:r w:rsidRPr="009D08C4">
              <w:rPr>
                <w:lang w:val="cs-CZ"/>
              </w:rPr>
              <w:t xml:space="preserve">přípustné pouze ve shodě </w:t>
            </w:r>
            <w:r>
              <w:rPr>
                <w:lang w:val="cs-CZ"/>
              </w:rPr>
              <w:t xml:space="preserve">dotčených </w:t>
            </w:r>
            <w:r w:rsidRPr="009D08C4">
              <w:rPr>
                <w:lang w:val="cs-CZ"/>
              </w:rPr>
              <w:t>nositelů závazku.</w:t>
            </w:r>
            <w:r w:rsidRPr="005F56E5">
              <w:rPr>
                <w:lang w:val="cs-CZ"/>
              </w:rPr>
              <w:t xml:space="preserve"> </w:t>
            </w:r>
            <w:r w:rsidRPr="009D08C4">
              <w:rPr>
                <w:lang w:val="cs-CZ"/>
              </w:rPr>
              <w:t>Překročí-li nositel závazku na základě dodatečného objednání nebo zrušení objednávky kvótu pro dodatečné objednávky či snížení objednávky a vyplynou-li z toho pro druhého objednatele negativní ekonomické důsledky, je tento vůči druhému nositeli závazku povinen tyto vyrovnat.</w:t>
            </w:r>
            <w:r w:rsidRPr="005F56E5">
              <w:rPr>
                <w:lang w:val="cs-CZ"/>
              </w:rPr>
              <w:t xml:space="preserve"> </w:t>
            </w:r>
            <w:r w:rsidRPr="00524CDB">
              <w:rPr>
                <w:lang w:val="cs-CZ"/>
              </w:rPr>
              <w:t>Strany budou v takovém případě společně usilovat o vyrovnání bez bezprostřední platby mezi nositeli závazku.</w:t>
            </w:r>
            <w:r w:rsidRPr="005F56E5">
              <w:rPr>
                <w:lang w:val="cs-CZ"/>
              </w:rPr>
              <w:t xml:space="preserve"> </w:t>
            </w:r>
            <w:r w:rsidRPr="00524CDB">
              <w:rPr>
                <w:lang w:val="cs-CZ"/>
              </w:rPr>
              <w:t xml:space="preserve">Vznesou žádost na </w:t>
            </w:r>
            <w:r w:rsidR="00A24B99">
              <w:rPr>
                <w:lang w:val="cs-CZ"/>
              </w:rPr>
              <w:t>d</w:t>
            </w:r>
            <w:r w:rsidRPr="00524CDB">
              <w:rPr>
                <w:lang w:val="cs-CZ"/>
              </w:rPr>
              <w:t>opravce, aby snížil cenu služby pro znevýhodněného nositele závazku ve výši negativního ekonomického dopadu a ve stejné výši navýšil cenu nositeli závazku, jenž ekonomické znevýhodnění způsobil.</w:t>
            </w:r>
            <w:r w:rsidRPr="005F56E5">
              <w:rPr>
                <w:lang w:val="cs-CZ"/>
              </w:rPr>
              <w:t xml:space="preserve"> </w:t>
            </w:r>
          </w:p>
          <w:p w:rsidR="00671C69" w:rsidRPr="005F56E5" w:rsidRDefault="00671C69" w:rsidP="003B7E62">
            <w:pPr>
              <w:pStyle w:val="Seznamsodrkami3"/>
              <w:rPr>
                <w:lang w:val="cs-CZ"/>
              </w:rPr>
            </w:pPr>
            <w:r w:rsidRPr="00524CDB">
              <w:rPr>
                <w:lang w:val="cs-CZ"/>
              </w:rPr>
              <w:lastRenderedPageBreak/>
              <w:t>Pokud v případě odřeknutých nebo nekvalitně provedených výkonů nebude možné tyto výkony jednoznačně přiřadit žádnému z nositelů závazku, proběhne uplatnění srážek</w:t>
            </w:r>
            <w:r>
              <w:rPr>
                <w:lang w:val="cs-CZ"/>
              </w:rPr>
              <w:t xml:space="preserve"> jednotli</w:t>
            </w:r>
            <w:r>
              <w:rPr>
                <w:lang w:val="en-US"/>
              </w:rPr>
              <w:t>v</w:t>
            </w:r>
            <w:r>
              <w:rPr>
                <w:lang w:val="cs-CZ"/>
              </w:rPr>
              <w:t>ými</w:t>
            </w:r>
            <w:r w:rsidRPr="00524CDB">
              <w:rPr>
                <w:lang w:val="cs-CZ"/>
              </w:rPr>
              <w:t xml:space="preserve"> objednateli ve výši dle procentuálního podílu objemu vlakokilometrů, dotčených odřeknutými nebo nekvalitními výkony.</w:t>
            </w:r>
          </w:p>
          <w:p w:rsidR="003B7E62" w:rsidRDefault="003B7E62" w:rsidP="003B7E62">
            <w:pPr>
              <w:pStyle w:val="Pokraovnseznamu"/>
            </w:pPr>
          </w:p>
          <w:p w:rsidR="00151B81" w:rsidRDefault="00151B81" w:rsidP="003B7E62">
            <w:pPr>
              <w:pStyle w:val="Pokraovnseznamu"/>
            </w:pPr>
          </w:p>
          <w:p w:rsidR="00151B81" w:rsidRDefault="00151B81" w:rsidP="003B7E62">
            <w:pPr>
              <w:pStyle w:val="Pokraovnseznamu"/>
            </w:pPr>
          </w:p>
          <w:p w:rsidR="00151B81" w:rsidRDefault="00151B81" w:rsidP="003B7E62">
            <w:pPr>
              <w:pStyle w:val="Pokraovnseznamu"/>
            </w:pPr>
          </w:p>
          <w:p w:rsidR="00151B81" w:rsidRDefault="00151B81" w:rsidP="003B7E62">
            <w:pPr>
              <w:pStyle w:val="Pokraovnseznamu"/>
            </w:pPr>
          </w:p>
          <w:p w:rsidR="00151B81" w:rsidRDefault="00151B81" w:rsidP="003B7E62">
            <w:pPr>
              <w:pStyle w:val="Pokraovnseznamu"/>
            </w:pPr>
          </w:p>
          <w:p w:rsidR="00151B81" w:rsidRDefault="00151B81" w:rsidP="003B7E62">
            <w:pPr>
              <w:pStyle w:val="Pokraovnseznamu"/>
            </w:pPr>
          </w:p>
          <w:p w:rsidR="00671C69" w:rsidRPr="005F56E5" w:rsidRDefault="00671C69" w:rsidP="003B7E62">
            <w:pPr>
              <w:pStyle w:val="slovanseznam"/>
              <w:rPr>
                <w:lang w:val="cs-CZ"/>
              </w:rPr>
            </w:pPr>
            <w:r w:rsidRPr="00524CDB">
              <w:rPr>
                <w:lang w:val="cs-CZ"/>
              </w:rPr>
              <w:t>Dokumentaci zadávacího řízení vede ZVON v zast</w:t>
            </w:r>
            <w:r w:rsidR="00CB1933">
              <w:rPr>
                <w:lang w:val="cs-CZ"/>
              </w:rPr>
              <w:t>o</w:t>
            </w:r>
            <w:r w:rsidRPr="00524CDB">
              <w:rPr>
                <w:lang w:val="cs-CZ"/>
              </w:rPr>
              <w:t>upení nositelů závazku.</w:t>
            </w:r>
            <w:r w:rsidRPr="005F56E5">
              <w:rPr>
                <w:lang w:val="cs-CZ"/>
              </w:rPr>
              <w:t xml:space="preserve"> </w:t>
            </w:r>
            <w:r w:rsidRPr="00524CDB">
              <w:rPr>
                <w:lang w:val="cs-CZ"/>
              </w:rPr>
              <w:t xml:space="preserve">Podklady, které má ZVON vytvářet pro zdokumentování zadávacího řízení, zvláště průběžnou dokumentaci zadávacího řízení dle § </w:t>
            </w:r>
            <w:r w:rsidR="009B53C8">
              <w:rPr>
                <w:lang w:val="cs-CZ"/>
              </w:rPr>
              <w:t xml:space="preserve">8 VgV </w:t>
            </w:r>
            <w:r w:rsidRPr="00524CDB">
              <w:rPr>
                <w:lang w:val="cs-CZ"/>
              </w:rPr>
              <w:t xml:space="preserve">včetně dokumentace o kontrole nabídek a o důvodech pro udělení zakázky budou nositeli závazku odsouhlaseny </w:t>
            </w:r>
            <w:r>
              <w:rPr>
                <w:lang w:val="cs-CZ"/>
              </w:rPr>
              <w:t>jednohlasně</w:t>
            </w:r>
            <w:r w:rsidRPr="00524CDB">
              <w:rPr>
                <w:lang w:val="cs-CZ"/>
              </w:rPr>
              <w:t>.</w:t>
            </w:r>
            <w:r w:rsidRPr="005F56E5">
              <w:rPr>
                <w:lang w:val="cs-CZ"/>
              </w:rPr>
              <w:t xml:space="preserve"> </w:t>
            </w:r>
            <w:r w:rsidRPr="00524CDB">
              <w:rPr>
                <w:lang w:val="cs-CZ"/>
              </w:rPr>
              <w:t>Vždy po dokončení a v souladu s postupem zadávacího řízení obdrží LK a ÚK od ZVONu bez vyzvání všechny dokumenty složky zadávacího řízení.</w:t>
            </w:r>
          </w:p>
          <w:p w:rsidR="003B7E62" w:rsidRDefault="003B7E62" w:rsidP="003B7E62">
            <w:pPr>
              <w:pStyle w:val="Pokraovnseznamu"/>
            </w:pPr>
          </w:p>
          <w:p w:rsidR="00151B81" w:rsidRDefault="00151B81" w:rsidP="003B7E62">
            <w:pPr>
              <w:pStyle w:val="Pokraovnseznamu"/>
            </w:pPr>
          </w:p>
          <w:p w:rsidR="00151B81" w:rsidRDefault="00151B81" w:rsidP="003B7E62">
            <w:pPr>
              <w:pStyle w:val="Pokraovnseznamu"/>
            </w:pPr>
          </w:p>
          <w:p w:rsidR="00671C69" w:rsidRPr="005F56E5" w:rsidRDefault="00671C69" w:rsidP="003B7E62">
            <w:pPr>
              <w:pStyle w:val="slovanseznam"/>
              <w:rPr>
                <w:lang w:val="cs-CZ"/>
              </w:rPr>
            </w:pPr>
            <w:r w:rsidRPr="00524CDB">
              <w:rPr>
                <w:lang w:val="cs-CZ"/>
              </w:rPr>
              <w:t>Nutné zveřejnění v Evropském úředním věstníku a také zasílání zadávací dokumentace bude provádět ZVON.</w:t>
            </w:r>
            <w:r w:rsidRPr="005F56E5">
              <w:rPr>
                <w:lang w:val="cs-CZ"/>
              </w:rPr>
              <w:t xml:space="preserve"> </w:t>
            </w:r>
            <w:r w:rsidRPr="00524CDB">
              <w:rPr>
                <w:lang w:val="cs-CZ"/>
              </w:rPr>
              <w:t>ZVON přenechá LK a ÚK po jednom vyhotovení došlých nabídek.</w:t>
            </w:r>
          </w:p>
          <w:p w:rsidR="003B7E62" w:rsidRDefault="003B7E62" w:rsidP="003B7E62">
            <w:pPr>
              <w:pStyle w:val="Pokraovnseznamu"/>
            </w:pPr>
          </w:p>
          <w:p w:rsidR="00151B81" w:rsidRDefault="00151B81" w:rsidP="003B7E62">
            <w:pPr>
              <w:pStyle w:val="Pokraovnseznamu"/>
            </w:pPr>
          </w:p>
          <w:p w:rsidR="00671C69" w:rsidRPr="005F56E5" w:rsidRDefault="00671C69" w:rsidP="003B7E62">
            <w:pPr>
              <w:pStyle w:val="slovanseznam"/>
              <w:rPr>
                <w:lang w:val="cs-CZ"/>
              </w:rPr>
            </w:pPr>
            <w:r w:rsidRPr="00524CDB">
              <w:rPr>
                <w:lang w:val="cs-CZ"/>
              </w:rPr>
              <w:t xml:space="preserve">Po ukončené kontrole a hodnocení nabídek </w:t>
            </w:r>
            <w:r>
              <w:rPr>
                <w:lang w:val="cs-CZ"/>
              </w:rPr>
              <w:t xml:space="preserve">ze strany </w:t>
            </w:r>
            <w:r w:rsidRPr="00524CDB">
              <w:rPr>
                <w:lang w:val="cs-CZ"/>
              </w:rPr>
              <w:t>ZVON, zpracuje tento bezodkladně návrh na udělení zakázky.</w:t>
            </w:r>
            <w:r w:rsidRPr="005F56E5">
              <w:rPr>
                <w:lang w:val="cs-CZ"/>
              </w:rPr>
              <w:t xml:space="preserve"> </w:t>
            </w:r>
            <w:r w:rsidRPr="00524CDB">
              <w:rPr>
                <w:lang w:val="cs-CZ"/>
              </w:rPr>
              <w:t xml:space="preserve">Rozhodnutí o udělení zakázky má být učiněno nejpozději do </w:t>
            </w:r>
            <w:r w:rsidRPr="00524CDB">
              <w:rPr>
                <w:lang w:val="cs-CZ"/>
              </w:rPr>
              <w:lastRenderedPageBreak/>
              <w:t>šesti týdnů po předložení tohoto návrhu.</w:t>
            </w:r>
          </w:p>
          <w:p w:rsidR="003B7E62" w:rsidRDefault="003B7E62" w:rsidP="003B7E62">
            <w:pPr>
              <w:pStyle w:val="Pokraovnseznamu"/>
            </w:pPr>
          </w:p>
          <w:p w:rsidR="00151B81" w:rsidRDefault="00151B81" w:rsidP="003B7E62">
            <w:pPr>
              <w:pStyle w:val="Pokraovnseznamu"/>
            </w:pPr>
          </w:p>
          <w:p w:rsidR="00671C69" w:rsidRPr="00A94181" w:rsidRDefault="00671C69" w:rsidP="003B7E62">
            <w:pPr>
              <w:pStyle w:val="slovanseznam"/>
              <w:rPr>
                <w:lang w:val="cs-CZ"/>
              </w:rPr>
            </w:pPr>
            <w:r w:rsidRPr="00524CDB">
              <w:rPr>
                <w:lang w:val="cs-CZ"/>
              </w:rPr>
              <w:t>Udělení zakázky proběhne v souladu s §</w:t>
            </w:r>
            <w:r w:rsidR="009B53C8">
              <w:rPr>
                <w:lang w:val="cs-CZ"/>
              </w:rPr>
              <w:t xml:space="preserve">§ 127 odst. 1 věta 1 GWB, 58 odst. 1 VgV </w:t>
            </w:r>
            <w:r>
              <w:rPr>
                <w:lang w:val="cs-CZ"/>
              </w:rPr>
              <w:t>ekonomicky nejvýhodnější</w:t>
            </w:r>
            <w:r w:rsidRPr="00524CDB">
              <w:rPr>
                <w:lang w:val="cs-CZ"/>
              </w:rPr>
              <w:t xml:space="preserve"> nabídce.</w:t>
            </w:r>
          </w:p>
          <w:p w:rsidR="003B7E62" w:rsidRDefault="003B7E62" w:rsidP="003B7E62">
            <w:pPr>
              <w:pStyle w:val="Pokraovnseznamu"/>
              <w:rPr>
                <w:lang w:val="cs-CZ"/>
              </w:rPr>
            </w:pPr>
          </w:p>
          <w:p w:rsidR="00671C69" w:rsidRPr="008E7F86" w:rsidRDefault="00671C69" w:rsidP="003B7E62">
            <w:pPr>
              <w:pStyle w:val="slovanseznam"/>
              <w:rPr>
                <w:lang w:val="cs-CZ"/>
              </w:rPr>
            </w:pPr>
            <w:r w:rsidRPr="00524CDB">
              <w:rPr>
                <w:lang w:val="cs-CZ"/>
              </w:rPr>
              <w:t xml:space="preserve">Zadávací řízení smí být v souladu se zákonem zrušeno pouze tehdy, pokud se alespoň u jednoho ze zúčastněných objednatelů vyskytne jeden z důvodů uvedených v § </w:t>
            </w:r>
            <w:r w:rsidR="009B53C8">
              <w:rPr>
                <w:lang w:val="cs-CZ"/>
              </w:rPr>
              <w:t>63 odst. 1 VgV</w:t>
            </w:r>
            <w:r w:rsidRPr="00524CDB">
              <w:rPr>
                <w:lang w:val="cs-CZ"/>
              </w:rPr>
              <w:t>.</w:t>
            </w:r>
            <w:r w:rsidRPr="008E7F86">
              <w:rPr>
                <w:lang w:val="cs-CZ"/>
              </w:rPr>
              <w:t xml:space="preserve"> </w:t>
            </w:r>
            <w:r w:rsidRPr="00524CDB">
              <w:rPr>
                <w:lang w:val="cs-CZ"/>
              </w:rPr>
              <w:t>Na toto bude v zadávací dokumentaci výslovně upozorněno.</w:t>
            </w:r>
            <w:r w:rsidRPr="008E7F86">
              <w:rPr>
                <w:lang w:val="cs-CZ"/>
              </w:rPr>
              <w:t xml:space="preserve"> </w:t>
            </w:r>
            <w:r w:rsidRPr="00524CDB">
              <w:rPr>
                <w:lang w:val="cs-CZ"/>
              </w:rPr>
              <w:t>Objednatelé se v tomto případě dorozumí, zda jsou naplněny předpoklady pro zrušení zadávacího řízení.</w:t>
            </w:r>
          </w:p>
          <w:p w:rsidR="00671C69" w:rsidRDefault="00671C69" w:rsidP="0005590C"/>
        </w:tc>
        <w:tc>
          <w:tcPr>
            <w:tcW w:w="7214" w:type="dxa"/>
          </w:tcPr>
          <w:p w:rsidR="00C57BF0" w:rsidRPr="00CF3D04" w:rsidRDefault="00C57BF0" w:rsidP="00B963A8">
            <w:pPr>
              <w:pStyle w:val="Nadpis2"/>
              <w:outlineLvl w:val="1"/>
            </w:pPr>
            <w:bookmarkStart w:id="17" w:name="_Toc447179469"/>
            <w:bookmarkStart w:id="18" w:name="_Toc447185429"/>
            <w:r w:rsidRPr="00CF3D04">
              <w:lastRenderedPageBreak/>
              <w:t>§ 3 Vorbereitung und Durchführung des Vergabeverfahrens</w:t>
            </w:r>
            <w:bookmarkEnd w:id="17"/>
            <w:bookmarkEnd w:id="18"/>
          </w:p>
          <w:p w:rsidR="00C57BF0" w:rsidRDefault="00C57BF0" w:rsidP="001875A3">
            <w:pPr>
              <w:pStyle w:val="slovanseznam"/>
              <w:numPr>
                <w:ilvl w:val="0"/>
                <w:numId w:val="25"/>
              </w:numPr>
            </w:pPr>
            <w:r w:rsidRPr="0083724D">
              <w:t xml:space="preserve">Die zu vergebenden SPNV-Leistungen werden gemäß Art. 5 Abs. 1 Satz 1 und 2 VO (EG) Nr. 1370/2007 vergeben. Abweichungen von dieser Vergabeart sind einvernehmlich </w:t>
            </w:r>
            <w:r w:rsidRPr="0083724D">
              <w:lastRenderedPageBreak/>
              <w:t xml:space="preserve">zulässig, sofern ein sachlicher Grund dafür besteht. </w:t>
            </w:r>
          </w:p>
          <w:p w:rsidR="001875A3" w:rsidRDefault="001875A3" w:rsidP="001875A3">
            <w:pPr>
              <w:pStyle w:val="Pokraovnseznamu"/>
            </w:pPr>
          </w:p>
          <w:p w:rsidR="00151B81" w:rsidRPr="0083724D" w:rsidRDefault="00151B81" w:rsidP="001875A3">
            <w:pPr>
              <w:pStyle w:val="Pokraovnseznamu"/>
            </w:pPr>
          </w:p>
          <w:p w:rsidR="00C57BF0" w:rsidRPr="00CF3D04" w:rsidRDefault="00C57BF0" w:rsidP="001875A3">
            <w:pPr>
              <w:pStyle w:val="slovanseznam"/>
            </w:pPr>
            <w:r w:rsidRPr="00CF3D04">
              <w:t xml:space="preserve">Unter der Federführung des ZVON werden die Aufgabenträger die Vergabeunterlagen </w:t>
            </w:r>
            <w:r>
              <w:t xml:space="preserve">möglichst zeitnah, möglichst </w:t>
            </w:r>
            <w:r w:rsidRPr="0060796B">
              <w:t>innerhalb von</w:t>
            </w:r>
            <w:r>
              <w:t xml:space="preserve"> </w:t>
            </w:r>
            <w:r w:rsidR="00E7114A">
              <w:t xml:space="preserve">90 </w:t>
            </w:r>
            <w:r w:rsidR="00E7114A" w:rsidRPr="0060796B">
              <w:t>Tagen</w:t>
            </w:r>
            <w:r>
              <w:t>,</w:t>
            </w:r>
            <w:r w:rsidRPr="0060796B">
              <w:t xml:space="preserve"> nach</w:t>
            </w:r>
            <w:r>
              <w:t>dem deren Erstellung vom ZVON aufgetragen worden ist,</w:t>
            </w:r>
            <w:r w:rsidRPr="00CF3D04">
              <w:t xml:space="preserve"> ausarbeiten. Dabei werden sich die Aufgabenträger um eine weitest mögliche Einheitlichkeit der Anforderungen für ihren jeweiligen Zuständigkeitsbereich bemühen. Dies gilt insbesondere in Bezug auf die Qualität der zu erbringenden Leistungen, Betreuungsqu</w:t>
            </w:r>
            <w:r w:rsidRPr="005F6B23">
              <w:t>o</w:t>
            </w:r>
            <w:r w:rsidRPr="00CF3D04">
              <w:t xml:space="preserve">ten usw. </w:t>
            </w:r>
          </w:p>
          <w:p w:rsidR="001875A3" w:rsidRDefault="001875A3" w:rsidP="001875A3">
            <w:pPr>
              <w:pStyle w:val="Pokraovnseznamu"/>
            </w:pPr>
          </w:p>
          <w:p w:rsidR="00C57BF0" w:rsidRPr="00CF3D04" w:rsidRDefault="00C57BF0" w:rsidP="001875A3">
            <w:pPr>
              <w:pStyle w:val="Pokraovnseznamu"/>
            </w:pPr>
            <w:r w:rsidRPr="00CF3D04">
              <w:t>Ergänzend dazu werden die Vergabeunterlagen insbesondere Folgendes vorsehen:</w:t>
            </w:r>
          </w:p>
          <w:p w:rsidR="00C57BF0" w:rsidRPr="00CF3D04" w:rsidRDefault="00C57BF0" w:rsidP="001875A3">
            <w:pPr>
              <w:pStyle w:val="Seznamsodrkami3"/>
            </w:pPr>
            <w:r w:rsidRPr="00CF3D04">
              <w:t>Die Fahrbetriebskosten werden je Linie und Aufgabenträgergebiet separat abgefragt und den Aufgabenträgern entsprechend zugeordnet.</w:t>
            </w:r>
          </w:p>
          <w:p w:rsidR="00C57BF0" w:rsidRDefault="00C57BF0" w:rsidP="001875A3">
            <w:pPr>
              <w:pStyle w:val="Seznamsodrkami3"/>
            </w:pPr>
            <w:r w:rsidRPr="00CF3D04">
              <w:t xml:space="preserve">Die Fahrbetriebskosten für die Linie </w:t>
            </w:r>
            <w:r>
              <w:t>RE</w:t>
            </w:r>
            <w:r w:rsidRPr="00CF3D04">
              <w:t xml:space="preserve"> 2 auf dem polnischen Streckenabschnitt zw</w:t>
            </w:r>
            <w:r w:rsidRPr="00E7448A">
              <w:t>i</w:t>
            </w:r>
            <w:r w:rsidRPr="00CF3D04">
              <w:t xml:space="preserve">schen Zittau und Hradek n. N. (2,7 Kilometer) werden zu je einem Drittel vom </w:t>
            </w:r>
            <w:r>
              <w:t>LK und</w:t>
            </w:r>
            <w:r w:rsidRPr="00CF3D04">
              <w:t xml:space="preserve"> vom ZVON getragen.</w:t>
            </w:r>
            <w:r>
              <w:t xml:space="preserve"> Das verbleibende Drittel wird von der Z-VOE getragen und ist nicht Bestandteil dieser Vereinbarung.</w:t>
            </w:r>
          </w:p>
          <w:p w:rsidR="00C57BF0" w:rsidRDefault="00C57BF0" w:rsidP="001875A3">
            <w:pPr>
              <w:pStyle w:val="Seznamsodrkami3"/>
            </w:pPr>
            <w:r w:rsidRPr="00CF3D04">
              <w:t xml:space="preserve">Die Fahrbetriebskosten für die Linie </w:t>
            </w:r>
            <w:r>
              <w:t>TL 70</w:t>
            </w:r>
            <w:r w:rsidRPr="00CF3D04">
              <w:t xml:space="preserve"> auf dem polnischen Streckenabschnitt zw</w:t>
            </w:r>
            <w:r w:rsidRPr="00E7448A">
              <w:t>i</w:t>
            </w:r>
            <w:r w:rsidRPr="00CF3D04">
              <w:t xml:space="preserve">schen Zittau und Hradek n. N. (2,7 Kilometer) werden zu je einem Drittel vom </w:t>
            </w:r>
            <w:r>
              <w:t>LK, vom UK und</w:t>
            </w:r>
            <w:r w:rsidRPr="00CF3D04">
              <w:t xml:space="preserve"> vom ZVON getragen.</w:t>
            </w:r>
          </w:p>
          <w:p w:rsidR="00C57BF0" w:rsidRPr="00CF3D04" w:rsidRDefault="00C57BF0" w:rsidP="001875A3">
            <w:pPr>
              <w:pStyle w:val="Seznamsodrkami3"/>
            </w:pPr>
            <w:r w:rsidRPr="00CF3D04">
              <w:t>Trassen- und Stationsentgelte werden den Aufgabenträgern nach den auf den jeweiligen Zuständigkeitsgebieten angefallenen Kosten gemäß den Vorgaben der Vergabeunterlagen zugeordnet.</w:t>
            </w:r>
            <w:r>
              <w:t xml:space="preserve"> Im Gebiet der Tschechischen Republik gehen die eventuellen, </w:t>
            </w:r>
            <w:r>
              <w:lastRenderedPageBreak/>
              <w:t>heute nicht anfallenden Kosten, zu lasten des jeweiligen Aufgabenträgers.</w:t>
            </w:r>
          </w:p>
          <w:p w:rsidR="00C57BF0" w:rsidRDefault="00C57BF0" w:rsidP="001875A3">
            <w:pPr>
              <w:pStyle w:val="Seznamsodrkami3"/>
            </w:pPr>
            <w:r w:rsidRPr="00CF3D04">
              <w:t>Die Erlöse aus Verbundtarifeinnahmen sind dem jeweiligen Verbundgebiet zuzuordnen.</w:t>
            </w:r>
          </w:p>
          <w:p w:rsidR="00C57BF0" w:rsidRPr="00CF3D04" w:rsidRDefault="00C57BF0" w:rsidP="001875A3">
            <w:pPr>
              <w:pStyle w:val="Seznamsodrkami3"/>
            </w:pPr>
            <w:r>
              <w:t>Die Kosten für den stationären Vertrieb</w:t>
            </w:r>
            <w:r w:rsidRPr="004C2901">
              <w:t xml:space="preserve"> </w:t>
            </w:r>
            <w:r w:rsidRPr="00CF3D04">
              <w:t>werden je Aufgabenträgergebiet separat abgefragt und den Aufgabenträgern entsprechend zugeordnet.</w:t>
            </w:r>
          </w:p>
          <w:p w:rsidR="00C57BF0" w:rsidRPr="00CF3D04" w:rsidRDefault="00C57BF0" w:rsidP="001875A3">
            <w:pPr>
              <w:pStyle w:val="Seznamsodrkami3"/>
            </w:pPr>
            <w:r w:rsidRPr="00CF3D04">
              <w:t>Die Vertragsbestimmungen enthalten maximale Zu- und Abbestellquoten</w:t>
            </w:r>
            <w:r>
              <w:t xml:space="preserve"> bei unverändertem Zuschuss je Zugkilometer und Aufgabenträger</w:t>
            </w:r>
            <w:r w:rsidRPr="00CF3D04">
              <w:t>. Die maximale</w:t>
            </w:r>
            <w:r>
              <w:t>n Zu- und</w:t>
            </w:r>
            <w:r w:rsidRPr="00CF3D04">
              <w:t xml:space="preserve"> Abbestellquote</w:t>
            </w:r>
            <w:r>
              <w:t>n beziehen sich auf das gesamte Leistungsvolumen des Verkehrsvertrages</w:t>
            </w:r>
            <w:r w:rsidRPr="00CF3D04">
              <w:t xml:space="preserve">. </w:t>
            </w:r>
            <w:r>
              <w:t>Zube</w:t>
            </w:r>
            <w:r w:rsidRPr="00CF3D04">
              <w:t>stellungen oder Abbestellungen von Verkehrsleistungen auf dem Gebiet eines Aufgabenträgers gehen zu Gunsten oder zu Lasten dieses Aufgabenträgers.</w:t>
            </w:r>
          </w:p>
          <w:p w:rsidR="00C57BF0" w:rsidRPr="00CF3D04" w:rsidRDefault="00C57BF0" w:rsidP="001875A3">
            <w:pPr>
              <w:pStyle w:val="Seznamsodrkami3"/>
            </w:pPr>
            <w:r w:rsidRPr="00CF3D04">
              <w:t xml:space="preserve">Jeder Aufgabenträger kann während der Laufzeit des Verkehrsvertrages eigenverantwortlich und im Rahmen der Zu- oder Abbestellquoten Verkehrsleistungen zusätzlich bestellen oder Verkehrsleistungen abbestellen, wenn dies mit dem anderen Aufgabenträger abgestimmt oder dessen Zuständigkeitsbereich nicht berührt ist. Überschreitungen der Zu- oder Abbestellquote sind – sofern </w:t>
            </w:r>
            <w:r>
              <w:t>mehrere</w:t>
            </w:r>
            <w:r w:rsidRPr="00CF3D04">
              <w:t xml:space="preserve"> Aufgabenträger betroffen sind – nur im Einvernehmen der </w:t>
            </w:r>
            <w:r>
              <w:t xml:space="preserve">betroffenen </w:t>
            </w:r>
            <w:r w:rsidRPr="00CF3D04">
              <w:t xml:space="preserve">Aufgabenträger zulässig. Überschreitet ein Aufgabenträger durch eine Zu- oder Abbestellung die Zu- oder Abbestellquote und ergeben sich daraus für den anderen Aufgabenträger wirtschaftliche Nachteile, so ist er dem anderen Aufgabenträger gegenüber zum Ausgleich verpflichtet. Die Parteien wirken in diesem Fall gemeinsam auf einen Ausgleich ohne unmittelbare Zahlung zwischen den Aufgabenträgern hin. Sie </w:t>
            </w:r>
            <w:r w:rsidRPr="00CF3D04">
              <w:lastRenderedPageBreak/>
              <w:t xml:space="preserve">ersuchen das EVU hierfür, den Preis für die Leistung für den belasteten Aufgabenträger in Höhe der wirtschaftlichen Nachteile zu verringern und in gleicher Höhe für den die wirtschaftlichen Nachteile verursachenden Aufgabenträger zu erhöhen. </w:t>
            </w:r>
          </w:p>
          <w:p w:rsidR="00C57BF0" w:rsidRDefault="00C57BF0" w:rsidP="001875A3">
            <w:pPr>
              <w:pStyle w:val="Seznamsodrkami3"/>
            </w:pPr>
            <w:r w:rsidRPr="00CF3D04">
              <w:t xml:space="preserve">Soweit bei Nicht- oder Schlechtleistungen die entsprechenden Leistungen keinem der Aufgabenträger eindeutig zugeordnet werden können, erfolgt der Abzug von Minderungsbeträgen durch die </w:t>
            </w:r>
            <w:r>
              <w:t xml:space="preserve">einzelnen </w:t>
            </w:r>
            <w:r w:rsidRPr="00CF3D04">
              <w:t>Aufgabenträger entsprechend dem prozentualen Anteil an dem von den Nicht- oder Schlechtleistungen betroffenen Zugkilometervolumen.</w:t>
            </w:r>
          </w:p>
          <w:p w:rsidR="001875A3" w:rsidRPr="00CF3D04" w:rsidRDefault="001875A3" w:rsidP="001875A3">
            <w:pPr>
              <w:pStyle w:val="Pokraovnseznamu"/>
            </w:pPr>
          </w:p>
          <w:p w:rsidR="00C57BF0" w:rsidRPr="00CF3D04" w:rsidRDefault="00C57BF0" w:rsidP="001875A3">
            <w:pPr>
              <w:pStyle w:val="slovanseznam"/>
            </w:pPr>
            <w:r w:rsidRPr="00CF3D04">
              <w:t xml:space="preserve">Die Vergabeakte führt der ZVON stellvertretend für die Aufgabenträger. Die vom ZVON zu erstellenden Unterlagen der Vergabeakte, insbesondere die fortlaufende Dokumentation des Vergabeverfahrens nach § </w:t>
            </w:r>
            <w:r w:rsidR="00CE1E51">
              <w:t>8 VgV</w:t>
            </w:r>
            <w:r w:rsidRPr="00CF3D04">
              <w:t xml:space="preserve"> einschließlich der Dokumentation über die Prüfung der Angebote und über die Gründe für die Zuschlagsentscheidung werden zwischen den Aufgabenträgern einvernehmlich abgestimmt. Jeweils nach Fertigstellung und entsprechend dem Fortgang des Vergabeverfahrens erh</w:t>
            </w:r>
            <w:r>
              <w:t xml:space="preserve">alten </w:t>
            </w:r>
            <w:r w:rsidRPr="00CF3D04">
              <w:t xml:space="preserve">der </w:t>
            </w:r>
            <w:r>
              <w:t>LK und der UK</w:t>
            </w:r>
            <w:r w:rsidRPr="00CF3D04">
              <w:t xml:space="preserve"> vom ZVON unaufgefordert alle Dokumente der Vergabeakte.</w:t>
            </w:r>
          </w:p>
          <w:p w:rsidR="001875A3" w:rsidRDefault="001875A3" w:rsidP="001875A3">
            <w:pPr>
              <w:pStyle w:val="Pokraovnseznamu"/>
            </w:pPr>
          </w:p>
          <w:p w:rsidR="00C57BF0" w:rsidRPr="00CF3D04" w:rsidRDefault="00C57BF0" w:rsidP="001875A3">
            <w:pPr>
              <w:pStyle w:val="slovanseznam"/>
            </w:pPr>
            <w:r w:rsidRPr="00CF3D04">
              <w:t xml:space="preserve">Die notwendigen Veröffentlichungen im EU-Amtsblatt sowie der Versand der Vergabeunterlagen werden durch den ZVON durchgeführt. Der ZVON überlässt dem </w:t>
            </w:r>
            <w:r>
              <w:t>LK und dem UK</w:t>
            </w:r>
            <w:r w:rsidRPr="00CF3D04">
              <w:t xml:space="preserve"> je eine Ausfertigung der eingehenden Angebote.</w:t>
            </w:r>
          </w:p>
          <w:p w:rsidR="001875A3" w:rsidRDefault="001875A3" w:rsidP="001875A3">
            <w:pPr>
              <w:pStyle w:val="Pokraovnseznamu"/>
            </w:pPr>
          </w:p>
          <w:p w:rsidR="00C57BF0" w:rsidRPr="00CF3D04" w:rsidRDefault="00C57BF0" w:rsidP="001875A3">
            <w:pPr>
              <w:pStyle w:val="slovanseznam"/>
            </w:pPr>
            <w:r w:rsidRPr="00CF3D04">
              <w:t xml:space="preserve">Nach abgeschlossener Prüfung und Wertung der Angebote durch den ZVON wird dieser unverzüglich einen Vergabevorschlag erarbeiten. Die Entscheidung über die </w:t>
            </w:r>
            <w:r w:rsidRPr="00CF3D04">
              <w:lastRenderedPageBreak/>
              <w:t xml:space="preserve">Vergabe soll spätestens sechs Wochen nach Vorlage des Vorschlags getroffen werden. </w:t>
            </w:r>
          </w:p>
          <w:p w:rsidR="001875A3" w:rsidRDefault="001875A3" w:rsidP="001875A3">
            <w:pPr>
              <w:pStyle w:val="Pokraovnseznamu"/>
            </w:pPr>
          </w:p>
          <w:p w:rsidR="00C57BF0" w:rsidRPr="00CF3D04" w:rsidRDefault="00C57BF0" w:rsidP="001875A3">
            <w:pPr>
              <w:pStyle w:val="slovanseznam"/>
            </w:pPr>
            <w:r w:rsidRPr="00CF3D04">
              <w:t>Der Zuschlag wird gemäß §</w:t>
            </w:r>
            <w:r w:rsidR="00CE1E51">
              <w:rPr>
                <w:lang w:val="cs-CZ"/>
              </w:rPr>
              <w:t>§</w:t>
            </w:r>
            <w:r w:rsidR="00CE1E51">
              <w:t xml:space="preserve"> 127 Abs. 1 Satz 1 GWB, 58 Abs. 1 VgV</w:t>
            </w:r>
            <w:r w:rsidRPr="00CF3D04">
              <w:t xml:space="preserve"> auf das wirtschaftlichste Angebot erteilt.</w:t>
            </w:r>
          </w:p>
          <w:p w:rsidR="001875A3" w:rsidRDefault="001875A3" w:rsidP="001875A3">
            <w:pPr>
              <w:pStyle w:val="Pokraovnseznamu"/>
            </w:pPr>
          </w:p>
          <w:p w:rsidR="00671C69" w:rsidRDefault="00C57BF0" w:rsidP="00CE1E51">
            <w:pPr>
              <w:pStyle w:val="slovanseznam"/>
            </w:pPr>
            <w:r w:rsidRPr="00CF3D04">
              <w:t>Das Vergabeverfahren darf rechtmäßig nur aufgehoben werden, wenn einer der in § </w:t>
            </w:r>
            <w:r w:rsidR="00CE1E51">
              <w:t>63 Abs. 1 VgV</w:t>
            </w:r>
            <w:r w:rsidRPr="00CF3D04">
              <w:t xml:space="preserve"> genannten Gründe für mindestens einen der beteiligten Aufgabenträger vorliegt. Darauf wird in den Vergabeunterlagen ausdrücklich hingewiesen. </w:t>
            </w:r>
            <w:bookmarkStart w:id="19" w:name="OLE_LINK1"/>
            <w:r w:rsidRPr="00CF3D04">
              <w:t>Die Aufgabenträger verständigen sich in diesem Fall, ob die Voraussetzungen für eine Aufhebung des Vergabeverfahrens gegeben sind.</w:t>
            </w:r>
            <w:bookmarkEnd w:id="19"/>
          </w:p>
        </w:tc>
      </w:tr>
      <w:tr w:rsidR="00671C69" w:rsidTr="00285A1B">
        <w:tc>
          <w:tcPr>
            <w:tcW w:w="7213" w:type="dxa"/>
          </w:tcPr>
          <w:p w:rsidR="00671C69" w:rsidRPr="005F56E5" w:rsidRDefault="00671C69" w:rsidP="0058275C">
            <w:pPr>
              <w:pStyle w:val="Nadpis1"/>
              <w:outlineLvl w:val="0"/>
              <w:rPr>
                <w:lang w:val="en-US"/>
              </w:rPr>
            </w:pPr>
            <w:bookmarkStart w:id="20" w:name="_Toc447179499"/>
            <w:bookmarkStart w:id="21" w:name="_Toc447185419"/>
            <w:r w:rsidRPr="00824526">
              <w:rPr>
                <w:lang w:val="cs-CZ"/>
              </w:rPr>
              <w:lastRenderedPageBreak/>
              <w:t xml:space="preserve">§ 4 </w:t>
            </w:r>
            <w:r w:rsidRPr="0058275C">
              <w:t>Náklady</w:t>
            </w:r>
            <w:r w:rsidRPr="00824526">
              <w:rPr>
                <w:lang w:val="cs-CZ"/>
              </w:rPr>
              <w:t xml:space="preserve"> zadávacího řízení</w:t>
            </w:r>
            <w:bookmarkEnd w:id="20"/>
            <w:bookmarkEnd w:id="21"/>
          </w:p>
          <w:p w:rsidR="00671C69" w:rsidRPr="0058275C" w:rsidRDefault="00671C69" w:rsidP="0058275C">
            <w:pPr>
              <w:pStyle w:val="slovanseznam"/>
              <w:numPr>
                <w:ilvl w:val="0"/>
                <w:numId w:val="26"/>
              </w:numPr>
              <w:rPr>
                <w:lang w:val="en-US"/>
              </w:rPr>
            </w:pPr>
            <w:r w:rsidRPr="0058275C">
              <w:rPr>
                <w:lang w:val="cs-CZ"/>
              </w:rPr>
              <w:t xml:space="preserve">Vlastní náklady objednatelů spojené s přípravou a realizací zadávacího řízení ponesou sami objednatelé. </w:t>
            </w:r>
          </w:p>
          <w:p w:rsidR="0058275C" w:rsidRDefault="0058275C" w:rsidP="0058275C">
            <w:pPr>
              <w:pStyle w:val="Pokraovnseznamu"/>
            </w:pPr>
            <w:bookmarkStart w:id="22" w:name="OLE_LINK3"/>
          </w:p>
          <w:p w:rsidR="0058275C" w:rsidRDefault="0058275C" w:rsidP="0058275C">
            <w:pPr>
              <w:pStyle w:val="Pokraovnseznamu"/>
            </w:pPr>
          </w:p>
          <w:p w:rsidR="00671C69" w:rsidRPr="005F56E5" w:rsidRDefault="00671C69" w:rsidP="0058275C">
            <w:pPr>
              <w:pStyle w:val="slovanseznam"/>
              <w:rPr>
                <w:lang w:val="en-US"/>
              </w:rPr>
            </w:pPr>
            <w:r w:rsidRPr="00824526">
              <w:rPr>
                <w:lang w:val="cs-CZ"/>
              </w:rPr>
              <w:t>Náklady na externí právní poradenství během realizace zadávacího řízení právníkem panem Dr. Stockmannem z advokátní kanceláře Schumann Rechtsanwälte Notare, Berlin, ponesou objednatelé dle svého procentuálního podílu na soutěžených dopravních výkonech.</w:t>
            </w:r>
            <w:r w:rsidRPr="005F56E5">
              <w:rPr>
                <w:lang w:val="en-US"/>
              </w:rPr>
              <w:t xml:space="preserve"> </w:t>
            </w:r>
            <w:r w:rsidRPr="00824526">
              <w:rPr>
                <w:lang w:val="cs-CZ"/>
              </w:rPr>
              <w:t>Vyňaty jsou ty náklady, které vzniknou pouze na základě zadání nebo požadavku jednoho z nositelů závazku.</w:t>
            </w:r>
            <w:r w:rsidRPr="005F56E5">
              <w:rPr>
                <w:lang w:val="en-US"/>
              </w:rPr>
              <w:t xml:space="preserve"> </w:t>
            </w:r>
            <w:bookmarkEnd w:id="22"/>
            <w:r w:rsidRPr="00824526">
              <w:rPr>
                <w:lang w:val="cs-CZ"/>
              </w:rPr>
              <w:t>Náklady na dodatečná dobrozdání/stanoviska a kontroly, které vzniknou na základě zadání nebo požadavku pouze jednoho z objednatelů, ponese tento dotčený objednatel.</w:t>
            </w:r>
          </w:p>
          <w:p w:rsidR="0058275C" w:rsidRDefault="0058275C" w:rsidP="0058275C">
            <w:pPr>
              <w:pStyle w:val="Pokraovnseznamu"/>
            </w:pPr>
          </w:p>
          <w:p w:rsidR="0058275C" w:rsidRDefault="0058275C" w:rsidP="0058275C">
            <w:pPr>
              <w:pStyle w:val="Pokraovnseznamu"/>
            </w:pPr>
          </w:p>
          <w:p w:rsidR="00671C69" w:rsidRPr="005F56E5" w:rsidRDefault="00671C69" w:rsidP="0058275C">
            <w:pPr>
              <w:pStyle w:val="slovanseznam"/>
              <w:rPr>
                <w:lang w:val="en-US"/>
              </w:rPr>
            </w:pPr>
            <w:r w:rsidRPr="00824526">
              <w:rPr>
                <w:lang w:val="cs-CZ"/>
              </w:rPr>
              <w:lastRenderedPageBreak/>
              <w:t>Náklady za externí poradenství poradcem/konzultantem během realizace zadávacího řízení ponesou objednatelé dle svého procentuálního podílu na soutěžených výkonech, s výjimkou nákladů, které byly zapříčiněny z důvodu zadání nebo požadavku pouze jednoho objednatele.</w:t>
            </w:r>
          </w:p>
          <w:p w:rsidR="00671C69" w:rsidRDefault="00671C69" w:rsidP="0005590C"/>
        </w:tc>
        <w:tc>
          <w:tcPr>
            <w:tcW w:w="7214" w:type="dxa"/>
          </w:tcPr>
          <w:p w:rsidR="00C57BF0" w:rsidRPr="00CF3D04" w:rsidRDefault="00C57BF0" w:rsidP="00B963A8">
            <w:pPr>
              <w:pStyle w:val="Nadpis2"/>
              <w:outlineLvl w:val="1"/>
            </w:pPr>
            <w:bookmarkStart w:id="23" w:name="_Toc447179470"/>
            <w:bookmarkStart w:id="24" w:name="_Toc447185430"/>
            <w:r w:rsidRPr="00CF3D04">
              <w:lastRenderedPageBreak/>
              <w:t xml:space="preserve">§ 4 Kosten des </w:t>
            </w:r>
            <w:r w:rsidRPr="0058275C">
              <w:t>Vergabeverfahrens</w:t>
            </w:r>
            <w:bookmarkEnd w:id="23"/>
            <w:bookmarkEnd w:id="24"/>
          </w:p>
          <w:p w:rsidR="00C57BF0" w:rsidRPr="00CF3D04" w:rsidRDefault="00C57BF0" w:rsidP="0058275C">
            <w:pPr>
              <w:pStyle w:val="slovanseznam"/>
              <w:numPr>
                <w:ilvl w:val="0"/>
                <w:numId w:val="27"/>
              </w:numPr>
            </w:pPr>
            <w:r w:rsidRPr="00CF3D04">
              <w:t>Die mit der Vorbereitung und Durchführung des Vergabeverfahrens verbundenen eigenen Aufwendungen der Aufgabenträger werden von diesen selbst getragen.</w:t>
            </w:r>
          </w:p>
          <w:p w:rsidR="0058275C" w:rsidRDefault="0058275C" w:rsidP="0058275C">
            <w:pPr>
              <w:pStyle w:val="Pokraovnseznamu"/>
            </w:pPr>
          </w:p>
          <w:p w:rsidR="00C57BF0" w:rsidRPr="00CF3D04" w:rsidRDefault="00C57BF0" w:rsidP="0058275C">
            <w:pPr>
              <w:pStyle w:val="slovanseznam"/>
            </w:pPr>
            <w:r w:rsidRPr="00CF3D04">
              <w:t>Die Kosten für eine externe Rechtsberatung während der Durchführung des Vergabeverfahrens durch Rechtsanwalt Herrn Dr. Stockmann der Anwaltskanzlei Schumann Rechtsanwälte Notare, Berlin, tragen die Aufgabenträger nach ihrem prozentualen Anteil an den ausgeschriebenen Verkehrsleistungen. Ausgenommen sind die Kosten, die allein auf Grund der Vorgabe oder Forderung eines Aufgabenträgers verursacht werden.</w:t>
            </w:r>
            <w:r>
              <w:t xml:space="preserve"> </w:t>
            </w:r>
            <w:r w:rsidRPr="00CF3D04">
              <w:t>Kosten für zusätzliche Stellungnahmen und Prüfungen, die allein auf Grund der Vorgabe oder Forderung eines Aufgabenträgers verursacht werden, sind vom betreffenden Aufgabenträger zu tragen.</w:t>
            </w:r>
          </w:p>
          <w:p w:rsidR="0058275C" w:rsidRDefault="0058275C" w:rsidP="0058275C">
            <w:pPr>
              <w:pStyle w:val="Pokraovnseznamu"/>
            </w:pPr>
          </w:p>
          <w:p w:rsidR="00C57BF0" w:rsidRPr="00CF3D04" w:rsidRDefault="00C57BF0" w:rsidP="0058275C">
            <w:pPr>
              <w:pStyle w:val="slovanseznam"/>
            </w:pPr>
            <w:r w:rsidRPr="00CF3D04">
              <w:lastRenderedPageBreak/>
              <w:t>Die Kosten für eine externe Beratung durch einen Consultant während der Durchführung des Vergabeverfahrens tragen die Aufgabenträger nach ihrem prozentualen Anteil an den ausgeschriebenen Verkehrsleistungen, mit Ausnahme der Kosten, die allein auf Grund der Vorgabe oder Forderung eines Aufgabenträgers verursacht werden.</w:t>
            </w:r>
          </w:p>
          <w:p w:rsidR="00671C69" w:rsidRDefault="00671C69" w:rsidP="0005590C"/>
        </w:tc>
      </w:tr>
      <w:tr w:rsidR="00671C69" w:rsidTr="00285A1B">
        <w:tc>
          <w:tcPr>
            <w:tcW w:w="7213" w:type="dxa"/>
          </w:tcPr>
          <w:p w:rsidR="00671C69" w:rsidRPr="005F56E5" w:rsidRDefault="00671C69" w:rsidP="00873F89">
            <w:pPr>
              <w:pStyle w:val="Nadpis1"/>
              <w:outlineLvl w:val="0"/>
              <w:rPr>
                <w:lang w:val="en-US"/>
              </w:rPr>
            </w:pPr>
            <w:bookmarkStart w:id="25" w:name="_Toc447179500"/>
            <w:bookmarkStart w:id="26" w:name="_Toc447185420"/>
            <w:r w:rsidRPr="00824526">
              <w:rPr>
                <w:lang w:val="cs-CZ"/>
              </w:rPr>
              <w:lastRenderedPageBreak/>
              <w:t xml:space="preserve">§ 5 Náklady </w:t>
            </w:r>
            <w:r w:rsidRPr="00873F89">
              <w:t>přezkumných</w:t>
            </w:r>
            <w:r w:rsidRPr="00824526">
              <w:rPr>
                <w:lang w:val="cs-CZ"/>
              </w:rPr>
              <w:t xml:space="preserve"> řízení, nároky </w:t>
            </w:r>
            <w:r w:rsidR="00873F89">
              <w:rPr>
                <w:lang w:val="cs-CZ"/>
              </w:rPr>
              <w:br/>
            </w:r>
            <w:r w:rsidRPr="00824526">
              <w:rPr>
                <w:lang w:val="cs-CZ"/>
              </w:rPr>
              <w:t>na náhradu škody</w:t>
            </w:r>
            <w:bookmarkEnd w:id="25"/>
            <w:bookmarkEnd w:id="26"/>
          </w:p>
          <w:p w:rsidR="00671C69" w:rsidRPr="00873F89" w:rsidRDefault="00671C69" w:rsidP="00873F89">
            <w:pPr>
              <w:pStyle w:val="slovanseznam"/>
              <w:numPr>
                <w:ilvl w:val="0"/>
                <w:numId w:val="28"/>
              </w:numPr>
              <w:rPr>
                <w:lang w:val="en-US"/>
              </w:rPr>
            </w:pPr>
            <w:r w:rsidRPr="00873F89">
              <w:rPr>
                <w:lang w:val="cs-CZ"/>
              </w:rPr>
              <w:t>Každý objednatel sám ponese náklady a škody, které u něj vzniknou z důvodů případných přezkumných řízení, s výhradou ustanovení následujících odstavců.</w:t>
            </w:r>
            <w:r w:rsidRPr="00873F89">
              <w:rPr>
                <w:lang w:val="en-US"/>
              </w:rPr>
              <w:t xml:space="preserve"> </w:t>
            </w:r>
            <w:r w:rsidRPr="00873F89">
              <w:rPr>
                <w:lang w:val="cs-CZ"/>
              </w:rPr>
              <w:t>Oprávněné nároky třetích osob vůči společenství objednatelů ponesou objednatelé v poměru jejich podílu na zadávaném objemu výkonů (vlakokm).</w:t>
            </w:r>
          </w:p>
          <w:p w:rsidR="00873F89" w:rsidRDefault="00873F89" w:rsidP="00873F89">
            <w:pPr>
              <w:pStyle w:val="Pokraovnseznamu"/>
            </w:pPr>
          </w:p>
          <w:p w:rsidR="00873F89" w:rsidRDefault="00873F89" w:rsidP="00873F89">
            <w:pPr>
              <w:pStyle w:val="Pokraovnseznamu"/>
            </w:pPr>
          </w:p>
          <w:p w:rsidR="00671C69" w:rsidRPr="005F56E5" w:rsidRDefault="00671C69" w:rsidP="00873F89">
            <w:pPr>
              <w:pStyle w:val="slovanseznam"/>
              <w:rPr>
                <w:lang w:val="en-US"/>
              </w:rPr>
            </w:pPr>
            <w:r w:rsidRPr="00824526">
              <w:rPr>
                <w:lang w:val="cs-CZ"/>
              </w:rPr>
              <w:t xml:space="preserve">Pokud </w:t>
            </w:r>
            <w:r>
              <w:rPr>
                <w:lang w:val="cs-CZ"/>
              </w:rPr>
              <w:t xml:space="preserve">nositelé závazku </w:t>
            </w:r>
            <w:r w:rsidRPr="00824526">
              <w:rPr>
                <w:lang w:val="cs-CZ"/>
              </w:rPr>
              <w:t>společně pověří externí právní subjekt v souvislosti s pře</w:t>
            </w:r>
            <w:r>
              <w:rPr>
                <w:lang w:val="cs-CZ"/>
              </w:rPr>
              <w:t>z</w:t>
            </w:r>
            <w:r w:rsidRPr="00824526">
              <w:rPr>
                <w:lang w:val="cs-CZ"/>
              </w:rPr>
              <w:t>kumným řízením zadávacího řízení, ponesou nositelé závazku náklady v poměru svých podíl</w:t>
            </w:r>
            <w:r>
              <w:rPr>
                <w:lang w:val="cs-CZ"/>
              </w:rPr>
              <w:t>ů</w:t>
            </w:r>
            <w:r w:rsidRPr="00824526">
              <w:rPr>
                <w:lang w:val="cs-CZ"/>
              </w:rPr>
              <w:t xml:space="preserve"> na zadávaném objemu výkonů (vlakokm).</w:t>
            </w:r>
            <w:r w:rsidRPr="005F56E5">
              <w:rPr>
                <w:lang w:val="en-US"/>
              </w:rPr>
              <w:t xml:space="preserve"> </w:t>
            </w:r>
            <w:r w:rsidRPr="00824526">
              <w:rPr>
                <w:lang w:val="cs-CZ"/>
              </w:rPr>
              <w:t xml:space="preserve">Společné pověření advokáta vyžaduje souhlas </w:t>
            </w:r>
            <w:r>
              <w:rPr>
                <w:lang w:val="cs-CZ"/>
              </w:rPr>
              <w:t xml:space="preserve">všech </w:t>
            </w:r>
            <w:r w:rsidRPr="00824526">
              <w:rPr>
                <w:lang w:val="cs-CZ"/>
              </w:rPr>
              <w:t>nositelů závazku.</w:t>
            </w:r>
          </w:p>
          <w:p w:rsidR="00873F89" w:rsidRDefault="00873F89" w:rsidP="00873F89">
            <w:pPr>
              <w:pStyle w:val="Pokraovnseznamu"/>
            </w:pPr>
          </w:p>
          <w:p w:rsidR="00873F89" w:rsidRDefault="00873F89" w:rsidP="00873F89">
            <w:pPr>
              <w:pStyle w:val="Pokraovnseznamu"/>
            </w:pPr>
          </w:p>
          <w:p w:rsidR="00671C69" w:rsidRDefault="00671C69" w:rsidP="00873F89">
            <w:pPr>
              <w:pStyle w:val="slovanseznam"/>
            </w:pPr>
            <w:r w:rsidRPr="00824526">
              <w:rPr>
                <w:lang w:val="cs-CZ"/>
              </w:rPr>
              <w:t xml:space="preserve">Pokud je jeden z objednatelů sám odpovědný za náklady či škody vzniklé jinému objednateli nebo třetím osobám, </w:t>
            </w:r>
            <w:r>
              <w:rPr>
                <w:lang w:val="cs-CZ"/>
              </w:rPr>
              <w:t>odpovídá</w:t>
            </w:r>
            <w:r w:rsidRPr="00824526">
              <w:rPr>
                <w:lang w:val="cs-CZ"/>
              </w:rPr>
              <w:t xml:space="preserve"> tento sám.</w:t>
            </w:r>
            <w:r w:rsidRPr="005F56E5">
              <w:rPr>
                <w:lang w:val="en-US"/>
              </w:rPr>
              <w:t xml:space="preserve"> </w:t>
            </w:r>
            <w:r w:rsidRPr="00824526">
              <w:rPr>
                <w:lang w:val="cs-CZ"/>
              </w:rPr>
              <w:t>Toto zahrnuje také možné náklady přezkumného řízení zadávacího řízení včetně postupu při vyřizování stížností.</w:t>
            </w:r>
            <w:r w:rsidRPr="005F56E5">
              <w:rPr>
                <w:lang w:val="en-US"/>
              </w:rPr>
              <w:t xml:space="preserve"> </w:t>
            </w:r>
            <w:r w:rsidRPr="00824526">
              <w:rPr>
                <w:lang w:val="cs-CZ"/>
              </w:rPr>
              <w:t xml:space="preserve">Pro všechny výkony ZVONu vůči LK a ÚK dle této dohody je ručení vůči LK a ÚK omezeno na péči ve </w:t>
            </w:r>
            <w:r w:rsidRPr="00824526">
              <w:rPr>
                <w:lang w:val="cs-CZ"/>
              </w:rPr>
              <w:lastRenderedPageBreak/>
              <w:t>vlastních záležitostech dle § 277 BGB.</w:t>
            </w:r>
          </w:p>
        </w:tc>
        <w:tc>
          <w:tcPr>
            <w:tcW w:w="7214" w:type="dxa"/>
          </w:tcPr>
          <w:p w:rsidR="00C57BF0" w:rsidRPr="00CF3D04" w:rsidRDefault="00C57BF0" w:rsidP="00B963A8">
            <w:pPr>
              <w:pStyle w:val="Nadpis2"/>
              <w:outlineLvl w:val="1"/>
            </w:pPr>
            <w:bookmarkStart w:id="27" w:name="_Toc447179471"/>
            <w:bookmarkStart w:id="28" w:name="_Toc447185431"/>
            <w:r w:rsidRPr="00CF3D04">
              <w:lastRenderedPageBreak/>
              <w:t>§ 5 Kosten von Nachprüfungsverfahren, Schadensersatzansprüche</w:t>
            </w:r>
            <w:bookmarkEnd w:id="27"/>
            <w:bookmarkEnd w:id="28"/>
          </w:p>
          <w:p w:rsidR="00C57BF0" w:rsidRPr="00CF3D04" w:rsidRDefault="00C57BF0" w:rsidP="00873F89">
            <w:pPr>
              <w:pStyle w:val="slovanseznam"/>
              <w:numPr>
                <w:ilvl w:val="0"/>
                <w:numId w:val="29"/>
              </w:numPr>
            </w:pPr>
            <w:r w:rsidRPr="00CF3D04">
              <w:t>Jeder Aufgabenträger trägt die aus der Durchführung etwaiger Nachprüfungsverfahren bei ihm entstehenden Kosten oder Schäden vorbehaltlich der Regelungen der folgenden Absätze allein. Berechtigte Ansprüche Dritter gegen die Aufgabenträgergemeinschaft werden von den Aufgabenträgern im Verhältnis ihres Anteils am zu vergebenden Leistungsvolumen (Zugkm) getragen.</w:t>
            </w:r>
          </w:p>
          <w:p w:rsidR="00873F89" w:rsidRDefault="00873F89" w:rsidP="00873F89">
            <w:pPr>
              <w:pStyle w:val="Pokraovnseznamu"/>
            </w:pPr>
          </w:p>
          <w:p w:rsidR="00C57BF0" w:rsidRPr="00CF3D04" w:rsidRDefault="00C57BF0" w:rsidP="00873F89">
            <w:pPr>
              <w:pStyle w:val="slovanseznam"/>
            </w:pPr>
            <w:r w:rsidRPr="00CF3D04">
              <w:t>Sofern die Aufgabenträger im Zusammenhang mit einem Vergabenachprüfungsverfahren gemeinsam eine externe Rechtsberatung beauftragen, tragen die Aufgabenträger im Ve</w:t>
            </w:r>
            <w:r w:rsidRPr="005F6B23">
              <w:t>r</w:t>
            </w:r>
            <w:r w:rsidRPr="00CF3D04">
              <w:t xml:space="preserve">hältnis ihres Anteils am zu vergebenden Leistungsvolumen (Zugkm) die Kosten. Die gemeinsame Beauftragung eines Rechtsanwalts erfordert die Zustimmung </w:t>
            </w:r>
            <w:r>
              <w:t>aller</w:t>
            </w:r>
            <w:r w:rsidRPr="00CF3D04">
              <w:t xml:space="preserve"> Aufgabenträger.</w:t>
            </w:r>
          </w:p>
          <w:p w:rsidR="00873F89" w:rsidRDefault="00873F89" w:rsidP="00873F89">
            <w:pPr>
              <w:pStyle w:val="Pokraovnseznamu"/>
            </w:pPr>
          </w:p>
          <w:p w:rsidR="00671C69" w:rsidRDefault="00C57BF0" w:rsidP="00EF49FF">
            <w:pPr>
              <w:pStyle w:val="slovanseznam"/>
            </w:pPr>
            <w:r w:rsidRPr="00CF3D04">
              <w:t xml:space="preserve">Hat ein Aufgabenträger eingetretene Kosten oder Schäden des anderen Aufgabenträgers oder Dritter allein zu vertreten, haftet er allein. Dies schließt mögliche Kosten eines Vergabenachprüfungsverfahrens einschließlich eines Beschwerdeverfahrens ein. Für alle Leistungen des ZVON gegenüber dem </w:t>
            </w:r>
            <w:r>
              <w:t>LK und dem UK</w:t>
            </w:r>
            <w:r w:rsidRPr="00CF3D04">
              <w:t xml:space="preserve"> nach dieser Ve</w:t>
            </w:r>
            <w:r w:rsidRPr="005F6B23">
              <w:t>r</w:t>
            </w:r>
            <w:r w:rsidRPr="00CF3D04">
              <w:t xml:space="preserve">einbarung ist </w:t>
            </w:r>
            <w:r w:rsidRPr="00CF3D04">
              <w:lastRenderedPageBreak/>
              <w:t xml:space="preserve">seine Haftung gegenüber dem </w:t>
            </w:r>
            <w:r>
              <w:t>LK und dem UK</w:t>
            </w:r>
            <w:r w:rsidRPr="00CF3D04">
              <w:t xml:space="preserve"> auf die Sorgfalt in eigenen Angelegenheiten nach § 277 BGB beschränkt.</w:t>
            </w:r>
          </w:p>
        </w:tc>
      </w:tr>
      <w:tr w:rsidR="00671C69" w:rsidTr="00285A1B">
        <w:tc>
          <w:tcPr>
            <w:tcW w:w="7213" w:type="dxa"/>
          </w:tcPr>
          <w:p w:rsidR="00671C69" w:rsidRPr="005F56E5" w:rsidRDefault="00671C69" w:rsidP="00D03A96">
            <w:pPr>
              <w:pStyle w:val="Nadpis1"/>
              <w:outlineLvl w:val="0"/>
              <w:rPr>
                <w:lang w:val="en-US"/>
              </w:rPr>
            </w:pPr>
            <w:bookmarkStart w:id="29" w:name="_Toc447179501"/>
            <w:bookmarkStart w:id="30" w:name="_Toc447185421"/>
            <w:r w:rsidRPr="00824526">
              <w:rPr>
                <w:lang w:val="cs-CZ"/>
              </w:rPr>
              <w:lastRenderedPageBreak/>
              <w:t xml:space="preserve">§ 6 Plánování </w:t>
            </w:r>
            <w:r w:rsidRPr="00D03A96">
              <w:t>budoucí</w:t>
            </w:r>
            <w:r w:rsidRPr="00824526">
              <w:rPr>
                <w:lang w:val="cs-CZ"/>
              </w:rPr>
              <w:t xml:space="preserve"> nabídky drážní regionální osobní dopravy, následná zadávací řízení</w:t>
            </w:r>
            <w:bookmarkEnd w:id="29"/>
            <w:bookmarkEnd w:id="30"/>
          </w:p>
          <w:p w:rsidR="00671C69" w:rsidRPr="00D03A96" w:rsidRDefault="00671C69" w:rsidP="00D03A96">
            <w:pPr>
              <w:pStyle w:val="slovanseznam"/>
              <w:numPr>
                <w:ilvl w:val="0"/>
                <w:numId w:val="30"/>
              </w:numPr>
              <w:rPr>
                <w:lang w:val="en-US"/>
              </w:rPr>
            </w:pPr>
            <w:r w:rsidRPr="00D03A96">
              <w:rPr>
                <w:lang w:val="cs-CZ"/>
              </w:rPr>
              <w:t>Nutná projednávání jízdních řádů pro objednávku dopravy přes hranice území jednotlivých objednatelů na základě dopravní smlouvy, která má být uzavřena, budou probíhat s dostatečným předstihem před začátkem následujícího nového roku jízdních řádů.</w:t>
            </w:r>
            <w:r w:rsidRPr="00D03A96">
              <w:rPr>
                <w:lang w:val="en-US"/>
              </w:rPr>
              <w:t xml:space="preserve"> </w:t>
            </w:r>
            <w:r w:rsidRPr="00D03A96">
              <w:rPr>
                <w:lang w:val="cs-CZ"/>
              </w:rPr>
              <w:t>Přání jednoho z objednatelů na úpravy jízdních řádů na linkách železniční regionální dopravy musí být druhému objednateli oznámena nejméně 12 měsíců před změnou jízdních řádů, pokud z budoucí dopravní smlouvy pro realizaci vyplyne delší lhůta, pak o to dříve.</w:t>
            </w:r>
            <w:r w:rsidRPr="00D03A96">
              <w:rPr>
                <w:lang w:val="en-US"/>
              </w:rPr>
              <w:t xml:space="preserve"> </w:t>
            </w:r>
            <w:r w:rsidRPr="00D03A96">
              <w:rPr>
                <w:lang w:val="cs-CZ"/>
              </w:rPr>
              <w:t>Nedohodnou-li se objednatelé bude dále platit nabídka výkonů předchozího roku jízdních řádů.</w:t>
            </w:r>
          </w:p>
          <w:p w:rsidR="00D03A96" w:rsidRDefault="00D03A96" w:rsidP="00D03A96">
            <w:pPr>
              <w:pStyle w:val="Pokraovnseznamu"/>
            </w:pPr>
          </w:p>
          <w:p w:rsidR="00EF49FF" w:rsidRDefault="00EF49FF" w:rsidP="00D03A96">
            <w:pPr>
              <w:pStyle w:val="Pokraovnseznamu"/>
            </w:pPr>
          </w:p>
          <w:p w:rsidR="00EF49FF" w:rsidRDefault="00EF49FF" w:rsidP="00D03A96">
            <w:pPr>
              <w:pStyle w:val="Pokraovnseznamu"/>
            </w:pPr>
          </w:p>
          <w:p w:rsidR="00671C69" w:rsidRPr="005F56E5" w:rsidRDefault="00671C69" w:rsidP="00D03A96">
            <w:pPr>
              <w:pStyle w:val="slovanseznam"/>
              <w:rPr>
                <w:lang w:val="cs-CZ"/>
              </w:rPr>
            </w:pPr>
            <w:r w:rsidRPr="00824526">
              <w:rPr>
                <w:lang w:val="cs-CZ"/>
              </w:rPr>
              <w:t>Objednatelé budou vzájemně projednávat další rozvoj dopravy přesahující dosah jednotlivých objednatelů nad rámec odst. 1, pokud budou dotčeny drážní výkony, které jsou předmětem této dohody.</w:t>
            </w:r>
          </w:p>
          <w:p w:rsidR="00D03A96" w:rsidRDefault="00D03A96" w:rsidP="00D03A96">
            <w:pPr>
              <w:pStyle w:val="Pokraovnseznamu"/>
            </w:pPr>
          </w:p>
          <w:p w:rsidR="00671C69" w:rsidRDefault="00671C69" w:rsidP="00EF49FF">
            <w:pPr>
              <w:pStyle w:val="slovanseznam"/>
            </w:pPr>
            <w:r w:rsidRPr="00824526">
              <w:rPr>
                <w:lang w:val="cs-CZ"/>
              </w:rPr>
              <w:t>Objednatelé budou plánovat nabídku drážní regionální osobní dopravy na linkách, které jsou předmětem toho zadávacího řízení, i v době po vypršení dopravní smlouvy, jež je předmětem tohoto zadávacího řízení, se společným cílem realizace dalšího společného zadávacího řízení na budoucí plánované výkony drážní regionální osobní dopravy.</w:t>
            </w:r>
          </w:p>
        </w:tc>
        <w:tc>
          <w:tcPr>
            <w:tcW w:w="7214" w:type="dxa"/>
          </w:tcPr>
          <w:p w:rsidR="00C57BF0" w:rsidRPr="00CF3D04" w:rsidRDefault="00C57BF0" w:rsidP="00B963A8">
            <w:pPr>
              <w:pStyle w:val="Nadpis2"/>
              <w:outlineLvl w:val="1"/>
            </w:pPr>
            <w:bookmarkStart w:id="31" w:name="_Toc447179472"/>
            <w:bookmarkStart w:id="32" w:name="_Toc447185432"/>
            <w:r w:rsidRPr="00CF3D04">
              <w:t>§ 6 Planung des zukünftigen SPNV-Angebots, Folgeausschreibungen</w:t>
            </w:r>
            <w:bookmarkEnd w:id="31"/>
            <w:bookmarkEnd w:id="32"/>
          </w:p>
          <w:p w:rsidR="00C57BF0" w:rsidRPr="00CF3D04" w:rsidRDefault="00C57BF0" w:rsidP="00D03A96">
            <w:pPr>
              <w:pStyle w:val="slovanseznam"/>
              <w:numPr>
                <w:ilvl w:val="0"/>
                <w:numId w:val="31"/>
              </w:numPr>
            </w:pPr>
            <w:r w:rsidRPr="00CF3D04">
              <w:t>Die notwendigen Fahrplanabstimmungen zur Bestellung bei aufgabenträgergebietsüberschreitenden Verkehren auf der Grundlage des zu vergebenden Verkehrsvertrages erfolgen rechtzeitig vor Beginn des jeweils neuen Fahrplanjahres. Wünsche eines Aufgabenträgers nach Fahrplananpassungen auf den SPNV-Linien müssen dem anderen Aufgabenträger mi</w:t>
            </w:r>
            <w:r w:rsidRPr="005F6B23">
              <w:t>n</w:t>
            </w:r>
            <w:r w:rsidRPr="00CF3D04">
              <w:t>destens 12 Monate vor dem Fahrplanwechsel angekündigt werden, soweit sich aus dem abzuschließenden Verkehrsvertrag für die Umsetzung zum Fahrplanwechsel eine längere Vorlaufzeit ergibt, entsprechend früher. Bei Meinungsverschiedenheiten zwischen den Aufg</w:t>
            </w:r>
            <w:r w:rsidRPr="005F6B23">
              <w:t>a</w:t>
            </w:r>
            <w:r w:rsidRPr="00CF3D04">
              <w:t>benträgern bleibt es bei dem geplanten Leistungsangebot des letzten Fahrplanjahres.</w:t>
            </w:r>
          </w:p>
          <w:p w:rsidR="00D03A96" w:rsidRDefault="00D03A96" w:rsidP="00D03A96">
            <w:pPr>
              <w:pStyle w:val="Pokraovnseznamu"/>
            </w:pPr>
          </w:p>
          <w:p w:rsidR="00C57BF0" w:rsidRPr="00CF3D04" w:rsidRDefault="00C57BF0" w:rsidP="00D03A96">
            <w:pPr>
              <w:pStyle w:val="slovanseznam"/>
            </w:pPr>
            <w:r w:rsidRPr="00CF3D04">
              <w:t>Die Aufgabenträger stimmen sich, soweit SPNV-Leistungen, die Gegenstand der vorliegenden Vereinbarung sind, betroffen sind, über Abs. 1 hinaus bei der Weiterentwicklung aufgabe</w:t>
            </w:r>
            <w:r w:rsidRPr="005F6B23">
              <w:t>n</w:t>
            </w:r>
            <w:r w:rsidRPr="00CF3D04">
              <w:t>trägerübergreifender Verkehre untereinander ab.</w:t>
            </w:r>
          </w:p>
          <w:p w:rsidR="00D03A96" w:rsidRDefault="00D03A96" w:rsidP="00D03A96">
            <w:pPr>
              <w:pStyle w:val="Pokraovnseznamu"/>
            </w:pPr>
          </w:p>
          <w:p w:rsidR="00671C69" w:rsidRDefault="00C57BF0" w:rsidP="00D03A96">
            <w:pPr>
              <w:pStyle w:val="slovanseznam"/>
            </w:pPr>
            <w:r w:rsidRPr="00CF3D04">
              <w:t>Die Aufgabenträger planen das SPNV-Angebot auf den zu vergebenden Linien auch für die Zeit nach Auslaufen des zu vergebenden Verkehrsvertrages mit dem Ziel gemeinsam, ein weiteres gemeinsames Vergabeverfahren über die dann geplanten SPNV-Leistungen durchzufü</w:t>
            </w:r>
            <w:r w:rsidRPr="005F6B23">
              <w:t>h</w:t>
            </w:r>
            <w:r w:rsidRPr="00CF3D04">
              <w:t xml:space="preserve">ren. </w:t>
            </w:r>
          </w:p>
        </w:tc>
      </w:tr>
      <w:tr w:rsidR="00671C69" w:rsidTr="00285A1B">
        <w:tc>
          <w:tcPr>
            <w:tcW w:w="7213" w:type="dxa"/>
          </w:tcPr>
          <w:p w:rsidR="00671C69" w:rsidRPr="005F56E5" w:rsidRDefault="00671C69" w:rsidP="00D03A96">
            <w:pPr>
              <w:pStyle w:val="Nadpis1"/>
              <w:outlineLvl w:val="0"/>
              <w:rPr>
                <w:lang w:val="en-US"/>
              </w:rPr>
            </w:pPr>
            <w:bookmarkStart w:id="33" w:name="_Toc447179502"/>
            <w:bookmarkStart w:id="34" w:name="_Toc447185422"/>
            <w:r w:rsidRPr="00824526">
              <w:rPr>
                <w:lang w:val="cs-CZ"/>
              </w:rPr>
              <w:lastRenderedPageBreak/>
              <w:t xml:space="preserve">§ 7 </w:t>
            </w:r>
            <w:r w:rsidRPr="00D03A96">
              <w:t>Realizace</w:t>
            </w:r>
            <w:r w:rsidRPr="00824526">
              <w:rPr>
                <w:lang w:val="cs-CZ"/>
              </w:rPr>
              <w:t xml:space="preserve"> a pr</w:t>
            </w:r>
            <w:r w:rsidR="00A24B99">
              <w:rPr>
                <w:lang w:val="cs-CZ"/>
              </w:rPr>
              <w:t>ůběh plnění Dopravní smlouvy s d</w:t>
            </w:r>
            <w:r w:rsidRPr="00824526">
              <w:rPr>
                <w:lang w:val="cs-CZ"/>
              </w:rPr>
              <w:t>opravcem</w:t>
            </w:r>
            <w:bookmarkEnd w:id="33"/>
            <w:bookmarkEnd w:id="34"/>
          </w:p>
          <w:p w:rsidR="00671C69" w:rsidRPr="00D03A96" w:rsidRDefault="00671C69" w:rsidP="00D03A96">
            <w:pPr>
              <w:pStyle w:val="slovanseznam"/>
              <w:numPr>
                <w:ilvl w:val="0"/>
                <w:numId w:val="32"/>
              </w:numPr>
              <w:rPr>
                <w:lang w:val="en-US"/>
              </w:rPr>
            </w:pPr>
            <w:r w:rsidRPr="00D03A96">
              <w:rPr>
                <w:lang w:val="cs-CZ"/>
              </w:rPr>
              <w:t xml:space="preserve">Objednatelé budou při plnění dopravní smlouvy s vybraným dopravcem řešit případné spory pokud možno </w:t>
            </w:r>
            <w:r w:rsidR="00A24B99">
              <w:rPr>
                <w:lang w:val="cs-CZ"/>
              </w:rPr>
              <w:t>s cílem nalézt shodu s drážním d</w:t>
            </w:r>
            <w:r w:rsidRPr="00D03A96">
              <w:rPr>
                <w:lang w:val="cs-CZ"/>
              </w:rPr>
              <w:t>opravcem.</w:t>
            </w:r>
            <w:r w:rsidRPr="00D03A96">
              <w:rPr>
                <w:lang w:val="en-US"/>
              </w:rPr>
              <w:t xml:space="preserve"> </w:t>
            </w:r>
          </w:p>
          <w:p w:rsidR="00D03A96" w:rsidRDefault="00D03A96" w:rsidP="00D03A96">
            <w:pPr>
              <w:pStyle w:val="Pokraovnseznamu"/>
            </w:pPr>
          </w:p>
          <w:p w:rsidR="00D03A96" w:rsidRDefault="00D03A96" w:rsidP="00D03A96">
            <w:pPr>
              <w:pStyle w:val="Pokraovnseznamu"/>
            </w:pPr>
          </w:p>
          <w:p w:rsidR="00671C69" w:rsidRDefault="00671C69" w:rsidP="00EF49FF">
            <w:pPr>
              <w:pStyle w:val="slovanseznam"/>
            </w:pPr>
            <w:r w:rsidRPr="00824526">
              <w:rPr>
                <w:lang w:val="cs-CZ"/>
              </w:rPr>
              <w:t>Uplatňování veškerých práv a povinnosti z Dopravní smlouvy, která bude uzavřena s dopravcem, náleží výhradně příslušnému objednateli za jeho oblast působnosti.</w:t>
            </w:r>
            <w:r w:rsidRPr="005F56E5">
              <w:rPr>
                <w:lang w:val="en-US"/>
              </w:rPr>
              <w:t xml:space="preserve"> </w:t>
            </w:r>
            <w:r w:rsidRPr="00824526">
              <w:rPr>
                <w:lang w:val="cs-CZ"/>
              </w:rPr>
              <w:t>Pokud tímto budou dotčena práva a/nebo povinnosti jiného objednatele, může být postupováno pouze ve vzájemné shodě objednatelů.</w:t>
            </w:r>
          </w:p>
        </w:tc>
        <w:tc>
          <w:tcPr>
            <w:tcW w:w="7214" w:type="dxa"/>
          </w:tcPr>
          <w:p w:rsidR="00C57BF0" w:rsidRPr="00CF3D04" w:rsidRDefault="00C57BF0" w:rsidP="00B963A8">
            <w:pPr>
              <w:pStyle w:val="Nadpis2"/>
              <w:outlineLvl w:val="1"/>
            </w:pPr>
            <w:bookmarkStart w:id="35" w:name="_Toc447179473"/>
            <w:bookmarkStart w:id="36" w:name="_Toc447185433"/>
            <w:r w:rsidRPr="00CF3D04">
              <w:t xml:space="preserve">§ 7 Durchführung und Abwicklung des Verkehrsvertrages mit dem </w:t>
            </w:r>
            <w:r>
              <w:t>EVU</w:t>
            </w:r>
            <w:bookmarkEnd w:id="35"/>
            <w:bookmarkEnd w:id="36"/>
          </w:p>
          <w:p w:rsidR="00C57BF0" w:rsidRPr="00CF3D04" w:rsidRDefault="00C57BF0" w:rsidP="00D03A96">
            <w:pPr>
              <w:pStyle w:val="slovanseznam"/>
              <w:numPr>
                <w:ilvl w:val="0"/>
                <w:numId w:val="33"/>
              </w:numPr>
            </w:pPr>
            <w:r w:rsidRPr="00CF3D04">
              <w:t xml:space="preserve">Die Aufgabenträger werden bei der Durchführung des Verkehrsvertrages mit dem ausgewählten Verkehrsunternehmen etwaige Konflikte möglichst im Einvernehmen mit dem EVU lösen. </w:t>
            </w:r>
          </w:p>
          <w:p w:rsidR="00D03A96" w:rsidRDefault="00D03A96" w:rsidP="00D03A96">
            <w:pPr>
              <w:pStyle w:val="Pokraovnseznamu"/>
            </w:pPr>
          </w:p>
          <w:p w:rsidR="00671C69" w:rsidRDefault="00C57BF0" w:rsidP="00EF49FF">
            <w:pPr>
              <w:pStyle w:val="slovanseznam"/>
            </w:pPr>
            <w:r w:rsidRPr="00CF3D04">
              <w:t>Die Geltendmachung sämtlicher Rechte und Pflichten aus dem mit dem Verkehrsunternehmen abzuschließenden Verkehrsvertrag obliegt für seinen Leistungsbereich allein dem jeweiligen Aufgabenträger. Soweit hiervon auch Rechte und/oder Pflichten des anderen Aufgabenträgers betroffen sind, kann dies nur im Einvernehmen der Aufgabenträger untereina</w:t>
            </w:r>
            <w:r w:rsidRPr="005F6B23">
              <w:t>n</w:t>
            </w:r>
            <w:r w:rsidRPr="00CF3D04">
              <w:t>der erfolgen.</w:t>
            </w:r>
          </w:p>
        </w:tc>
      </w:tr>
      <w:tr w:rsidR="00671C69" w:rsidTr="00285A1B">
        <w:tc>
          <w:tcPr>
            <w:tcW w:w="7213" w:type="dxa"/>
          </w:tcPr>
          <w:p w:rsidR="00671C69" w:rsidRPr="005F56E5" w:rsidRDefault="00671C69" w:rsidP="007B704C">
            <w:pPr>
              <w:pStyle w:val="Nadpis1"/>
              <w:outlineLvl w:val="0"/>
              <w:rPr>
                <w:lang w:val="en-US"/>
              </w:rPr>
            </w:pPr>
            <w:bookmarkStart w:id="37" w:name="_Toc447179503"/>
            <w:bookmarkStart w:id="38" w:name="_Toc447185423"/>
            <w:r w:rsidRPr="00824526">
              <w:rPr>
                <w:lang w:val="cs-CZ"/>
              </w:rPr>
              <w:t xml:space="preserve">§ 8 Závěrečná </w:t>
            </w:r>
            <w:r w:rsidRPr="007B704C">
              <w:t>ustanovení</w:t>
            </w:r>
            <w:bookmarkEnd w:id="37"/>
            <w:bookmarkEnd w:id="38"/>
          </w:p>
          <w:p w:rsidR="00671C69" w:rsidRPr="007B704C" w:rsidRDefault="00671C69" w:rsidP="007B704C">
            <w:pPr>
              <w:pStyle w:val="slovanseznam"/>
              <w:numPr>
                <w:ilvl w:val="0"/>
                <w:numId w:val="34"/>
              </w:numPr>
              <w:rPr>
                <w:lang w:val="en-US"/>
              </w:rPr>
            </w:pPr>
            <w:r w:rsidRPr="007B704C">
              <w:rPr>
                <w:lang w:val="cs-CZ"/>
              </w:rPr>
              <w:t>Při narušení předmětu smlouvy je nutné, na základě přání alespoň jedné ze zúčastněných smluvních stran, jednat o odpovídající změně stávající dohody.</w:t>
            </w:r>
            <w:r w:rsidRPr="007B704C">
              <w:rPr>
                <w:lang w:val="en-US"/>
              </w:rPr>
              <w:t xml:space="preserve"> </w:t>
            </w:r>
            <w:r w:rsidRPr="007B704C">
              <w:rPr>
                <w:lang w:val="cs-CZ"/>
              </w:rPr>
              <w:t>Právo na výpověď dle § 313  BGB zůstává tímto nedotčeno.</w:t>
            </w:r>
          </w:p>
          <w:p w:rsidR="007B704C" w:rsidRDefault="007B704C"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Mimo to má být stávající dohoda aktualizována s ohledem na další konkretizaci významných okolností pro udělení zakázky, organizaci zadávacího řízení atd., pokud to bude nutné a pokud o to alespoň jeden z objednatelů požádá.</w:t>
            </w:r>
            <w:r w:rsidRPr="005F56E5">
              <w:rPr>
                <w:lang w:val="en-US"/>
              </w:rPr>
              <w:t xml:space="preserve"> </w:t>
            </w:r>
            <w:r w:rsidRPr="002631FD">
              <w:rPr>
                <w:lang w:val="cs-CZ"/>
              </w:rPr>
              <w:t>Aktualizace předpokládá souhlas všech objednatelů.</w:t>
            </w:r>
          </w:p>
          <w:p w:rsidR="007B704C" w:rsidRDefault="007B704C" w:rsidP="007B704C">
            <w:pPr>
              <w:pStyle w:val="Pokraovnseznamu"/>
            </w:pPr>
          </w:p>
          <w:p w:rsidR="006E19F5" w:rsidRDefault="006E19F5"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 xml:space="preserve">Pokud by měla být jednotlivá ustanovení této dohody neúčinná, nebo se stanou </w:t>
            </w:r>
            <w:r>
              <w:rPr>
                <w:lang w:val="cs-CZ"/>
              </w:rPr>
              <w:t xml:space="preserve">v budoucnu </w:t>
            </w:r>
            <w:r w:rsidRPr="002631FD">
              <w:rPr>
                <w:lang w:val="cs-CZ"/>
              </w:rPr>
              <w:t xml:space="preserve">neúčinnými, zůstávají ostatní ustanovení této dohody tímto nedotčena, pokud by její zachování pro jednoho nebo pro </w:t>
            </w:r>
            <w:r>
              <w:rPr>
                <w:lang w:val="cs-CZ"/>
              </w:rPr>
              <w:t>více</w:t>
            </w:r>
            <w:r w:rsidRPr="002631FD">
              <w:rPr>
                <w:lang w:val="cs-CZ"/>
              </w:rPr>
              <w:t xml:space="preserve"> objednatel</w:t>
            </w:r>
            <w:r>
              <w:rPr>
                <w:lang w:val="cs-CZ"/>
              </w:rPr>
              <w:t>ů</w:t>
            </w:r>
            <w:r w:rsidRPr="002631FD">
              <w:rPr>
                <w:lang w:val="cs-CZ"/>
              </w:rPr>
              <w:t xml:space="preserve"> nebylo nepřijatelné.</w:t>
            </w:r>
            <w:r w:rsidRPr="005F56E5">
              <w:rPr>
                <w:lang w:val="en-US"/>
              </w:rPr>
              <w:t xml:space="preserve"> </w:t>
            </w:r>
            <w:r w:rsidRPr="002631FD">
              <w:rPr>
                <w:lang w:val="cs-CZ"/>
              </w:rPr>
              <w:t>Namísto neúčinného ustanovení dohodnou objednatelé nahrazující ustanovení, které bude odpovídat účelu, o nějž usilují, a bude se mu ve skutečném a ekonomickém ohledu co možná nejvíce blížit, a bude platit retroaktivně od začátku neúčinnosti ustanovení.</w:t>
            </w:r>
            <w:r w:rsidRPr="005F56E5">
              <w:rPr>
                <w:lang w:val="en-US"/>
              </w:rPr>
              <w:t xml:space="preserve"> </w:t>
            </w:r>
            <w:r w:rsidRPr="002631FD">
              <w:rPr>
                <w:lang w:val="cs-CZ"/>
              </w:rPr>
              <w:t xml:space="preserve">Totéž bude platit tehdy, pokud se v rámci plnění stávající dohody projeví </w:t>
            </w:r>
            <w:r>
              <w:rPr>
                <w:lang w:val="cs-CZ"/>
              </w:rPr>
              <w:t>nedostatky</w:t>
            </w:r>
            <w:r w:rsidRPr="002631FD">
              <w:rPr>
                <w:lang w:val="cs-CZ"/>
              </w:rPr>
              <w:t xml:space="preserve"> v ustanoveních.</w:t>
            </w:r>
          </w:p>
          <w:p w:rsidR="007B704C" w:rsidRDefault="007B704C"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Pravidla této dohody a její aktualizace, která budou mít význam také ještě po udělení zakázky dopravci, platí po dobu platnosti dopravní smlouvy.</w:t>
            </w:r>
            <w:r w:rsidRPr="005F56E5">
              <w:rPr>
                <w:lang w:val="en-US"/>
              </w:rPr>
              <w:t xml:space="preserve"> </w:t>
            </w:r>
          </w:p>
          <w:p w:rsidR="007B704C" w:rsidRDefault="007B704C"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 xml:space="preserve">Změny nebo vypovězení této Dohody, včetně tohoto ustanovení o písemné formě, </w:t>
            </w:r>
            <w:r>
              <w:rPr>
                <w:lang w:val="cs-CZ"/>
              </w:rPr>
              <w:t xml:space="preserve">musí být uzavřeny </w:t>
            </w:r>
            <w:r w:rsidRPr="002631FD">
              <w:rPr>
                <w:lang w:val="cs-CZ"/>
              </w:rPr>
              <w:t>písemn</w:t>
            </w:r>
            <w:r>
              <w:rPr>
                <w:lang w:val="cs-CZ"/>
              </w:rPr>
              <w:t xml:space="preserve">ě formou vzestupně číslovaných dodatků </w:t>
            </w:r>
            <w:r w:rsidRPr="002631FD">
              <w:rPr>
                <w:lang w:val="cs-CZ"/>
              </w:rPr>
              <w:t>a musí být podepsány všemi smluvními stranami.</w:t>
            </w:r>
          </w:p>
          <w:p w:rsidR="007B704C" w:rsidRDefault="007B704C"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 xml:space="preserve">Účinnost této dohody začíná běžet </w:t>
            </w:r>
            <w:r>
              <w:rPr>
                <w:lang w:val="cs-CZ"/>
              </w:rPr>
              <w:t xml:space="preserve">dnem podpisu </w:t>
            </w:r>
            <w:r w:rsidRPr="002631FD">
              <w:rPr>
                <w:lang w:val="cs-CZ"/>
              </w:rPr>
              <w:t>a platí nejméně po dobu trvání předmětného zadávacího řízení.</w:t>
            </w:r>
            <w:r w:rsidRPr="005F56E5">
              <w:rPr>
                <w:lang w:val="en-US"/>
              </w:rPr>
              <w:t xml:space="preserve"> </w:t>
            </w:r>
            <w:r w:rsidRPr="002631FD">
              <w:rPr>
                <w:lang w:val="cs-CZ"/>
              </w:rPr>
              <w:t>Při uzavření Dopravní smlouvy se platnost smlouvy automaticky prodlužuje o dobu platnosti dopravní smlouvy.</w:t>
            </w:r>
          </w:p>
          <w:p w:rsidR="007B704C" w:rsidRDefault="007B704C" w:rsidP="007B704C">
            <w:pPr>
              <w:pStyle w:val="Pokraovnseznamu"/>
            </w:pPr>
          </w:p>
          <w:p w:rsidR="006E19F5" w:rsidRDefault="006E19F5" w:rsidP="007B704C">
            <w:pPr>
              <w:pStyle w:val="Pokraovnseznamu"/>
            </w:pPr>
          </w:p>
          <w:p w:rsidR="00671C69" w:rsidRPr="000B7DD2" w:rsidRDefault="00671C69" w:rsidP="007B704C">
            <w:pPr>
              <w:pStyle w:val="slovanseznam"/>
              <w:rPr>
                <w:lang w:val="cs-CZ"/>
              </w:rPr>
            </w:pPr>
            <w:r w:rsidRPr="002631FD">
              <w:rPr>
                <w:lang w:val="cs-CZ"/>
              </w:rPr>
              <w:t xml:space="preserve">Tato smlouva bude vyhotovena </w:t>
            </w:r>
            <w:r>
              <w:rPr>
                <w:lang w:val="cs-CZ"/>
              </w:rPr>
              <w:t>v šesti originálech</w:t>
            </w:r>
            <w:r w:rsidR="00A24B99">
              <w:rPr>
                <w:lang w:val="cs-CZ"/>
              </w:rPr>
              <w:t>,</w:t>
            </w:r>
            <w:r>
              <w:rPr>
                <w:lang w:val="cs-CZ"/>
              </w:rPr>
              <w:t xml:space="preserve"> z nichž </w:t>
            </w:r>
            <w:r>
              <w:rPr>
                <w:lang w:val="cs-CZ"/>
              </w:rPr>
              <w:lastRenderedPageBreak/>
              <w:t xml:space="preserve">jsou tři vyhotoveny v německém a tři v českém jazyce. České a německé znění má shodnou platnost. V případě rozporů platí </w:t>
            </w:r>
            <w:r w:rsidR="009B53C8">
              <w:rPr>
                <w:lang w:val="cs-CZ"/>
              </w:rPr>
              <w:t>přednostně německá verze</w:t>
            </w:r>
            <w:r>
              <w:rPr>
                <w:lang w:val="cs-CZ"/>
              </w:rPr>
              <w:t>. Každá smluvní strana obdrží jedno vyhotovení v jazyce českém a jedno v jazyce německém.</w:t>
            </w:r>
            <w:r w:rsidRPr="000B7DD2">
              <w:rPr>
                <w:lang w:val="cs-CZ"/>
              </w:rPr>
              <w:t xml:space="preserve"> </w:t>
            </w:r>
          </w:p>
          <w:p w:rsidR="007B704C" w:rsidRDefault="007B704C" w:rsidP="007B704C">
            <w:pPr>
              <w:pStyle w:val="Pokraovnseznamu"/>
            </w:pPr>
          </w:p>
          <w:p w:rsidR="006E19F5" w:rsidRDefault="006E19F5" w:rsidP="007B704C">
            <w:pPr>
              <w:pStyle w:val="Pokraovnseznamu"/>
            </w:pPr>
          </w:p>
          <w:p w:rsidR="00671C69" w:rsidRPr="008E7F86" w:rsidRDefault="00671C69" w:rsidP="007B704C">
            <w:pPr>
              <w:pStyle w:val="slovanseznam"/>
              <w:rPr>
                <w:lang w:val="cs-CZ"/>
              </w:rPr>
            </w:pPr>
            <w:r w:rsidRPr="002631FD">
              <w:rPr>
                <w:lang w:val="cs-CZ"/>
              </w:rPr>
              <w:t>Pro celou smlouvu platí jednotně a výhradně německé právo.</w:t>
            </w:r>
          </w:p>
          <w:p w:rsidR="007B704C" w:rsidRDefault="007B704C" w:rsidP="007B704C">
            <w:pPr>
              <w:pStyle w:val="Pokraovnseznamu"/>
            </w:pPr>
          </w:p>
          <w:p w:rsidR="006E19F5" w:rsidRDefault="006E19F5" w:rsidP="007B704C">
            <w:pPr>
              <w:pStyle w:val="Pokraovnseznamu"/>
            </w:pPr>
          </w:p>
          <w:p w:rsidR="00671C69" w:rsidRDefault="00671C69" w:rsidP="007B704C">
            <w:pPr>
              <w:pStyle w:val="slovanseznam"/>
            </w:pPr>
            <w:r w:rsidRPr="002631FD">
              <w:rPr>
                <w:lang w:val="cs-CZ"/>
              </w:rPr>
              <w:t>Soudní příslušnost je Budyšín (Bautzen), pro správně-právní spory Drážďany (Dresden).</w:t>
            </w:r>
          </w:p>
        </w:tc>
        <w:tc>
          <w:tcPr>
            <w:tcW w:w="7214" w:type="dxa"/>
          </w:tcPr>
          <w:p w:rsidR="00C57BF0" w:rsidRPr="00CF3D04" w:rsidRDefault="00C57BF0" w:rsidP="00B963A8">
            <w:pPr>
              <w:pStyle w:val="Nadpis2"/>
              <w:outlineLvl w:val="1"/>
            </w:pPr>
            <w:bookmarkStart w:id="39" w:name="_Toc447179474"/>
            <w:bookmarkStart w:id="40" w:name="_Toc447185434"/>
            <w:r w:rsidRPr="00CF3D04">
              <w:lastRenderedPageBreak/>
              <w:t>§ 8 Schlussbestimmungen</w:t>
            </w:r>
            <w:bookmarkEnd w:id="39"/>
            <w:bookmarkEnd w:id="40"/>
          </w:p>
          <w:p w:rsidR="00C57BF0" w:rsidRPr="00CF3D04" w:rsidRDefault="00C57BF0" w:rsidP="006E19F5">
            <w:pPr>
              <w:pStyle w:val="slovanseznam"/>
              <w:numPr>
                <w:ilvl w:val="0"/>
                <w:numId w:val="35"/>
              </w:numPr>
            </w:pPr>
            <w:r w:rsidRPr="00CF3D04">
              <w:t>Bei Störung der Geschäftsgrundlage ist auf Wunsch zumindest einer der beteiligten Aufgabenträger über eine entsprechende Änderung der vorliegenden Vereinbarung zu verhandeln. Das Recht zur Kündigung nach § 313 BGB ist hiervon nicht berührt.</w:t>
            </w:r>
          </w:p>
          <w:p w:rsidR="006E19F5" w:rsidRDefault="006E19F5" w:rsidP="006E19F5">
            <w:pPr>
              <w:pStyle w:val="Pokraovnseznamu"/>
            </w:pPr>
          </w:p>
          <w:p w:rsidR="00C57BF0" w:rsidRPr="00CF3D04" w:rsidRDefault="00C57BF0" w:rsidP="006E19F5">
            <w:pPr>
              <w:pStyle w:val="slovanseznam"/>
            </w:pPr>
            <w:r w:rsidRPr="00CF3D04">
              <w:t xml:space="preserve">Darüber hinaus ist die vorliegende Vereinbarung im Hinblick auf die weitere Konkretisierung der für die Auftragsvergabe maßgeblichen Umstände, die Organisation des Vergabeverfahrens usw. fortzuschreiben, soweit dies erforderlich ist und zumindest von einem Aufgabenträger gewünscht wird. Die Fortschreibung setzt das Einvernehmen </w:t>
            </w:r>
            <w:r w:rsidRPr="00CF3D04">
              <w:lastRenderedPageBreak/>
              <w:t>der Aufgabenträger v</w:t>
            </w:r>
            <w:r w:rsidRPr="005F6B23">
              <w:t>o</w:t>
            </w:r>
            <w:r w:rsidRPr="00CF3D04">
              <w:t>raus.</w:t>
            </w:r>
          </w:p>
          <w:p w:rsidR="006E19F5" w:rsidRDefault="006E19F5" w:rsidP="006E19F5">
            <w:pPr>
              <w:pStyle w:val="Pokraovnseznamu"/>
            </w:pPr>
          </w:p>
          <w:p w:rsidR="00C57BF0" w:rsidRPr="00CF3D04" w:rsidRDefault="00C57BF0" w:rsidP="006E19F5">
            <w:pPr>
              <w:pStyle w:val="slovanseznam"/>
            </w:pPr>
            <w:r w:rsidRPr="00CF3D04">
              <w:t xml:space="preserve">Sollten einzelne Bestimmungen dieser Vereinbarung unwirksam sein oder unwirksam werden, bleiben die übrigen Bestimmungen dieser Vereinbarung davon unberührt, sofern deren Aufrechterhaltung nicht für einen oder </w:t>
            </w:r>
            <w:r>
              <w:t>mehrere</w:t>
            </w:r>
            <w:r w:rsidRPr="00CF3D04">
              <w:t xml:space="preserve"> Aufgabenträger unzumutbar ist. Anstelle einer unwirksamen Bestimmung vereinbaren die Aufgabenträger eine Ersatzregelung, die dem von ihnen angestrebten Zweck entspricht, ihr in tatsächlicher und wirtschaftlicher Hinsicht mög</w:t>
            </w:r>
            <w:r w:rsidRPr="005F6B23">
              <w:t>lichst nahe kommt und rückwirkend vom Beginn der Unwirksamkeit an gilt. Entsprechendes gilt dann, wenn sich im Rahmen des Vollzugs der vorliegenden Vereinbarung Regelungsl</w:t>
            </w:r>
            <w:r w:rsidRPr="00CF3D04">
              <w:t>ücken zeigen.</w:t>
            </w:r>
          </w:p>
          <w:p w:rsidR="006E19F5" w:rsidRDefault="006E19F5" w:rsidP="006E19F5">
            <w:pPr>
              <w:pStyle w:val="Pokraovnseznamu"/>
            </w:pPr>
          </w:p>
          <w:p w:rsidR="00C57BF0" w:rsidRPr="00CF3D04" w:rsidRDefault="00C57BF0" w:rsidP="006E19F5">
            <w:pPr>
              <w:pStyle w:val="slovanseznam"/>
            </w:pPr>
            <w:r w:rsidRPr="00CF3D04">
              <w:t xml:space="preserve">Die Regelungen der vorliegenden Vereinbarung und ihrer Fortschreibungen, die auch nach Zuschlagserteilung an ein EVU noch Bedeutung haben, gelten für die Laufzeit des Verkehrsvertrages. </w:t>
            </w:r>
          </w:p>
          <w:p w:rsidR="006E19F5" w:rsidRDefault="006E19F5" w:rsidP="006E19F5">
            <w:pPr>
              <w:pStyle w:val="Pokraovnseznamu"/>
            </w:pPr>
          </w:p>
          <w:p w:rsidR="00C57BF0" w:rsidRPr="00CF3D04" w:rsidRDefault="00C57BF0" w:rsidP="006E19F5">
            <w:pPr>
              <w:pStyle w:val="slovanseznam"/>
            </w:pPr>
            <w:r w:rsidRPr="00CF3D04">
              <w:t xml:space="preserve">Änderungen oder die Abbedingung dieser Vereinbarung, einschließlich dieser Schriftformklausel, bedürfen der Schriftform </w:t>
            </w:r>
            <w:r>
              <w:t xml:space="preserve">durch aufsteigen durchnummerierte Vertragsnachträge </w:t>
            </w:r>
            <w:r w:rsidRPr="00CF3D04">
              <w:t>und sind durch alle Vertragsparteien zu unterschreiben.</w:t>
            </w:r>
          </w:p>
          <w:p w:rsidR="006E19F5" w:rsidRDefault="006E19F5" w:rsidP="006E19F5">
            <w:pPr>
              <w:pStyle w:val="Pokraovnseznamu"/>
            </w:pPr>
          </w:p>
          <w:p w:rsidR="00C57BF0" w:rsidRPr="00CF3D04" w:rsidRDefault="00C57BF0" w:rsidP="006E19F5">
            <w:pPr>
              <w:pStyle w:val="slovanseznam"/>
            </w:pPr>
            <w:r w:rsidRPr="00CF3D04">
              <w:t>Diese Vereinbarung tritt mit Unterzeichnung in Kraft und gilt mindestens für die Dauer des durchzuführenden Vergabeverfahrens. Bei Vergabe des Verkehrsvertrages verlängert sich die Laufzeit automatisch um die Laufzeit des Verkehrsvertrages.</w:t>
            </w:r>
          </w:p>
          <w:p w:rsidR="006E19F5" w:rsidRDefault="006E19F5" w:rsidP="006E19F5">
            <w:pPr>
              <w:pStyle w:val="Pokraovnseznamu"/>
            </w:pPr>
          </w:p>
          <w:p w:rsidR="00C57BF0" w:rsidRPr="00CF3D04" w:rsidRDefault="006E19F5" w:rsidP="006E19F5">
            <w:pPr>
              <w:pStyle w:val="slovanseznam"/>
            </w:pPr>
            <w:r w:rsidRPr="00CF3D04">
              <w:t xml:space="preserve"> </w:t>
            </w:r>
            <w:r w:rsidR="00C57BF0" w:rsidRPr="00CF3D04">
              <w:t xml:space="preserve">Die Vereinbarung wird </w:t>
            </w:r>
            <w:r w:rsidR="00C57BF0" w:rsidRPr="00963BC5">
              <w:t xml:space="preserve">in sechs </w:t>
            </w:r>
            <w:r w:rsidR="00C57BF0">
              <w:t>Originalen</w:t>
            </w:r>
            <w:r w:rsidR="00C57BF0" w:rsidRPr="00963BC5">
              <w:t xml:space="preserve">, von denen drei in </w:t>
            </w:r>
            <w:r w:rsidR="00C57BF0">
              <w:lastRenderedPageBreak/>
              <w:t>deutscher Sprache</w:t>
            </w:r>
            <w:r w:rsidR="00C57BF0" w:rsidRPr="00963BC5">
              <w:t xml:space="preserve"> und drei in der tschechische</w:t>
            </w:r>
            <w:r w:rsidR="00C57BF0">
              <w:t>r</w:t>
            </w:r>
            <w:r w:rsidR="00C57BF0" w:rsidRPr="00963BC5">
              <w:t xml:space="preserve"> Sprache</w:t>
            </w:r>
            <w:r w:rsidR="00C57BF0">
              <w:t xml:space="preserve"> sind,</w:t>
            </w:r>
            <w:r w:rsidR="00C57BF0" w:rsidRPr="00963BC5">
              <w:t xml:space="preserve"> </w:t>
            </w:r>
            <w:r w:rsidR="00C57BF0">
              <w:t>ausfertigt</w:t>
            </w:r>
            <w:r w:rsidR="00C57BF0" w:rsidRPr="00963BC5">
              <w:t xml:space="preserve"> werden. </w:t>
            </w:r>
            <w:r w:rsidR="00C57BF0">
              <w:t>Die t</w:t>
            </w:r>
            <w:r w:rsidR="00C57BF0" w:rsidRPr="00963BC5">
              <w:t>schechische und</w:t>
            </w:r>
            <w:r w:rsidR="00C57BF0">
              <w:t xml:space="preserve"> die </w:t>
            </w:r>
            <w:r w:rsidR="00C57BF0" w:rsidRPr="00963BC5">
              <w:t xml:space="preserve">deutsche </w:t>
            </w:r>
            <w:r w:rsidR="00C57BF0">
              <w:t>Fassung</w:t>
            </w:r>
            <w:r w:rsidR="00C57BF0" w:rsidRPr="00963BC5">
              <w:t xml:space="preserve"> ha</w:t>
            </w:r>
            <w:r w:rsidR="00C57BF0">
              <w:t>ben</w:t>
            </w:r>
            <w:r w:rsidR="00C57BF0" w:rsidRPr="00963BC5">
              <w:t xml:space="preserve"> d</w:t>
            </w:r>
            <w:r w:rsidR="00C57BF0">
              <w:t>ie gleiche</w:t>
            </w:r>
            <w:r w:rsidR="00C57BF0" w:rsidRPr="00963BC5">
              <w:t xml:space="preserve"> </w:t>
            </w:r>
            <w:r w:rsidR="00C57BF0">
              <w:t>Geltung</w:t>
            </w:r>
            <w:r w:rsidR="00C57BF0" w:rsidRPr="00963BC5">
              <w:t xml:space="preserve">. </w:t>
            </w:r>
            <w:r w:rsidR="00C57BF0">
              <w:t xml:space="preserve">Bei etwaigen Widersprüchen gilt </w:t>
            </w:r>
            <w:r w:rsidR="00E7114A">
              <w:t>vorrangig die deutsche Fassung</w:t>
            </w:r>
            <w:r w:rsidR="00C57BF0">
              <w:t xml:space="preserve">. </w:t>
            </w:r>
            <w:r w:rsidR="00C57BF0" w:rsidRPr="00963BC5">
              <w:t>Jede Vertragspartei erhält</w:t>
            </w:r>
            <w:r w:rsidR="00C57BF0">
              <w:t xml:space="preserve"> eine</w:t>
            </w:r>
            <w:r w:rsidR="00C57BF0" w:rsidRPr="00963BC5">
              <w:t xml:space="preserve"> </w:t>
            </w:r>
            <w:r w:rsidR="00C57BF0">
              <w:t>Fassung</w:t>
            </w:r>
            <w:r w:rsidR="00C57BF0" w:rsidRPr="00963BC5">
              <w:t xml:space="preserve"> in der tschechischen Sprache und eine </w:t>
            </w:r>
            <w:r w:rsidR="00C57BF0">
              <w:t>in der deutschen Sprache.</w:t>
            </w:r>
          </w:p>
          <w:p w:rsidR="006E19F5" w:rsidRDefault="006E19F5" w:rsidP="006E19F5">
            <w:pPr>
              <w:pStyle w:val="Pokraovnseznamu"/>
            </w:pPr>
          </w:p>
          <w:p w:rsidR="00C57BF0" w:rsidRPr="00CF3D04" w:rsidRDefault="00C57BF0" w:rsidP="006E19F5">
            <w:pPr>
              <w:pStyle w:val="slovanseznam"/>
            </w:pPr>
            <w:r w:rsidRPr="00CF3D04">
              <w:t>Es gilt für den gesamten Vertrag einheitlich und ausschließlich deutsches Recht.</w:t>
            </w:r>
          </w:p>
          <w:p w:rsidR="006E19F5" w:rsidRDefault="006E19F5" w:rsidP="006E19F5">
            <w:pPr>
              <w:pStyle w:val="Pokraovnseznamu"/>
            </w:pPr>
          </w:p>
          <w:p w:rsidR="00671C69" w:rsidRDefault="00C57BF0" w:rsidP="00EF49FF">
            <w:pPr>
              <w:pStyle w:val="slovanseznam"/>
            </w:pPr>
            <w:r w:rsidRPr="00CF3D04">
              <w:t>Gerichtsstand ist Bautzen, für verwaltungsrechtliche Streitigkeiten Dresden.</w:t>
            </w:r>
          </w:p>
        </w:tc>
      </w:tr>
      <w:tr w:rsidR="00E643DC" w:rsidTr="00A24B99">
        <w:tc>
          <w:tcPr>
            <w:tcW w:w="14427" w:type="dxa"/>
            <w:gridSpan w:val="2"/>
          </w:tcPr>
          <w:p w:rsidR="00E643DC" w:rsidRDefault="00E643DC" w:rsidP="00E643DC">
            <w:pPr>
              <w:pageBreakBefore/>
              <w:tabs>
                <w:tab w:val="left" w:pos="1080"/>
                <w:tab w:val="left" w:pos="4253"/>
                <w:tab w:val="left" w:pos="4536"/>
                <w:tab w:val="left" w:pos="6120"/>
                <w:tab w:val="left" w:pos="8503"/>
              </w:tabs>
              <w:rPr>
                <w:rFonts w:ascii="Arial" w:hAnsi="Arial" w:cs="Arial"/>
                <w:sz w:val="22"/>
                <w:szCs w:val="22"/>
                <w:lang w:val="cs-CZ"/>
              </w:rPr>
            </w:pPr>
          </w:p>
          <w:p w:rsidR="00B963A8" w:rsidRDefault="00B963A8" w:rsidP="00E643DC">
            <w:pPr>
              <w:pageBreakBefore/>
              <w:tabs>
                <w:tab w:val="left" w:pos="1080"/>
                <w:tab w:val="left" w:pos="4253"/>
                <w:tab w:val="left" w:pos="4536"/>
                <w:tab w:val="left" w:pos="6120"/>
                <w:tab w:val="left" w:pos="8503"/>
              </w:tabs>
              <w:rPr>
                <w:rFonts w:ascii="Arial" w:hAnsi="Arial" w:cs="Arial"/>
                <w:sz w:val="22"/>
                <w:szCs w:val="22"/>
                <w:lang w:val="cs-CZ"/>
              </w:rPr>
            </w:pPr>
          </w:p>
          <w:p w:rsidR="00B963A8" w:rsidRDefault="00B963A8" w:rsidP="00E643DC">
            <w:pPr>
              <w:pageBreakBefore/>
              <w:tabs>
                <w:tab w:val="left" w:pos="1080"/>
                <w:tab w:val="left" w:pos="4253"/>
                <w:tab w:val="left" w:pos="4536"/>
                <w:tab w:val="left" w:pos="6120"/>
                <w:tab w:val="left" w:pos="8503"/>
              </w:tabs>
              <w:rPr>
                <w:rFonts w:ascii="Arial" w:hAnsi="Arial" w:cs="Arial"/>
                <w:sz w:val="22"/>
                <w:szCs w:val="22"/>
                <w:lang w:val="cs-CZ"/>
              </w:rPr>
            </w:pPr>
          </w:p>
          <w:p w:rsidR="00E643DC" w:rsidRPr="005C1EA8" w:rsidRDefault="00E643DC" w:rsidP="00E643DC">
            <w:pPr>
              <w:tabs>
                <w:tab w:val="left" w:pos="1080"/>
                <w:tab w:val="left" w:pos="4536"/>
                <w:tab w:val="left" w:pos="9072"/>
              </w:tabs>
              <w:rPr>
                <w:rFonts w:ascii="Arial" w:hAnsi="Arial" w:cs="Arial"/>
                <w:i/>
                <w:sz w:val="22"/>
                <w:szCs w:val="22"/>
              </w:rPr>
            </w:pPr>
            <w:r w:rsidRPr="005C1EA8">
              <w:rPr>
                <w:rFonts w:ascii="Arial" w:hAnsi="Arial" w:cs="Arial"/>
                <w:i/>
                <w:sz w:val="22"/>
                <w:szCs w:val="22"/>
                <w:lang w:val="cs-CZ"/>
              </w:rPr>
              <w:t>Liberec, dne</w:t>
            </w:r>
            <w:r>
              <w:rPr>
                <w:rFonts w:ascii="Arial" w:hAnsi="Arial" w:cs="Arial"/>
                <w:i/>
                <w:sz w:val="22"/>
                <w:szCs w:val="22"/>
                <w:lang w:val="cs-CZ"/>
              </w:rPr>
              <w:t>/den</w:t>
            </w:r>
            <w:r w:rsidRPr="005C1EA8">
              <w:rPr>
                <w:rFonts w:ascii="Arial" w:hAnsi="Arial" w:cs="Arial"/>
                <w:i/>
                <w:sz w:val="22"/>
                <w:szCs w:val="22"/>
                <w:lang w:val="cs-CZ"/>
              </w:rPr>
              <w:tab/>
              <w:t>Ústí nad Labem, dne</w:t>
            </w:r>
            <w:r>
              <w:rPr>
                <w:rFonts w:ascii="Arial" w:hAnsi="Arial" w:cs="Arial"/>
                <w:i/>
                <w:sz w:val="22"/>
                <w:szCs w:val="22"/>
                <w:lang w:val="cs-CZ"/>
              </w:rPr>
              <w:t>/den</w:t>
            </w:r>
            <w:r>
              <w:rPr>
                <w:rFonts w:ascii="Arial" w:hAnsi="Arial" w:cs="Arial"/>
                <w:i/>
                <w:sz w:val="22"/>
                <w:szCs w:val="22"/>
                <w:lang w:val="cs-CZ"/>
              </w:rPr>
              <w:tab/>
            </w:r>
            <w:r w:rsidRPr="005C1EA8">
              <w:rPr>
                <w:rFonts w:ascii="Arial" w:hAnsi="Arial" w:cs="Arial"/>
                <w:i/>
                <w:sz w:val="22"/>
                <w:szCs w:val="22"/>
              </w:rPr>
              <w:t xml:space="preserve">Bautzen, </w:t>
            </w:r>
            <w:r>
              <w:rPr>
                <w:rFonts w:ascii="Arial" w:hAnsi="Arial" w:cs="Arial"/>
                <w:i/>
                <w:sz w:val="22"/>
                <w:szCs w:val="22"/>
              </w:rPr>
              <w:t>dne/</w:t>
            </w:r>
            <w:r w:rsidRPr="005C1EA8">
              <w:rPr>
                <w:rFonts w:ascii="Arial" w:hAnsi="Arial" w:cs="Arial"/>
                <w:i/>
                <w:sz w:val="22"/>
                <w:szCs w:val="22"/>
              </w:rPr>
              <w:t>den</w:t>
            </w:r>
          </w:p>
          <w:p w:rsidR="00E643DC" w:rsidRPr="005C1EA8" w:rsidRDefault="00E643DC" w:rsidP="00E643DC">
            <w:pPr>
              <w:pageBreakBefore/>
              <w:tabs>
                <w:tab w:val="left" w:pos="1080"/>
                <w:tab w:val="left" w:pos="4536"/>
                <w:tab w:val="left" w:pos="9072"/>
              </w:tabs>
              <w:rPr>
                <w:rFonts w:ascii="Arial" w:hAnsi="Arial" w:cs="Arial"/>
                <w:i/>
                <w:sz w:val="22"/>
                <w:szCs w:val="22"/>
                <w:lang w:val="cs-CZ"/>
              </w:rPr>
            </w:pPr>
          </w:p>
          <w:p w:rsidR="00E643DC" w:rsidRPr="008E7F86" w:rsidRDefault="00E643DC" w:rsidP="00E643DC">
            <w:pPr>
              <w:tabs>
                <w:tab w:val="left" w:pos="1080"/>
                <w:tab w:val="left" w:pos="4536"/>
                <w:tab w:val="left" w:pos="9072"/>
              </w:tabs>
              <w:rPr>
                <w:rFonts w:ascii="Arial" w:hAnsi="Arial" w:cs="Arial"/>
                <w:sz w:val="22"/>
                <w:szCs w:val="22"/>
                <w:lang w:val="cs-CZ"/>
              </w:rPr>
            </w:pPr>
          </w:p>
          <w:p w:rsidR="00E643DC" w:rsidRPr="008E7F86" w:rsidRDefault="00E643DC" w:rsidP="00E643DC">
            <w:pPr>
              <w:tabs>
                <w:tab w:val="left" w:pos="1080"/>
                <w:tab w:val="left" w:pos="4536"/>
                <w:tab w:val="left" w:pos="9072"/>
              </w:tabs>
              <w:rPr>
                <w:rFonts w:ascii="Arial" w:hAnsi="Arial" w:cs="Arial"/>
                <w:sz w:val="22"/>
                <w:szCs w:val="22"/>
                <w:lang w:val="cs-CZ"/>
              </w:rPr>
            </w:pPr>
          </w:p>
          <w:p w:rsidR="00E643DC" w:rsidRPr="008E7F86" w:rsidRDefault="00E643DC" w:rsidP="00E643DC">
            <w:pPr>
              <w:tabs>
                <w:tab w:val="left" w:pos="1080"/>
                <w:tab w:val="left" w:pos="4536"/>
                <w:tab w:val="left" w:pos="9072"/>
              </w:tabs>
              <w:rPr>
                <w:rFonts w:ascii="Arial" w:hAnsi="Arial" w:cs="Arial"/>
                <w:sz w:val="22"/>
                <w:szCs w:val="22"/>
                <w:lang w:val="cs-CZ"/>
              </w:rPr>
            </w:pPr>
          </w:p>
          <w:p w:rsidR="00E643DC" w:rsidRPr="00CF3D04" w:rsidRDefault="00E643DC" w:rsidP="00E643DC">
            <w:pPr>
              <w:tabs>
                <w:tab w:val="left" w:pos="1080"/>
                <w:tab w:val="left" w:pos="4536"/>
                <w:tab w:val="left" w:pos="9072"/>
              </w:tabs>
              <w:rPr>
                <w:rFonts w:ascii="Arial" w:hAnsi="Arial" w:cs="Arial"/>
                <w:sz w:val="22"/>
                <w:szCs w:val="22"/>
              </w:rPr>
            </w:pPr>
            <w:r w:rsidRPr="002631FD">
              <w:rPr>
                <w:rFonts w:ascii="Arial" w:hAnsi="Arial" w:cs="Arial"/>
                <w:sz w:val="22"/>
                <w:szCs w:val="22"/>
                <w:lang w:val="cs-CZ"/>
              </w:rPr>
              <w:t>za Liberecký kraj</w:t>
            </w:r>
            <w:r>
              <w:rPr>
                <w:rFonts w:ascii="Arial" w:hAnsi="Arial" w:cs="Arial"/>
                <w:sz w:val="22"/>
                <w:szCs w:val="22"/>
                <w:lang w:val="cs-CZ"/>
              </w:rPr>
              <w:t>/f</w:t>
            </w:r>
            <w:r w:rsidRPr="00CF3D04">
              <w:rPr>
                <w:rFonts w:ascii="Arial" w:hAnsi="Arial" w:cs="Arial"/>
                <w:sz w:val="22"/>
                <w:szCs w:val="22"/>
              </w:rPr>
              <w:t>ür d</w:t>
            </w:r>
            <w:r>
              <w:rPr>
                <w:rFonts w:ascii="Arial" w:hAnsi="Arial" w:cs="Arial"/>
                <w:sz w:val="22"/>
                <w:szCs w:val="22"/>
              </w:rPr>
              <w:t xml:space="preserve">en Bezirk </w:t>
            </w:r>
            <w:r w:rsidRPr="00CF3D04">
              <w:rPr>
                <w:rFonts w:ascii="Arial" w:hAnsi="Arial" w:cs="Arial"/>
                <w:sz w:val="22"/>
                <w:szCs w:val="22"/>
              </w:rPr>
              <w:t>Liberec</w:t>
            </w:r>
            <w:r w:rsidRPr="008E7F86">
              <w:rPr>
                <w:rFonts w:ascii="Arial" w:hAnsi="Arial" w:cs="Arial"/>
                <w:sz w:val="22"/>
                <w:szCs w:val="22"/>
                <w:lang w:val="cs-CZ"/>
              </w:rPr>
              <w:tab/>
            </w:r>
            <w:r w:rsidRPr="002631FD">
              <w:rPr>
                <w:rFonts w:ascii="Arial" w:hAnsi="Arial" w:cs="Arial"/>
                <w:sz w:val="22"/>
                <w:szCs w:val="22"/>
                <w:lang w:val="cs-CZ"/>
              </w:rPr>
              <w:t>za Ústecký kraj</w:t>
            </w:r>
            <w:r>
              <w:rPr>
                <w:rFonts w:ascii="Arial" w:hAnsi="Arial" w:cs="Arial"/>
                <w:sz w:val="22"/>
                <w:szCs w:val="22"/>
                <w:lang w:val="cs-CZ"/>
              </w:rPr>
              <w:t>/f</w:t>
            </w:r>
            <w:r w:rsidRPr="00CF3D04">
              <w:rPr>
                <w:rFonts w:ascii="Arial" w:hAnsi="Arial" w:cs="Arial"/>
                <w:sz w:val="22"/>
                <w:szCs w:val="22"/>
              </w:rPr>
              <w:t>ür de</w:t>
            </w:r>
            <w:r>
              <w:rPr>
                <w:rFonts w:ascii="Arial" w:hAnsi="Arial" w:cs="Arial"/>
                <w:sz w:val="22"/>
                <w:szCs w:val="22"/>
              </w:rPr>
              <w:t>n</w:t>
            </w:r>
            <w:r w:rsidRPr="00CF3D04">
              <w:rPr>
                <w:rFonts w:ascii="Arial" w:hAnsi="Arial" w:cs="Arial"/>
                <w:sz w:val="22"/>
                <w:szCs w:val="22"/>
              </w:rPr>
              <w:t xml:space="preserve"> </w:t>
            </w:r>
            <w:r>
              <w:rPr>
                <w:rFonts w:ascii="Arial" w:hAnsi="Arial" w:cs="Arial"/>
                <w:sz w:val="22"/>
                <w:szCs w:val="22"/>
              </w:rPr>
              <w:t>Bezirk Ústí</w:t>
            </w:r>
            <w:r>
              <w:rPr>
                <w:rFonts w:ascii="Arial" w:hAnsi="Arial" w:cs="Arial"/>
                <w:sz w:val="22"/>
                <w:szCs w:val="22"/>
              </w:rPr>
              <w:tab/>
              <w:t>za ZVON/</w:t>
            </w:r>
            <w:r w:rsidRPr="00CF3D04">
              <w:rPr>
                <w:rFonts w:ascii="Arial" w:hAnsi="Arial" w:cs="Arial"/>
                <w:sz w:val="22"/>
                <w:szCs w:val="22"/>
              </w:rPr>
              <w:t>Für den ZVON</w:t>
            </w:r>
          </w:p>
          <w:p w:rsidR="00E643DC" w:rsidRPr="008E7F86" w:rsidRDefault="00E643DC" w:rsidP="00E643DC">
            <w:pPr>
              <w:tabs>
                <w:tab w:val="left" w:pos="1080"/>
                <w:tab w:val="left" w:pos="4536"/>
                <w:tab w:val="left" w:pos="9072"/>
              </w:tabs>
              <w:rPr>
                <w:rFonts w:ascii="Arial" w:hAnsi="Arial" w:cs="Arial"/>
                <w:sz w:val="22"/>
                <w:szCs w:val="22"/>
                <w:lang w:val="cs-CZ"/>
              </w:rPr>
            </w:pPr>
          </w:p>
          <w:p w:rsidR="00E643DC" w:rsidRPr="008E7F86" w:rsidRDefault="00E643DC" w:rsidP="00E643DC">
            <w:pPr>
              <w:tabs>
                <w:tab w:val="left" w:pos="4536"/>
                <w:tab w:val="left" w:pos="5676"/>
                <w:tab w:val="left" w:pos="9072"/>
              </w:tabs>
              <w:rPr>
                <w:rFonts w:ascii="Arial" w:hAnsi="Arial" w:cs="Arial"/>
                <w:szCs w:val="24"/>
                <w:lang w:val="cs-CZ"/>
              </w:rPr>
            </w:pPr>
          </w:p>
          <w:p w:rsidR="00E643DC" w:rsidRPr="008E7F86" w:rsidRDefault="00E643DC" w:rsidP="00E643DC">
            <w:pPr>
              <w:tabs>
                <w:tab w:val="left" w:pos="4536"/>
                <w:tab w:val="left" w:pos="5676"/>
                <w:tab w:val="left" w:pos="9072"/>
              </w:tabs>
              <w:rPr>
                <w:rFonts w:ascii="Arial" w:hAnsi="Arial" w:cs="Arial"/>
                <w:szCs w:val="24"/>
                <w:lang w:val="cs-CZ"/>
              </w:rPr>
            </w:pPr>
          </w:p>
          <w:p w:rsidR="00E643DC" w:rsidRDefault="00E643DC" w:rsidP="00E643DC">
            <w:pPr>
              <w:tabs>
                <w:tab w:val="left" w:pos="4536"/>
                <w:tab w:val="left" w:pos="5676"/>
                <w:tab w:val="left" w:pos="9072"/>
              </w:tabs>
              <w:rPr>
                <w:rFonts w:ascii="Arial" w:hAnsi="Arial" w:cs="Arial"/>
                <w:szCs w:val="24"/>
                <w:lang w:val="cs-CZ"/>
              </w:rPr>
            </w:pPr>
          </w:p>
          <w:p w:rsidR="00E643DC" w:rsidRPr="008E7F86" w:rsidRDefault="00E643DC" w:rsidP="00E643DC">
            <w:pPr>
              <w:tabs>
                <w:tab w:val="left" w:pos="4536"/>
                <w:tab w:val="left" w:pos="5676"/>
                <w:tab w:val="left" w:pos="9072"/>
              </w:tabs>
              <w:rPr>
                <w:rFonts w:ascii="Arial" w:hAnsi="Arial" w:cs="Arial"/>
                <w:szCs w:val="24"/>
                <w:lang w:val="cs-CZ"/>
              </w:rPr>
            </w:pPr>
          </w:p>
          <w:p w:rsidR="00E643DC" w:rsidRPr="008E7F86" w:rsidRDefault="00E643DC" w:rsidP="00E643DC">
            <w:pPr>
              <w:tabs>
                <w:tab w:val="left" w:pos="4536"/>
                <w:tab w:val="left" w:pos="5676"/>
                <w:tab w:val="left" w:pos="9072"/>
              </w:tabs>
              <w:rPr>
                <w:rFonts w:ascii="Arial" w:hAnsi="Arial" w:cs="Arial"/>
                <w:szCs w:val="24"/>
                <w:lang w:val="cs-CZ"/>
              </w:rPr>
            </w:pPr>
            <w:r>
              <w:rPr>
                <w:rFonts w:ascii="Arial" w:hAnsi="Arial" w:cs="Arial"/>
                <w:szCs w:val="24"/>
                <w:lang w:val="cs-CZ"/>
              </w:rPr>
              <w:t>................................................</w:t>
            </w:r>
            <w:r>
              <w:rPr>
                <w:rFonts w:ascii="Arial" w:hAnsi="Arial" w:cs="Arial"/>
                <w:szCs w:val="24"/>
                <w:lang w:val="cs-CZ"/>
              </w:rPr>
              <w:tab/>
              <w:t>................................................</w:t>
            </w:r>
            <w:r>
              <w:rPr>
                <w:rFonts w:ascii="Arial" w:hAnsi="Arial" w:cs="Arial"/>
                <w:szCs w:val="24"/>
                <w:lang w:val="cs-CZ"/>
              </w:rPr>
              <w:tab/>
              <w:t>................................................</w:t>
            </w:r>
          </w:p>
          <w:p w:rsidR="00E643DC" w:rsidRPr="00E643DC" w:rsidRDefault="00E643DC" w:rsidP="00E643DC">
            <w:pPr>
              <w:tabs>
                <w:tab w:val="left" w:pos="4536"/>
                <w:tab w:val="left" w:pos="9072"/>
              </w:tabs>
              <w:rPr>
                <w:rFonts w:ascii="Arial" w:hAnsi="Arial" w:cs="Arial"/>
                <w:b/>
                <w:sz w:val="28"/>
                <w:szCs w:val="22"/>
              </w:rPr>
            </w:pPr>
            <w:r w:rsidRPr="00E643DC">
              <w:rPr>
                <w:rFonts w:ascii="Arial" w:hAnsi="Arial" w:cs="Arial"/>
                <w:b/>
                <w:sz w:val="28"/>
                <w:szCs w:val="22"/>
                <w:lang w:val="cs-CZ"/>
              </w:rPr>
              <w:t>Martin Půta</w:t>
            </w:r>
            <w:r w:rsidRPr="00E643DC">
              <w:rPr>
                <w:rFonts w:ascii="Arial" w:hAnsi="Arial" w:cs="Arial"/>
                <w:b/>
                <w:sz w:val="28"/>
                <w:szCs w:val="22"/>
                <w:lang w:val="cs-CZ"/>
              </w:rPr>
              <w:tab/>
              <w:t>Oldřich Bubeníček</w:t>
            </w:r>
            <w:r w:rsidRPr="00E643DC">
              <w:rPr>
                <w:rFonts w:ascii="Arial" w:hAnsi="Arial" w:cs="Arial"/>
                <w:b/>
                <w:sz w:val="28"/>
                <w:szCs w:val="22"/>
                <w:lang w:val="cs-CZ"/>
              </w:rPr>
              <w:tab/>
            </w:r>
            <w:r w:rsidRPr="00E643DC">
              <w:rPr>
                <w:rFonts w:ascii="Arial" w:hAnsi="Arial" w:cs="Arial"/>
                <w:b/>
                <w:sz w:val="28"/>
                <w:szCs w:val="22"/>
              </w:rPr>
              <w:t>Landrat Michael Harig</w:t>
            </w:r>
          </w:p>
          <w:p w:rsidR="00E643DC" w:rsidRPr="00E643DC" w:rsidRDefault="00E643DC" w:rsidP="00E643DC">
            <w:pPr>
              <w:tabs>
                <w:tab w:val="left" w:pos="720"/>
                <w:tab w:val="left" w:pos="4536"/>
                <w:tab w:val="left" w:pos="9072"/>
              </w:tabs>
              <w:spacing w:line="300" w:lineRule="exact"/>
              <w:jc w:val="both"/>
              <w:rPr>
                <w:rFonts w:ascii="Arial" w:hAnsi="Arial" w:cs="Arial"/>
                <w:sz w:val="20"/>
              </w:rPr>
            </w:pPr>
            <w:r w:rsidRPr="002631FD">
              <w:rPr>
                <w:rFonts w:ascii="Arial" w:hAnsi="Arial" w:cs="Arial"/>
                <w:sz w:val="20"/>
                <w:lang w:val="cs-CZ"/>
              </w:rPr>
              <w:t>Hejtman</w:t>
            </w:r>
            <w:r>
              <w:rPr>
                <w:rFonts w:ascii="Arial" w:hAnsi="Arial" w:cs="Arial"/>
                <w:sz w:val="20"/>
                <w:lang w:val="cs-CZ"/>
              </w:rPr>
              <w:t>/</w:t>
            </w:r>
            <w:r w:rsidRPr="005C1EA8">
              <w:rPr>
                <w:rFonts w:ascii="Arial" w:hAnsi="Arial" w:cs="Arial"/>
                <w:sz w:val="20"/>
                <w:lang w:val="cs-CZ"/>
              </w:rPr>
              <w:t>Regionspräsident</w:t>
            </w:r>
            <w:r w:rsidRPr="008E7F86">
              <w:rPr>
                <w:rFonts w:ascii="Arial" w:hAnsi="Arial" w:cs="Arial"/>
                <w:sz w:val="20"/>
                <w:lang w:val="cs-CZ"/>
              </w:rPr>
              <w:tab/>
            </w:r>
            <w:r w:rsidRPr="002631FD">
              <w:rPr>
                <w:rFonts w:ascii="Arial" w:hAnsi="Arial" w:cs="Arial"/>
                <w:sz w:val="20"/>
                <w:lang w:val="cs-CZ"/>
              </w:rPr>
              <w:t>Hejtman</w:t>
            </w:r>
            <w:r>
              <w:rPr>
                <w:rFonts w:ascii="Arial" w:hAnsi="Arial" w:cs="Arial"/>
                <w:sz w:val="20"/>
                <w:lang w:val="cs-CZ"/>
              </w:rPr>
              <w:t>/</w:t>
            </w:r>
            <w:r w:rsidRPr="005C1EA8">
              <w:rPr>
                <w:rFonts w:ascii="Arial" w:hAnsi="Arial" w:cs="Arial"/>
                <w:sz w:val="20"/>
                <w:lang w:val="cs-CZ"/>
              </w:rPr>
              <w:t>Regionspräsident</w:t>
            </w:r>
            <w:r>
              <w:rPr>
                <w:rFonts w:ascii="Arial" w:hAnsi="Arial" w:cs="Arial"/>
                <w:sz w:val="20"/>
                <w:lang w:val="cs-CZ"/>
              </w:rPr>
              <w:tab/>
            </w:r>
            <w:r w:rsidRPr="002631FD">
              <w:rPr>
                <w:rFonts w:ascii="Arial" w:hAnsi="Arial" w:cs="Arial"/>
                <w:sz w:val="20"/>
                <w:lang w:val="cs-CZ"/>
              </w:rPr>
              <w:t>Předseda svazu</w:t>
            </w:r>
            <w:r>
              <w:rPr>
                <w:rFonts w:ascii="Arial" w:hAnsi="Arial" w:cs="Arial"/>
                <w:sz w:val="20"/>
              </w:rPr>
              <w:t>/</w:t>
            </w:r>
            <w:r w:rsidRPr="00CF3D04">
              <w:rPr>
                <w:rFonts w:ascii="Arial" w:hAnsi="Arial" w:cs="Arial"/>
                <w:sz w:val="20"/>
              </w:rPr>
              <w:t>Verbandsvorsitzender</w:t>
            </w:r>
          </w:p>
        </w:tc>
      </w:tr>
      <w:tr w:rsidR="00671C69" w:rsidTr="00285A1B">
        <w:tc>
          <w:tcPr>
            <w:tcW w:w="7213" w:type="dxa"/>
          </w:tcPr>
          <w:p w:rsidR="00671C69" w:rsidRDefault="00671C69" w:rsidP="0005590C"/>
        </w:tc>
        <w:tc>
          <w:tcPr>
            <w:tcW w:w="7214" w:type="dxa"/>
          </w:tcPr>
          <w:p w:rsidR="00671C69" w:rsidRDefault="00671C69" w:rsidP="0005590C"/>
        </w:tc>
      </w:tr>
      <w:tr w:rsidR="00671C69" w:rsidTr="00285A1B">
        <w:tc>
          <w:tcPr>
            <w:tcW w:w="7213" w:type="dxa"/>
          </w:tcPr>
          <w:p w:rsidR="00671C69" w:rsidRPr="00CF3D04" w:rsidRDefault="00671C69" w:rsidP="006E19F5">
            <w:pPr>
              <w:pStyle w:val="Nadpis1"/>
              <w:pageBreakBefore/>
              <w:outlineLvl w:val="0"/>
            </w:pPr>
            <w:bookmarkStart w:id="41" w:name="_Toc447179505"/>
            <w:bookmarkStart w:id="42" w:name="_Toc447185425"/>
            <w:r w:rsidRPr="002631FD">
              <w:rPr>
                <w:lang w:val="cs-CZ"/>
              </w:rPr>
              <w:lastRenderedPageBreak/>
              <w:t>Zkratky</w:t>
            </w:r>
            <w:bookmarkEnd w:id="41"/>
            <w:bookmarkEnd w:id="42"/>
          </w:p>
          <w:p w:rsidR="00671C69" w:rsidRDefault="00671C69" w:rsidP="006E19F5">
            <w:pPr>
              <w:pStyle w:val="text"/>
              <w:tabs>
                <w:tab w:val="left" w:pos="1276"/>
              </w:tabs>
              <w:ind w:left="1276" w:hanging="1276"/>
            </w:pPr>
            <w:bookmarkStart w:id="43" w:name="_Toc417565677"/>
            <w:r w:rsidRPr="00CF3D04">
              <w:t xml:space="preserve">Abs.: </w:t>
            </w:r>
            <w:r w:rsidRPr="00CF3D04">
              <w:tab/>
              <w:t>Absatz</w:t>
            </w:r>
            <w:bookmarkEnd w:id="43"/>
            <w:r>
              <w:t xml:space="preserve"> (odstavec)</w:t>
            </w:r>
          </w:p>
          <w:p w:rsidR="00671C69" w:rsidRPr="00CF3D04" w:rsidRDefault="00671C69" w:rsidP="006E19F5">
            <w:pPr>
              <w:pStyle w:val="text"/>
              <w:tabs>
                <w:tab w:val="left" w:pos="1276"/>
              </w:tabs>
              <w:ind w:left="1276" w:hanging="1276"/>
            </w:pPr>
            <w:r>
              <w:t>Art.:</w:t>
            </w:r>
            <w:r>
              <w:tab/>
              <w:t>Artikel (článek)</w:t>
            </w:r>
          </w:p>
          <w:p w:rsidR="00671C69" w:rsidRPr="00CF3D04" w:rsidRDefault="00671C69" w:rsidP="006E19F5">
            <w:pPr>
              <w:pStyle w:val="text"/>
              <w:tabs>
                <w:tab w:val="left" w:pos="1276"/>
              </w:tabs>
              <w:ind w:left="1276" w:hanging="1276"/>
            </w:pPr>
            <w:bookmarkStart w:id="44" w:name="_Toc417565678"/>
            <w:r w:rsidRPr="00CF3D04">
              <w:t>BGB:</w:t>
            </w:r>
            <w:r w:rsidRPr="00CF3D04">
              <w:tab/>
              <w:t>Bürgerliches Gesetzbuch</w:t>
            </w:r>
            <w:bookmarkEnd w:id="44"/>
            <w:r>
              <w:t xml:space="preserve"> (občanský zákoník)</w:t>
            </w:r>
          </w:p>
          <w:p w:rsidR="00671C69" w:rsidRDefault="00671C69" w:rsidP="006E19F5">
            <w:pPr>
              <w:pStyle w:val="text"/>
              <w:tabs>
                <w:tab w:val="left" w:pos="1276"/>
              </w:tabs>
              <w:ind w:left="1276" w:hanging="1276"/>
            </w:pPr>
            <w:bookmarkStart w:id="45" w:name="_Toc417565679"/>
            <w:r>
              <w:t>EVU:</w:t>
            </w:r>
            <w:r>
              <w:tab/>
              <w:t>Eisenbahnverkehrsunternehmen (podnikání v železniční dopravě)</w:t>
            </w:r>
          </w:p>
          <w:p w:rsidR="00671C69" w:rsidRDefault="00671C69" w:rsidP="006E19F5">
            <w:pPr>
              <w:pStyle w:val="text"/>
              <w:tabs>
                <w:tab w:val="left" w:pos="1276"/>
              </w:tabs>
              <w:ind w:left="1276" w:hanging="1276"/>
            </w:pPr>
            <w:r w:rsidRPr="00CF3D04">
              <w:t xml:space="preserve">GWB: </w:t>
            </w:r>
            <w:r w:rsidRPr="00CF3D04">
              <w:tab/>
            </w:r>
            <w:r>
              <w:tab/>
            </w:r>
            <w:r w:rsidRPr="00CF3D04">
              <w:t>Gesetz gegen Wettbewerbsbeschränkungen</w:t>
            </w:r>
            <w:bookmarkEnd w:id="45"/>
            <w:r>
              <w:t xml:space="preserve"> (zákon proti omezování hospodářské soutěže)</w:t>
            </w:r>
          </w:p>
          <w:p w:rsidR="00671C69" w:rsidRPr="00CF3D04" w:rsidRDefault="00671C69" w:rsidP="006E19F5">
            <w:pPr>
              <w:pStyle w:val="text"/>
              <w:tabs>
                <w:tab w:val="left" w:pos="1276"/>
              </w:tabs>
              <w:ind w:left="1276" w:hanging="1276"/>
            </w:pPr>
            <w:r>
              <w:t>PKm:</w:t>
            </w:r>
            <w:r>
              <w:tab/>
              <w:t xml:space="preserve">Personenkilometer </w:t>
            </w:r>
            <w:r w:rsidRPr="003C4A4D">
              <w:t>(osobokilometr)</w:t>
            </w:r>
          </w:p>
          <w:p w:rsidR="00671C69" w:rsidRDefault="00671C69" w:rsidP="006E19F5">
            <w:pPr>
              <w:pStyle w:val="text"/>
              <w:tabs>
                <w:tab w:val="left" w:pos="1276"/>
              </w:tabs>
              <w:ind w:left="1276" w:hanging="1276"/>
            </w:pPr>
            <w:bookmarkStart w:id="46" w:name="_Toc417565680"/>
            <w:r w:rsidRPr="00CF3D04">
              <w:t xml:space="preserve">RegG: </w:t>
            </w:r>
            <w:r w:rsidRPr="00CF3D04">
              <w:tab/>
              <w:t>Regionalisierungsgesetz</w:t>
            </w:r>
            <w:bookmarkEnd w:id="46"/>
            <w:r>
              <w:t xml:space="preserve"> (zákon o regionalizaci veřejné přepravy osob)</w:t>
            </w:r>
          </w:p>
          <w:p w:rsidR="00671C69" w:rsidRDefault="00671C69" w:rsidP="006E19F5">
            <w:pPr>
              <w:pStyle w:val="text"/>
              <w:tabs>
                <w:tab w:val="left" w:pos="1276"/>
              </w:tabs>
              <w:ind w:left="1276" w:hanging="1276"/>
            </w:pPr>
            <w:r>
              <w:t>sFAA</w:t>
            </w:r>
            <w:r>
              <w:tab/>
              <w:t>stationäre Fahrausweisverkaufsautomaten (stacionární prodejní automaty jizdních dokladů)</w:t>
            </w:r>
          </w:p>
          <w:p w:rsidR="00671C69" w:rsidRPr="00CF3D04" w:rsidRDefault="00671C69" w:rsidP="006E19F5">
            <w:pPr>
              <w:pStyle w:val="text"/>
              <w:tabs>
                <w:tab w:val="left" w:pos="1276"/>
              </w:tabs>
              <w:ind w:left="1276" w:hanging="1276"/>
            </w:pPr>
            <w:r>
              <w:t>TSI PRM:</w:t>
            </w:r>
            <w:r>
              <w:tab/>
            </w:r>
            <w:r w:rsidRPr="00CF338E">
              <w:t>Technische Spezifikation für die Interoperabilität zur Zugänglichkeit für Menschen mit Behinderung und Menschen mit eingeschränkter Mobilität (PRM)</w:t>
            </w:r>
            <w:r>
              <w:t xml:space="preserve"> (technické specifikace interoperability pro přístup osob s tělesným postižením a osob s omezenou mobilitou) </w:t>
            </w:r>
          </w:p>
          <w:p w:rsidR="00671C69" w:rsidRPr="00CF3D04" w:rsidRDefault="00671C69" w:rsidP="006E19F5">
            <w:pPr>
              <w:pStyle w:val="text"/>
              <w:tabs>
                <w:tab w:val="left" w:pos="1276"/>
              </w:tabs>
              <w:ind w:left="1276" w:hanging="1276"/>
            </w:pPr>
            <w:bookmarkStart w:id="47" w:name="_Toc417565681"/>
            <w:r w:rsidRPr="00CF3D04">
              <w:t xml:space="preserve">UAbs.: </w:t>
            </w:r>
            <w:r w:rsidRPr="00CF3D04">
              <w:tab/>
              <w:t>Unterabsatz</w:t>
            </w:r>
            <w:bookmarkEnd w:id="47"/>
            <w:r>
              <w:t xml:space="preserve"> (podostavec)</w:t>
            </w:r>
          </w:p>
          <w:p w:rsidR="00671C69" w:rsidRPr="00CF3D04" w:rsidRDefault="00671C69" w:rsidP="006E19F5">
            <w:pPr>
              <w:pStyle w:val="text"/>
              <w:tabs>
                <w:tab w:val="left" w:pos="1276"/>
              </w:tabs>
              <w:ind w:left="1276" w:hanging="1276"/>
            </w:pPr>
            <w:bookmarkStart w:id="48" w:name="_Toc417565682"/>
            <w:r w:rsidRPr="00CF3D04">
              <w:t>VgG:</w:t>
            </w:r>
            <w:r w:rsidRPr="00CF3D04">
              <w:tab/>
              <w:t>Vergabeverordnung</w:t>
            </w:r>
            <w:bookmarkEnd w:id="48"/>
            <w:r>
              <w:t xml:space="preserve"> </w:t>
            </w:r>
            <w:r w:rsidRPr="003C4A4D">
              <w:t>(zadávací řád)</w:t>
            </w:r>
          </w:p>
          <w:p w:rsidR="00671C69" w:rsidRPr="00CF3D04" w:rsidRDefault="00671C69" w:rsidP="006E19F5">
            <w:pPr>
              <w:pStyle w:val="text"/>
              <w:tabs>
                <w:tab w:val="left" w:pos="1276"/>
              </w:tabs>
              <w:ind w:left="1276" w:hanging="1276"/>
            </w:pPr>
            <w:bookmarkStart w:id="49" w:name="_Toc417565683"/>
            <w:r w:rsidRPr="00CF3D04">
              <w:t>VO (EG):</w:t>
            </w:r>
            <w:r w:rsidRPr="00CF3D04">
              <w:tab/>
              <w:t>Verordnung der Europäischen Union</w:t>
            </w:r>
            <w:bookmarkEnd w:id="49"/>
            <w:r>
              <w:t xml:space="preserve"> (EU) (nařízení Evropské unie)</w:t>
            </w:r>
          </w:p>
          <w:p w:rsidR="00671C69" w:rsidRPr="00CF3D04" w:rsidRDefault="00671C69" w:rsidP="006E19F5">
            <w:pPr>
              <w:pStyle w:val="text"/>
              <w:tabs>
                <w:tab w:val="left" w:pos="1276"/>
              </w:tabs>
              <w:ind w:left="1276" w:hanging="1276"/>
              <w:rPr>
                <w:sz w:val="22"/>
                <w:szCs w:val="22"/>
              </w:rPr>
            </w:pPr>
            <w:r>
              <w:t>Zugkm:</w:t>
            </w:r>
            <w:r>
              <w:tab/>
              <w:t>Zugkilometer (vlakokilometr)</w:t>
            </w:r>
          </w:p>
          <w:p w:rsidR="00671C69" w:rsidRDefault="00671C69" w:rsidP="0005590C"/>
        </w:tc>
        <w:tc>
          <w:tcPr>
            <w:tcW w:w="7214" w:type="dxa"/>
          </w:tcPr>
          <w:p w:rsidR="00C57BF0" w:rsidRPr="00CF3D04" w:rsidRDefault="00C57BF0" w:rsidP="00B21B7F">
            <w:pPr>
              <w:pStyle w:val="Nadpis2"/>
              <w:outlineLvl w:val="1"/>
            </w:pPr>
            <w:bookmarkStart w:id="50" w:name="_Toc417565676"/>
            <w:bookmarkStart w:id="51" w:name="_Toc447179476"/>
            <w:bookmarkStart w:id="52" w:name="_Toc447185436"/>
            <w:r w:rsidRPr="00CF3D04">
              <w:t>Abkürzungen</w:t>
            </w:r>
            <w:bookmarkEnd w:id="50"/>
            <w:bookmarkEnd w:id="51"/>
            <w:bookmarkEnd w:id="52"/>
          </w:p>
          <w:p w:rsidR="00C57BF0" w:rsidRDefault="00C57BF0" w:rsidP="006E19F5">
            <w:pPr>
              <w:pStyle w:val="text"/>
              <w:tabs>
                <w:tab w:val="left" w:pos="1415"/>
              </w:tabs>
              <w:ind w:left="1434" w:hanging="1434"/>
            </w:pPr>
            <w:r w:rsidRPr="00CF3D04">
              <w:t xml:space="preserve">Abs.: </w:t>
            </w:r>
            <w:r w:rsidRPr="00CF3D04">
              <w:tab/>
              <w:t>Absatz</w:t>
            </w:r>
          </w:p>
          <w:p w:rsidR="00C57BF0" w:rsidRPr="00CF3D04" w:rsidRDefault="00C57BF0" w:rsidP="006E19F5">
            <w:pPr>
              <w:pStyle w:val="text"/>
              <w:tabs>
                <w:tab w:val="left" w:pos="1415"/>
              </w:tabs>
              <w:ind w:left="1434" w:hanging="1434"/>
            </w:pPr>
            <w:r>
              <w:t>Art.:</w:t>
            </w:r>
            <w:r>
              <w:tab/>
              <w:t>Artikel</w:t>
            </w:r>
          </w:p>
          <w:p w:rsidR="00C57BF0" w:rsidRPr="00CF3D04" w:rsidRDefault="00C57BF0" w:rsidP="006E19F5">
            <w:pPr>
              <w:pStyle w:val="text"/>
              <w:tabs>
                <w:tab w:val="left" w:pos="1415"/>
              </w:tabs>
              <w:ind w:left="1434" w:hanging="1434"/>
            </w:pPr>
            <w:r w:rsidRPr="00CF3D04">
              <w:t>BGB:</w:t>
            </w:r>
            <w:r w:rsidRPr="00CF3D04">
              <w:tab/>
              <w:t>Bürgerliches Gesetzbuch</w:t>
            </w:r>
          </w:p>
          <w:p w:rsidR="00C57BF0" w:rsidRDefault="00C57BF0" w:rsidP="006E19F5">
            <w:pPr>
              <w:pStyle w:val="text"/>
              <w:tabs>
                <w:tab w:val="left" w:pos="1415"/>
              </w:tabs>
              <w:ind w:left="1434" w:hanging="1434"/>
            </w:pPr>
            <w:r>
              <w:t>EVU:</w:t>
            </w:r>
            <w:r>
              <w:tab/>
              <w:t>Eisenbahnverkehrsunternehmen</w:t>
            </w:r>
          </w:p>
          <w:p w:rsidR="00C57BF0" w:rsidRDefault="00C57BF0" w:rsidP="006E19F5">
            <w:pPr>
              <w:pStyle w:val="text"/>
              <w:tabs>
                <w:tab w:val="left" w:pos="1415"/>
              </w:tabs>
              <w:ind w:left="1434" w:hanging="1434"/>
            </w:pPr>
            <w:r w:rsidRPr="00CF3D04">
              <w:t xml:space="preserve">GWB: </w:t>
            </w:r>
            <w:r w:rsidRPr="00CF3D04">
              <w:tab/>
              <w:t>Gesetz gegen Wettbewerbsbeschränkungen</w:t>
            </w:r>
          </w:p>
          <w:p w:rsidR="00C57BF0" w:rsidRPr="00CF3D04" w:rsidRDefault="00C57BF0" w:rsidP="006E19F5">
            <w:pPr>
              <w:pStyle w:val="text"/>
              <w:tabs>
                <w:tab w:val="left" w:pos="1415"/>
              </w:tabs>
              <w:ind w:left="1434" w:hanging="1434"/>
            </w:pPr>
            <w:r>
              <w:t>PKm:</w:t>
            </w:r>
            <w:r>
              <w:tab/>
              <w:t>Personenkilometer</w:t>
            </w:r>
          </w:p>
          <w:p w:rsidR="00C57BF0" w:rsidRDefault="00C57BF0" w:rsidP="006E19F5">
            <w:pPr>
              <w:pStyle w:val="text"/>
              <w:tabs>
                <w:tab w:val="left" w:pos="1415"/>
              </w:tabs>
              <w:ind w:left="1434" w:hanging="1434"/>
            </w:pPr>
            <w:r w:rsidRPr="00CF3D04">
              <w:t xml:space="preserve">RegG: </w:t>
            </w:r>
            <w:r w:rsidRPr="00CF3D04">
              <w:tab/>
              <w:t>Regionalisierungsgesetz</w:t>
            </w:r>
          </w:p>
          <w:p w:rsidR="00C57BF0" w:rsidRDefault="00C57BF0" w:rsidP="006E19F5">
            <w:pPr>
              <w:pStyle w:val="text"/>
              <w:tabs>
                <w:tab w:val="left" w:pos="1415"/>
              </w:tabs>
              <w:ind w:left="1434" w:hanging="1434"/>
            </w:pPr>
            <w:r>
              <w:t>sFAA</w:t>
            </w:r>
            <w:r>
              <w:tab/>
              <w:t>stationäre Fahrausweisverkaufsautomaten</w:t>
            </w:r>
          </w:p>
          <w:p w:rsidR="00C57BF0" w:rsidRPr="00CF3D04" w:rsidRDefault="00C57BF0" w:rsidP="006E19F5">
            <w:pPr>
              <w:pStyle w:val="text"/>
              <w:tabs>
                <w:tab w:val="left" w:pos="1415"/>
              </w:tabs>
              <w:ind w:left="1434" w:hanging="1434"/>
            </w:pPr>
            <w:r>
              <w:t>TSI PRM:</w:t>
            </w:r>
            <w:r>
              <w:tab/>
            </w:r>
            <w:r w:rsidRPr="00CF338E">
              <w:t>Technische Spezifikation für die Interoperabilität zur Zugänglichkeit für Menschen mit Behinderung und Menschen mit eingeschränkter Mobilität (PRM)</w:t>
            </w:r>
          </w:p>
          <w:p w:rsidR="00C57BF0" w:rsidRPr="00CF3D04" w:rsidRDefault="00C57BF0" w:rsidP="006E19F5">
            <w:pPr>
              <w:pStyle w:val="text"/>
              <w:tabs>
                <w:tab w:val="left" w:pos="1415"/>
              </w:tabs>
              <w:ind w:left="1434" w:hanging="1434"/>
            </w:pPr>
            <w:r w:rsidRPr="00CF3D04">
              <w:t xml:space="preserve">UAbs.: </w:t>
            </w:r>
            <w:r w:rsidRPr="00CF3D04">
              <w:tab/>
              <w:t>Unterabsatz</w:t>
            </w:r>
          </w:p>
          <w:p w:rsidR="00C57BF0" w:rsidRPr="00CF3D04" w:rsidRDefault="00C57BF0" w:rsidP="006E19F5">
            <w:pPr>
              <w:pStyle w:val="text"/>
              <w:tabs>
                <w:tab w:val="left" w:pos="1415"/>
              </w:tabs>
              <w:ind w:left="1434" w:hanging="1434"/>
            </w:pPr>
            <w:r w:rsidRPr="00CF3D04">
              <w:t>VgG:</w:t>
            </w:r>
            <w:r w:rsidRPr="00CF3D04">
              <w:tab/>
              <w:t>Vergabeverordnung</w:t>
            </w:r>
          </w:p>
          <w:p w:rsidR="00C57BF0" w:rsidRPr="00CF3D04" w:rsidRDefault="00C57BF0" w:rsidP="006E19F5">
            <w:pPr>
              <w:pStyle w:val="text"/>
              <w:tabs>
                <w:tab w:val="left" w:pos="1415"/>
              </w:tabs>
              <w:ind w:left="1434" w:hanging="1434"/>
            </w:pPr>
            <w:r w:rsidRPr="00CF3D04">
              <w:t>VO (EG):</w:t>
            </w:r>
            <w:r w:rsidRPr="00CF3D04">
              <w:tab/>
              <w:t>Verordnung der Europäischen Union</w:t>
            </w:r>
            <w:r>
              <w:t xml:space="preserve"> (EU)</w:t>
            </w:r>
          </w:p>
          <w:p w:rsidR="00C57BF0" w:rsidRDefault="00C57BF0" w:rsidP="006E19F5">
            <w:pPr>
              <w:pStyle w:val="text"/>
              <w:tabs>
                <w:tab w:val="left" w:pos="1415"/>
              </w:tabs>
              <w:ind w:left="1434" w:hanging="1434"/>
            </w:pPr>
          </w:p>
          <w:p w:rsidR="00C57BF0" w:rsidRPr="00CF3D04" w:rsidRDefault="00C57BF0" w:rsidP="006E19F5">
            <w:pPr>
              <w:pStyle w:val="text"/>
              <w:tabs>
                <w:tab w:val="left" w:pos="1415"/>
              </w:tabs>
              <w:ind w:left="1434" w:hanging="1434"/>
              <w:rPr>
                <w:sz w:val="22"/>
                <w:szCs w:val="22"/>
              </w:rPr>
            </w:pPr>
            <w:r>
              <w:t>Zugkm:</w:t>
            </w:r>
            <w:r>
              <w:tab/>
              <w:t>Zugkilometer</w:t>
            </w:r>
          </w:p>
          <w:p w:rsidR="00671C69" w:rsidRDefault="00671C69" w:rsidP="0005590C"/>
        </w:tc>
      </w:tr>
    </w:tbl>
    <w:p w:rsidR="00CF5D68" w:rsidRDefault="00CF5D68" w:rsidP="0005590C"/>
    <w:sectPr w:rsidR="00CF5D68" w:rsidSect="00517A15">
      <w:headerReference w:type="default" r:id="rId9"/>
      <w:footerReference w:type="default" r:id="rId10"/>
      <w:pgSz w:w="16838" w:h="11906" w:orient="landscape"/>
      <w:pgMar w:top="1418" w:right="1418" w:bottom="1134" w:left="1134" w:header="709"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58" w:rsidRDefault="00F74158" w:rsidP="00517A15">
      <w:r>
        <w:separator/>
      </w:r>
    </w:p>
  </w:endnote>
  <w:endnote w:type="continuationSeparator" w:id="0">
    <w:p w:rsidR="00F74158" w:rsidRDefault="00F74158" w:rsidP="0051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365912"/>
      <w:docPartObj>
        <w:docPartGallery w:val="Page Numbers (Bottom of Page)"/>
        <w:docPartUnique/>
      </w:docPartObj>
    </w:sdtPr>
    <w:sdtEndPr/>
    <w:sdtContent>
      <w:sdt>
        <w:sdtPr>
          <w:id w:val="-1669238322"/>
          <w:docPartObj>
            <w:docPartGallery w:val="Page Numbers (Top of Page)"/>
            <w:docPartUnique/>
          </w:docPartObj>
        </w:sdtPr>
        <w:sdtEndPr/>
        <w:sdtContent>
          <w:p w:rsidR="008E2CD3" w:rsidRDefault="008E2CD3">
            <w:pPr>
              <w:pStyle w:val="Zpat"/>
              <w:jc w:val="center"/>
            </w:pPr>
          </w:p>
          <w:p w:rsidR="008E2CD3" w:rsidRDefault="008E2CD3" w:rsidP="00340CCD">
            <w:pPr>
              <w:pStyle w:val="Zpat"/>
              <w:jc w:val="center"/>
            </w:pPr>
            <w:r>
              <w:t xml:space="preserve">Strana/Seite  </w:t>
            </w:r>
            <w:r>
              <w:rPr>
                <w:b/>
                <w:bCs/>
                <w:szCs w:val="24"/>
              </w:rPr>
              <w:fldChar w:fldCharType="begin"/>
            </w:r>
            <w:r>
              <w:rPr>
                <w:b/>
                <w:bCs/>
              </w:rPr>
              <w:instrText>PAGE</w:instrText>
            </w:r>
            <w:r>
              <w:rPr>
                <w:b/>
                <w:bCs/>
                <w:szCs w:val="24"/>
              </w:rPr>
              <w:fldChar w:fldCharType="separate"/>
            </w:r>
            <w:r w:rsidR="006F1C8F">
              <w:rPr>
                <w:b/>
                <w:bCs/>
                <w:noProof/>
              </w:rPr>
              <w:t>21</w:t>
            </w:r>
            <w:r>
              <w:rPr>
                <w:b/>
                <w:bCs/>
                <w:szCs w:val="24"/>
              </w:rPr>
              <w:fldChar w:fldCharType="end"/>
            </w:r>
            <w:r>
              <w:t>/</w:t>
            </w:r>
            <w:r>
              <w:rPr>
                <w:b/>
                <w:bCs/>
                <w:szCs w:val="24"/>
              </w:rPr>
              <w:fldChar w:fldCharType="begin"/>
            </w:r>
            <w:r>
              <w:rPr>
                <w:b/>
                <w:bCs/>
              </w:rPr>
              <w:instrText>NUMPAGES</w:instrText>
            </w:r>
            <w:r>
              <w:rPr>
                <w:b/>
                <w:bCs/>
                <w:szCs w:val="24"/>
              </w:rPr>
              <w:fldChar w:fldCharType="separate"/>
            </w:r>
            <w:r w:rsidR="006F1C8F">
              <w:rPr>
                <w:b/>
                <w:bCs/>
                <w:noProof/>
              </w:rPr>
              <w:t>21</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58" w:rsidRDefault="00F74158" w:rsidP="00517A15">
      <w:r>
        <w:separator/>
      </w:r>
    </w:p>
  </w:footnote>
  <w:footnote w:type="continuationSeparator" w:id="0">
    <w:p w:rsidR="00F74158" w:rsidRDefault="00F74158" w:rsidP="00517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7213"/>
    </w:tblGrid>
    <w:tr w:rsidR="008E2CD3" w:rsidTr="00517A15">
      <w:tc>
        <w:tcPr>
          <w:tcW w:w="7213" w:type="dxa"/>
        </w:tcPr>
        <w:p w:rsidR="008E2CD3" w:rsidRPr="00517A15" w:rsidRDefault="008E2CD3" w:rsidP="00517A15">
          <w:pPr>
            <w:pStyle w:val="Zhlav"/>
            <w:jc w:val="center"/>
            <w:rPr>
              <w:sz w:val="20"/>
            </w:rPr>
          </w:pPr>
          <w:r w:rsidRPr="00517A15">
            <w:rPr>
              <w:rFonts w:ascii="Arial" w:hAnsi="Arial" w:cs="Arial"/>
              <w:sz w:val="20"/>
              <w:szCs w:val="28"/>
              <w:lang w:val="cs-CZ"/>
            </w:rPr>
            <w:t xml:space="preserve">Dohoda o společném zadávacím </w:t>
          </w:r>
          <w:r>
            <w:rPr>
              <w:rFonts w:ascii="Arial" w:hAnsi="Arial" w:cs="Arial"/>
              <w:sz w:val="20"/>
              <w:szCs w:val="28"/>
              <w:lang w:val="cs-CZ"/>
            </w:rPr>
            <w:t>řízení pro Východosaskou síť II</w:t>
          </w:r>
        </w:p>
      </w:tc>
      <w:tc>
        <w:tcPr>
          <w:tcW w:w="7213" w:type="dxa"/>
        </w:tcPr>
        <w:p w:rsidR="008E2CD3" w:rsidRPr="00517A15" w:rsidRDefault="008E2CD3" w:rsidP="00517A15">
          <w:pPr>
            <w:pStyle w:val="Zhlav"/>
            <w:jc w:val="center"/>
            <w:rPr>
              <w:sz w:val="20"/>
            </w:rPr>
          </w:pPr>
          <w:r w:rsidRPr="00517A15">
            <w:rPr>
              <w:rFonts w:ascii="Arial" w:hAnsi="Arial" w:cs="Arial"/>
              <w:sz w:val="20"/>
              <w:szCs w:val="28"/>
            </w:rPr>
            <w:t>Vereinbarung über eine gemeinsame Vergabe für das Ostsachsen-Netz II</w:t>
          </w:r>
        </w:p>
      </w:tc>
    </w:tr>
  </w:tbl>
  <w:p w:rsidR="008E2CD3" w:rsidRDefault="008E2CD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E070B8"/>
    <w:lvl w:ilvl="0">
      <w:start w:val="1"/>
      <w:numFmt w:val="decimal"/>
      <w:lvlText w:val="%1."/>
      <w:lvlJc w:val="left"/>
      <w:pPr>
        <w:tabs>
          <w:tab w:val="num" w:pos="1492"/>
        </w:tabs>
        <w:ind w:left="1492" w:hanging="360"/>
      </w:pPr>
    </w:lvl>
  </w:abstractNum>
  <w:abstractNum w:abstractNumId="1">
    <w:nsid w:val="FFFFFF7D"/>
    <w:multiLevelType w:val="singleLevel"/>
    <w:tmpl w:val="0DFCE718"/>
    <w:lvl w:ilvl="0">
      <w:start w:val="1"/>
      <w:numFmt w:val="decimal"/>
      <w:lvlText w:val="%1."/>
      <w:lvlJc w:val="left"/>
      <w:pPr>
        <w:tabs>
          <w:tab w:val="num" w:pos="1209"/>
        </w:tabs>
        <w:ind w:left="1209" w:hanging="360"/>
      </w:pPr>
    </w:lvl>
  </w:abstractNum>
  <w:abstractNum w:abstractNumId="2">
    <w:nsid w:val="FFFFFF7E"/>
    <w:multiLevelType w:val="singleLevel"/>
    <w:tmpl w:val="0BA07ADE"/>
    <w:lvl w:ilvl="0">
      <w:start w:val="1"/>
      <w:numFmt w:val="decimal"/>
      <w:lvlText w:val="%1."/>
      <w:lvlJc w:val="left"/>
      <w:pPr>
        <w:tabs>
          <w:tab w:val="num" w:pos="926"/>
        </w:tabs>
        <w:ind w:left="926" w:hanging="360"/>
      </w:pPr>
    </w:lvl>
  </w:abstractNum>
  <w:abstractNum w:abstractNumId="3">
    <w:nsid w:val="FFFFFF7F"/>
    <w:multiLevelType w:val="singleLevel"/>
    <w:tmpl w:val="3AA2B1F0"/>
    <w:lvl w:ilvl="0">
      <w:start w:val="1"/>
      <w:numFmt w:val="lowerLetter"/>
      <w:pStyle w:val="slovanseznam2"/>
      <w:lvlText w:val="%1."/>
      <w:lvlJc w:val="left"/>
      <w:pPr>
        <w:ind w:left="643" w:hanging="360"/>
      </w:pPr>
      <w:rPr>
        <w:rFonts w:ascii="Arial" w:hAnsi="Arial" w:hint="default"/>
        <w:b w:val="0"/>
        <w:i w:val="0"/>
        <w:sz w:val="24"/>
      </w:rPr>
    </w:lvl>
  </w:abstractNum>
  <w:abstractNum w:abstractNumId="4">
    <w:nsid w:val="FFFFFF80"/>
    <w:multiLevelType w:val="singleLevel"/>
    <w:tmpl w:val="EC4E1C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D8C6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467BAA"/>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823C9C5C"/>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C73247BC"/>
    <w:lvl w:ilvl="0">
      <w:start w:val="1"/>
      <w:numFmt w:val="decimal"/>
      <w:pStyle w:val="slovanseznam"/>
      <w:lvlText w:val="(%1)"/>
      <w:lvlJc w:val="left"/>
      <w:pPr>
        <w:ind w:left="360" w:hanging="360"/>
      </w:pPr>
    </w:lvl>
  </w:abstractNum>
  <w:abstractNum w:abstractNumId="9">
    <w:nsid w:val="FFFFFF89"/>
    <w:multiLevelType w:val="singleLevel"/>
    <w:tmpl w:val="6958E750"/>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F607873"/>
    <w:multiLevelType w:val="hybridMultilevel"/>
    <w:tmpl w:val="441C45C8"/>
    <w:lvl w:ilvl="0" w:tplc="B2FE30E6">
      <w:start w:val="1"/>
      <w:numFmt w:val="bullet"/>
      <w:lvlText w:val="—"/>
      <w:lvlJc w:val="left"/>
      <w:pPr>
        <w:ind w:left="1429" w:hanging="360"/>
      </w:pPr>
      <w:rPr>
        <w:rFonts w:ascii="Arial Narrow" w:hAnsi="Arial Narrow" w:hint="default"/>
        <w:sz w:val="16"/>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nsid w:val="16F85F73"/>
    <w:multiLevelType w:val="hybridMultilevel"/>
    <w:tmpl w:val="163A1B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1BFA008D"/>
    <w:multiLevelType w:val="hybridMultilevel"/>
    <w:tmpl w:val="55982E58"/>
    <w:lvl w:ilvl="0" w:tplc="14E884B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2FE945FE"/>
    <w:multiLevelType w:val="hybridMultilevel"/>
    <w:tmpl w:val="8892EDDE"/>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3A914E0"/>
    <w:multiLevelType w:val="hybridMultilevel"/>
    <w:tmpl w:val="8892EDDE"/>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976456A"/>
    <w:multiLevelType w:val="hybridMultilevel"/>
    <w:tmpl w:val="C2B8BBB0"/>
    <w:lvl w:ilvl="0" w:tplc="BCC45C5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11"/>
  </w:num>
  <w:num w:numId="4">
    <w:abstractNumId w:val="10"/>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F4"/>
    <w:rsid w:val="0005590C"/>
    <w:rsid w:val="00072254"/>
    <w:rsid w:val="000A3441"/>
    <w:rsid w:val="000B5EB5"/>
    <w:rsid w:val="001218BB"/>
    <w:rsid w:val="00151B81"/>
    <w:rsid w:val="001875A3"/>
    <w:rsid w:val="001C700A"/>
    <w:rsid w:val="00285A1B"/>
    <w:rsid w:val="002D2CD9"/>
    <w:rsid w:val="002E2A5B"/>
    <w:rsid w:val="003146B3"/>
    <w:rsid w:val="003223CA"/>
    <w:rsid w:val="00330322"/>
    <w:rsid w:val="00340CCD"/>
    <w:rsid w:val="003B7E62"/>
    <w:rsid w:val="003D7D10"/>
    <w:rsid w:val="0040799C"/>
    <w:rsid w:val="004100A6"/>
    <w:rsid w:val="004D11E2"/>
    <w:rsid w:val="00517A15"/>
    <w:rsid w:val="005351AA"/>
    <w:rsid w:val="00544D44"/>
    <w:rsid w:val="0058275C"/>
    <w:rsid w:val="00592C40"/>
    <w:rsid w:val="00593664"/>
    <w:rsid w:val="005C1EA8"/>
    <w:rsid w:val="005E1505"/>
    <w:rsid w:val="006477A8"/>
    <w:rsid w:val="0066345B"/>
    <w:rsid w:val="00671C69"/>
    <w:rsid w:val="00690FAE"/>
    <w:rsid w:val="0069133A"/>
    <w:rsid w:val="006D0C15"/>
    <w:rsid w:val="006E19F5"/>
    <w:rsid w:val="006E68DF"/>
    <w:rsid w:val="006F1C8F"/>
    <w:rsid w:val="006F4226"/>
    <w:rsid w:val="00782205"/>
    <w:rsid w:val="007A6E19"/>
    <w:rsid w:val="007B704C"/>
    <w:rsid w:val="007C769C"/>
    <w:rsid w:val="00812E51"/>
    <w:rsid w:val="008453D8"/>
    <w:rsid w:val="00873F89"/>
    <w:rsid w:val="00897872"/>
    <w:rsid w:val="008D2AED"/>
    <w:rsid w:val="008E2CD3"/>
    <w:rsid w:val="009134F4"/>
    <w:rsid w:val="00922E08"/>
    <w:rsid w:val="00924713"/>
    <w:rsid w:val="009B53C8"/>
    <w:rsid w:val="009E6E7C"/>
    <w:rsid w:val="00A24B99"/>
    <w:rsid w:val="00A454FB"/>
    <w:rsid w:val="00A637C2"/>
    <w:rsid w:val="00AA30B8"/>
    <w:rsid w:val="00AB2C49"/>
    <w:rsid w:val="00B06BCC"/>
    <w:rsid w:val="00B21B7F"/>
    <w:rsid w:val="00B963A8"/>
    <w:rsid w:val="00C57BF0"/>
    <w:rsid w:val="00C8083D"/>
    <w:rsid w:val="00CB1933"/>
    <w:rsid w:val="00CE1E51"/>
    <w:rsid w:val="00CF5D68"/>
    <w:rsid w:val="00D00208"/>
    <w:rsid w:val="00D03A96"/>
    <w:rsid w:val="00D33773"/>
    <w:rsid w:val="00D509CE"/>
    <w:rsid w:val="00D769A4"/>
    <w:rsid w:val="00DD2826"/>
    <w:rsid w:val="00E527CA"/>
    <w:rsid w:val="00E643DC"/>
    <w:rsid w:val="00E7114A"/>
    <w:rsid w:val="00E91A24"/>
    <w:rsid w:val="00EF49FF"/>
    <w:rsid w:val="00F74158"/>
    <w:rsid w:val="00F809A5"/>
    <w:rsid w:val="00F906D4"/>
    <w:rsid w:val="00FB42BF"/>
    <w:rsid w:val="00FD34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63A8"/>
    <w:pPr>
      <w:spacing w:after="0" w:line="240" w:lineRule="auto"/>
    </w:pPr>
    <w:rPr>
      <w:rFonts w:ascii="Times New Roman" w:eastAsia="Times New Roman" w:hAnsi="Times New Roman" w:cs="Times New Roman"/>
      <w:sz w:val="24"/>
      <w:szCs w:val="20"/>
      <w:lang w:eastAsia="de-DE"/>
    </w:rPr>
  </w:style>
  <w:style w:type="paragraph" w:styleId="Nadpis1">
    <w:name w:val="heading 1"/>
    <w:basedOn w:val="Normln"/>
    <w:next w:val="Normln"/>
    <w:link w:val="Nadpis1Char"/>
    <w:qFormat/>
    <w:rsid w:val="00782205"/>
    <w:pPr>
      <w:spacing w:before="600" w:after="240"/>
      <w:jc w:val="center"/>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82205"/>
    <w:pPr>
      <w:keepNext/>
      <w:keepLines/>
      <w:spacing w:before="600" w:after="240"/>
      <w:jc w:val="center"/>
      <w:outlineLvl w:val="1"/>
    </w:pPr>
    <w:rPr>
      <w:rFonts w:asciiTheme="majorHAnsi" w:eastAsiaTheme="majorEastAsia" w:hAnsiTheme="majorHAnsi" w:cstheme="majorBidi"/>
      <w:b/>
      <w:bCs/>
      <w:color w:val="365F91" w:themeColor="accent1" w:themeShade="BF"/>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7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671C69"/>
    <w:pPr>
      <w:jc w:val="center"/>
    </w:pPr>
    <w:rPr>
      <w:b/>
      <w:bCs/>
      <w:sz w:val="28"/>
    </w:rPr>
  </w:style>
  <w:style w:type="character" w:customStyle="1" w:styleId="NzevChar">
    <w:name w:val="Název Char"/>
    <w:basedOn w:val="Standardnpsmoodstavce"/>
    <w:link w:val="Nzev"/>
    <w:rsid w:val="00671C69"/>
    <w:rPr>
      <w:rFonts w:ascii="Times New Roman" w:eastAsia="Times New Roman" w:hAnsi="Times New Roman" w:cs="Times New Roman"/>
      <w:b/>
      <w:bCs/>
      <w:sz w:val="28"/>
      <w:szCs w:val="20"/>
      <w:lang w:eastAsia="de-DE"/>
    </w:rPr>
  </w:style>
  <w:style w:type="paragraph" w:styleId="Odstavecseseznamem">
    <w:name w:val="List Paragraph"/>
    <w:basedOn w:val="Normln"/>
    <w:uiPriority w:val="34"/>
    <w:qFormat/>
    <w:rsid w:val="00671C69"/>
    <w:pPr>
      <w:ind w:left="720"/>
      <w:contextualSpacing/>
    </w:pPr>
  </w:style>
  <w:style w:type="character" w:customStyle="1" w:styleId="Nadpis1Char">
    <w:name w:val="Nadpis 1 Char"/>
    <w:basedOn w:val="Standardnpsmoodstavce"/>
    <w:link w:val="Nadpis1"/>
    <w:rsid w:val="00782205"/>
    <w:rPr>
      <w:rFonts w:asciiTheme="majorHAnsi" w:eastAsiaTheme="majorEastAsia" w:hAnsiTheme="majorHAnsi" w:cstheme="majorBidi"/>
      <w:b/>
      <w:bCs/>
      <w:color w:val="365F91" w:themeColor="accent1" w:themeShade="BF"/>
      <w:sz w:val="28"/>
      <w:szCs w:val="28"/>
      <w:lang w:eastAsia="de-DE"/>
    </w:rPr>
  </w:style>
  <w:style w:type="paragraph" w:customStyle="1" w:styleId="text">
    <w:name w:val="text"/>
    <w:basedOn w:val="Normln"/>
    <w:rsid w:val="001C700A"/>
    <w:rPr>
      <w:rFonts w:ascii="Arial" w:hAnsi="Arial"/>
    </w:rPr>
  </w:style>
  <w:style w:type="paragraph" w:styleId="Zkladntextodsazen">
    <w:name w:val="Body Text Indent"/>
    <w:basedOn w:val="Normln"/>
    <w:link w:val="ZkladntextodsazenChar"/>
    <w:rsid w:val="00671C69"/>
    <w:pPr>
      <w:spacing w:after="240" w:line="360" w:lineRule="exact"/>
      <w:ind w:left="709"/>
    </w:pPr>
  </w:style>
  <w:style w:type="character" w:customStyle="1" w:styleId="ZkladntextodsazenChar">
    <w:name w:val="Základní text odsazený Char"/>
    <w:basedOn w:val="Standardnpsmoodstavce"/>
    <w:link w:val="Zkladntextodsazen"/>
    <w:rsid w:val="00671C69"/>
    <w:rPr>
      <w:rFonts w:ascii="Times New Roman" w:eastAsia="Times New Roman" w:hAnsi="Times New Roman" w:cs="Times New Roman"/>
      <w:sz w:val="24"/>
      <w:szCs w:val="20"/>
      <w:lang w:eastAsia="de-DE"/>
    </w:rPr>
  </w:style>
  <w:style w:type="character" w:customStyle="1" w:styleId="Nadpis2Char">
    <w:name w:val="Nadpis 2 Char"/>
    <w:basedOn w:val="Standardnpsmoodstavce"/>
    <w:link w:val="Nadpis2"/>
    <w:rsid w:val="00782205"/>
    <w:rPr>
      <w:rFonts w:asciiTheme="majorHAnsi" w:eastAsiaTheme="majorEastAsia" w:hAnsiTheme="majorHAnsi" w:cstheme="majorBidi"/>
      <w:b/>
      <w:bCs/>
      <w:color w:val="365F91" w:themeColor="accent1" w:themeShade="BF"/>
      <w:sz w:val="28"/>
      <w:szCs w:val="26"/>
      <w:lang w:eastAsia="de-DE"/>
    </w:rPr>
  </w:style>
  <w:style w:type="paragraph" w:styleId="slovanseznam">
    <w:name w:val="List Number"/>
    <w:basedOn w:val="Normln"/>
    <w:uiPriority w:val="99"/>
    <w:unhideWhenUsed/>
    <w:rsid w:val="0005590C"/>
    <w:pPr>
      <w:numPr>
        <w:numId w:val="12"/>
      </w:numPr>
      <w:contextualSpacing/>
    </w:pPr>
    <w:rPr>
      <w:rFonts w:ascii="Arial" w:hAnsi="Arial"/>
    </w:rPr>
  </w:style>
  <w:style w:type="paragraph" w:styleId="Seznamsodrkami">
    <w:name w:val="List Bullet"/>
    <w:basedOn w:val="Normln"/>
    <w:uiPriority w:val="99"/>
    <w:unhideWhenUsed/>
    <w:rsid w:val="006477A8"/>
    <w:pPr>
      <w:numPr>
        <w:numId w:val="7"/>
      </w:numPr>
      <w:contextualSpacing/>
    </w:pPr>
  </w:style>
  <w:style w:type="paragraph" w:styleId="Seznamsodrkami2">
    <w:name w:val="List Bullet 2"/>
    <w:basedOn w:val="Normln"/>
    <w:uiPriority w:val="99"/>
    <w:unhideWhenUsed/>
    <w:rsid w:val="006477A8"/>
    <w:pPr>
      <w:numPr>
        <w:numId w:val="8"/>
      </w:numPr>
      <w:contextualSpacing/>
    </w:pPr>
  </w:style>
  <w:style w:type="paragraph" w:styleId="Seznamsodrkami3">
    <w:name w:val="List Bullet 3"/>
    <w:basedOn w:val="Normln"/>
    <w:uiPriority w:val="99"/>
    <w:unhideWhenUsed/>
    <w:rsid w:val="006477A8"/>
    <w:pPr>
      <w:numPr>
        <w:numId w:val="9"/>
      </w:numPr>
      <w:contextualSpacing/>
    </w:pPr>
    <w:rPr>
      <w:rFonts w:ascii="Arial" w:hAnsi="Arial"/>
    </w:rPr>
  </w:style>
  <w:style w:type="paragraph" w:styleId="slovanseznam2">
    <w:name w:val="List Number 2"/>
    <w:basedOn w:val="Normln"/>
    <w:uiPriority w:val="99"/>
    <w:unhideWhenUsed/>
    <w:rsid w:val="003B7E62"/>
    <w:pPr>
      <w:numPr>
        <w:numId w:val="13"/>
      </w:numPr>
      <w:ind w:left="754" w:hanging="357"/>
      <w:contextualSpacing/>
    </w:pPr>
    <w:rPr>
      <w:rFonts w:ascii="Arial" w:hAnsi="Arial"/>
    </w:rPr>
  </w:style>
  <w:style w:type="paragraph" w:styleId="Pokraovnseznamu">
    <w:name w:val="List Continue"/>
    <w:basedOn w:val="Normln"/>
    <w:uiPriority w:val="99"/>
    <w:unhideWhenUsed/>
    <w:rsid w:val="0040799C"/>
    <w:pPr>
      <w:ind w:left="357"/>
      <w:contextualSpacing/>
    </w:pPr>
    <w:rPr>
      <w:rFonts w:ascii="Arial" w:hAnsi="Arial"/>
    </w:rPr>
  </w:style>
  <w:style w:type="paragraph" w:styleId="Zhlav">
    <w:name w:val="header"/>
    <w:basedOn w:val="Normln"/>
    <w:link w:val="ZhlavChar"/>
    <w:uiPriority w:val="99"/>
    <w:unhideWhenUsed/>
    <w:rsid w:val="00517A15"/>
    <w:pPr>
      <w:tabs>
        <w:tab w:val="center" w:pos="4536"/>
        <w:tab w:val="right" w:pos="9072"/>
      </w:tabs>
    </w:pPr>
  </w:style>
  <w:style w:type="character" w:customStyle="1" w:styleId="ZhlavChar">
    <w:name w:val="Záhlaví Char"/>
    <w:basedOn w:val="Standardnpsmoodstavce"/>
    <w:link w:val="Zhlav"/>
    <w:uiPriority w:val="99"/>
    <w:rsid w:val="00517A15"/>
    <w:rPr>
      <w:rFonts w:ascii="Times New Roman" w:eastAsia="Times New Roman" w:hAnsi="Times New Roman" w:cs="Times New Roman"/>
      <w:sz w:val="24"/>
      <w:szCs w:val="20"/>
      <w:lang w:eastAsia="de-DE"/>
    </w:rPr>
  </w:style>
  <w:style w:type="paragraph" w:styleId="Zpat">
    <w:name w:val="footer"/>
    <w:basedOn w:val="Normln"/>
    <w:link w:val="ZpatChar"/>
    <w:uiPriority w:val="99"/>
    <w:unhideWhenUsed/>
    <w:rsid w:val="00517A15"/>
    <w:pPr>
      <w:tabs>
        <w:tab w:val="center" w:pos="4536"/>
        <w:tab w:val="right" w:pos="9072"/>
      </w:tabs>
    </w:pPr>
  </w:style>
  <w:style w:type="character" w:customStyle="1" w:styleId="ZpatChar">
    <w:name w:val="Zápatí Char"/>
    <w:basedOn w:val="Standardnpsmoodstavce"/>
    <w:link w:val="Zpat"/>
    <w:uiPriority w:val="99"/>
    <w:rsid w:val="00517A15"/>
    <w:rPr>
      <w:rFonts w:ascii="Times New Roman" w:eastAsia="Times New Roman" w:hAnsi="Times New Roman" w:cs="Times New Roman"/>
      <w:sz w:val="24"/>
      <w:szCs w:val="20"/>
      <w:lang w:eastAsia="de-DE"/>
    </w:rPr>
  </w:style>
  <w:style w:type="paragraph" w:styleId="Nadpisobsahu">
    <w:name w:val="TOC Heading"/>
    <w:basedOn w:val="Nadpis1"/>
    <w:next w:val="Normln"/>
    <w:uiPriority w:val="39"/>
    <w:semiHidden/>
    <w:unhideWhenUsed/>
    <w:qFormat/>
    <w:rsid w:val="00B963A8"/>
    <w:pPr>
      <w:keepNext/>
      <w:keepLines/>
      <w:spacing w:after="0" w:line="276" w:lineRule="auto"/>
      <w:outlineLvl w:val="9"/>
    </w:pPr>
  </w:style>
  <w:style w:type="paragraph" w:styleId="Obsah1">
    <w:name w:val="toc 1"/>
    <w:basedOn w:val="Normln"/>
    <w:next w:val="Normln"/>
    <w:autoRedefine/>
    <w:uiPriority w:val="39"/>
    <w:unhideWhenUsed/>
    <w:rsid w:val="00B963A8"/>
    <w:pPr>
      <w:tabs>
        <w:tab w:val="right" w:leader="dot" w:pos="6804"/>
        <w:tab w:val="right" w:leader="dot" w:pos="14276"/>
      </w:tabs>
      <w:spacing w:after="100"/>
    </w:pPr>
    <w:rPr>
      <w:rFonts w:ascii="Arial" w:hAnsi="Arial"/>
      <w:sz w:val="20"/>
    </w:rPr>
  </w:style>
  <w:style w:type="character" w:styleId="Hypertextovodkaz">
    <w:name w:val="Hyperlink"/>
    <w:basedOn w:val="Standardnpsmoodstavce"/>
    <w:uiPriority w:val="99"/>
    <w:unhideWhenUsed/>
    <w:rsid w:val="00B963A8"/>
    <w:rPr>
      <w:color w:val="0000FF" w:themeColor="hyperlink"/>
      <w:u w:val="single"/>
    </w:rPr>
  </w:style>
  <w:style w:type="paragraph" w:styleId="Textbubliny">
    <w:name w:val="Balloon Text"/>
    <w:basedOn w:val="Normln"/>
    <w:link w:val="TextbublinyChar"/>
    <w:uiPriority w:val="99"/>
    <w:semiHidden/>
    <w:unhideWhenUsed/>
    <w:rsid w:val="00B963A8"/>
    <w:rPr>
      <w:rFonts w:ascii="Tahoma" w:hAnsi="Tahoma" w:cs="Tahoma"/>
      <w:sz w:val="16"/>
      <w:szCs w:val="16"/>
    </w:rPr>
  </w:style>
  <w:style w:type="character" w:customStyle="1" w:styleId="TextbublinyChar">
    <w:name w:val="Text bubliny Char"/>
    <w:basedOn w:val="Standardnpsmoodstavce"/>
    <w:link w:val="Textbubliny"/>
    <w:uiPriority w:val="99"/>
    <w:semiHidden/>
    <w:rsid w:val="00B963A8"/>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63A8"/>
    <w:pPr>
      <w:spacing w:after="0" w:line="240" w:lineRule="auto"/>
    </w:pPr>
    <w:rPr>
      <w:rFonts w:ascii="Times New Roman" w:eastAsia="Times New Roman" w:hAnsi="Times New Roman" w:cs="Times New Roman"/>
      <w:sz w:val="24"/>
      <w:szCs w:val="20"/>
      <w:lang w:eastAsia="de-DE"/>
    </w:rPr>
  </w:style>
  <w:style w:type="paragraph" w:styleId="Nadpis1">
    <w:name w:val="heading 1"/>
    <w:basedOn w:val="Normln"/>
    <w:next w:val="Normln"/>
    <w:link w:val="Nadpis1Char"/>
    <w:qFormat/>
    <w:rsid w:val="00782205"/>
    <w:pPr>
      <w:spacing w:before="600" w:after="240"/>
      <w:jc w:val="center"/>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82205"/>
    <w:pPr>
      <w:keepNext/>
      <w:keepLines/>
      <w:spacing w:before="600" w:after="240"/>
      <w:jc w:val="center"/>
      <w:outlineLvl w:val="1"/>
    </w:pPr>
    <w:rPr>
      <w:rFonts w:asciiTheme="majorHAnsi" w:eastAsiaTheme="majorEastAsia" w:hAnsiTheme="majorHAnsi" w:cstheme="majorBidi"/>
      <w:b/>
      <w:bCs/>
      <w:color w:val="365F91" w:themeColor="accent1" w:themeShade="BF"/>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7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671C69"/>
    <w:pPr>
      <w:jc w:val="center"/>
    </w:pPr>
    <w:rPr>
      <w:b/>
      <w:bCs/>
      <w:sz w:val="28"/>
    </w:rPr>
  </w:style>
  <w:style w:type="character" w:customStyle="1" w:styleId="NzevChar">
    <w:name w:val="Název Char"/>
    <w:basedOn w:val="Standardnpsmoodstavce"/>
    <w:link w:val="Nzev"/>
    <w:rsid w:val="00671C69"/>
    <w:rPr>
      <w:rFonts w:ascii="Times New Roman" w:eastAsia="Times New Roman" w:hAnsi="Times New Roman" w:cs="Times New Roman"/>
      <w:b/>
      <w:bCs/>
      <w:sz w:val="28"/>
      <w:szCs w:val="20"/>
      <w:lang w:eastAsia="de-DE"/>
    </w:rPr>
  </w:style>
  <w:style w:type="paragraph" w:styleId="Odstavecseseznamem">
    <w:name w:val="List Paragraph"/>
    <w:basedOn w:val="Normln"/>
    <w:uiPriority w:val="34"/>
    <w:qFormat/>
    <w:rsid w:val="00671C69"/>
    <w:pPr>
      <w:ind w:left="720"/>
      <w:contextualSpacing/>
    </w:pPr>
  </w:style>
  <w:style w:type="character" w:customStyle="1" w:styleId="Nadpis1Char">
    <w:name w:val="Nadpis 1 Char"/>
    <w:basedOn w:val="Standardnpsmoodstavce"/>
    <w:link w:val="Nadpis1"/>
    <w:rsid w:val="00782205"/>
    <w:rPr>
      <w:rFonts w:asciiTheme="majorHAnsi" w:eastAsiaTheme="majorEastAsia" w:hAnsiTheme="majorHAnsi" w:cstheme="majorBidi"/>
      <w:b/>
      <w:bCs/>
      <w:color w:val="365F91" w:themeColor="accent1" w:themeShade="BF"/>
      <w:sz w:val="28"/>
      <w:szCs w:val="28"/>
      <w:lang w:eastAsia="de-DE"/>
    </w:rPr>
  </w:style>
  <w:style w:type="paragraph" w:customStyle="1" w:styleId="text">
    <w:name w:val="text"/>
    <w:basedOn w:val="Normln"/>
    <w:rsid w:val="001C700A"/>
    <w:rPr>
      <w:rFonts w:ascii="Arial" w:hAnsi="Arial"/>
    </w:rPr>
  </w:style>
  <w:style w:type="paragraph" w:styleId="Zkladntextodsazen">
    <w:name w:val="Body Text Indent"/>
    <w:basedOn w:val="Normln"/>
    <w:link w:val="ZkladntextodsazenChar"/>
    <w:rsid w:val="00671C69"/>
    <w:pPr>
      <w:spacing w:after="240" w:line="360" w:lineRule="exact"/>
      <w:ind w:left="709"/>
    </w:pPr>
  </w:style>
  <w:style w:type="character" w:customStyle="1" w:styleId="ZkladntextodsazenChar">
    <w:name w:val="Základní text odsazený Char"/>
    <w:basedOn w:val="Standardnpsmoodstavce"/>
    <w:link w:val="Zkladntextodsazen"/>
    <w:rsid w:val="00671C69"/>
    <w:rPr>
      <w:rFonts w:ascii="Times New Roman" w:eastAsia="Times New Roman" w:hAnsi="Times New Roman" w:cs="Times New Roman"/>
      <w:sz w:val="24"/>
      <w:szCs w:val="20"/>
      <w:lang w:eastAsia="de-DE"/>
    </w:rPr>
  </w:style>
  <w:style w:type="character" w:customStyle="1" w:styleId="Nadpis2Char">
    <w:name w:val="Nadpis 2 Char"/>
    <w:basedOn w:val="Standardnpsmoodstavce"/>
    <w:link w:val="Nadpis2"/>
    <w:rsid w:val="00782205"/>
    <w:rPr>
      <w:rFonts w:asciiTheme="majorHAnsi" w:eastAsiaTheme="majorEastAsia" w:hAnsiTheme="majorHAnsi" w:cstheme="majorBidi"/>
      <w:b/>
      <w:bCs/>
      <w:color w:val="365F91" w:themeColor="accent1" w:themeShade="BF"/>
      <w:sz w:val="28"/>
      <w:szCs w:val="26"/>
      <w:lang w:eastAsia="de-DE"/>
    </w:rPr>
  </w:style>
  <w:style w:type="paragraph" w:styleId="slovanseznam">
    <w:name w:val="List Number"/>
    <w:basedOn w:val="Normln"/>
    <w:uiPriority w:val="99"/>
    <w:unhideWhenUsed/>
    <w:rsid w:val="0005590C"/>
    <w:pPr>
      <w:numPr>
        <w:numId w:val="12"/>
      </w:numPr>
      <w:contextualSpacing/>
    </w:pPr>
    <w:rPr>
      <w:rFonts w:ascii="Arial" w:hAnsi="Arial"/>
    </w:rPr>
  </w:style>
  <w:style w:type="paragraph" w:styleId="Seznamsodrkami">
    <w:name w:val="List Bullet"/>
    <w:basedOn w:val="Normln"/>
    <w:uiPriority w:val="99"/>
    <w:unhideWhenUsed/>
    <w:rsid w:val="006477A8"/>
    <w:pPr>
      <w:numPr>
        <w:numId w:val="7"/>
      </w:numPr>
      <w:contextualSpacing/>
    </w:pPr>
  </w:style>
  <w:style w:type="paragraph" w:styleId="Seznamsodrkami2">
    <w:name w:val="List Bullet 2"/>
    <w:basedOn w:val="Normln"/>
    <w:uiPriority w:val="99"/>
    <w:unhideWhenUsed/>
    <w:rsid w:val="006477A8"/>
    <w:pPr>
      <w:numPr>
        <w:numId w:val="8"/>
      </w:numPr>
      <w:contextualSpacing/>
    </w:pPr>
  </w:style>
  <w:style w:type="paragraph" w:styleId="Seznamsodrkami3">
    <w:name w:val="List Bullet 3"/>
    <w:basedOn w:val="Normln"/>
    <w:uiPriority w:val="99"/>
    <w:unhideWhenUsed/>
    <w:rsid w:val="006477A8"/>
    <w:pPr>
      <w:numPr>
        <w:numId w:val="9"/>
      </w:numPr>
      <w:contextualSpacing/>
    </w:pPr>
    <w:rPr>
      <w:rFonts w:ascii="Arial" w:hAnsi="Arial"/>
    </w:rPr>
  </w:style>
  <w:style w:type="paragraph" w:styleId="slovanseznam2">
    <w:name w:val="List Number 2"/>
    <w:basedOn w:val="Normln"/>
    <w:uiPriority w:val="99"/>
    <w:unhideWhenUsed/>
    <w:rsid w:val="003B7E62"/>
    <w:pPr>
      <w:numPr>
        <w:numId w:val="13"/>
      </w:numPr>
      <w:ind w:left="754" w:hanging="357"/>
      <w:contextualSpacing/>
    </w:pPr>
    <w:rPr>
      <w:rFonts w:ascii="Arial" w:hAnsi="Arial"/>
    </w:rPr>
  </w:style>
  <w:style w:type="paragraph" w:styleId="Pokraovnseznamu">
    <w:name w:val="List Continue"/>
    <w:basedOn w:val="Normln"/>
    <w:uiPriority w:val="99"/>
    <w:unhideWhenUsed/>
    <w:rsid w:val="0040799C"/>
    <w:pPr>
      <w:ind w:left="357"/>
      <w:contextualSpacing/>
    </w:pPr>
    <w:rPr>
      <w:rFonts w:ascii="Arial" w:hAnsi="Arial"/>
    </w:rPr>
  </w:style>
  <w:style w:type="paragraph" w:styleId="Zhlav">
    <w:name w:val="header"/>
    <w:basedOn w:val="Normln"/>
    <w:link w:val="ZhlavChar"/>
    <w:uiPriority w:val="99"/>
    <w:unhideWhenUsed/>
    <w:rsid w:val="00517A15"/>
    <w:pPr>
      <w:tabs>
        <w:tab w:val="center" w:pos="4536"/>
        <w:tab w:val="right" w:pos="9072"/>
      </w:tabs>
    </w:pPr>
  </w:style>
  <w:style w:type="character" w:customStyle="1" w:styleId="ZhlavChar">
    <w:name w:val="Záhlaví Char"/>
    <w:basedOn w:val="Standardnpsmoodstavce"/>
    <w:link w:val="Zhlav"/>
    <w:uiPriority w:val="99"/>
    <w:rsid w:val="00517A15"/>
    <w:rPr>
      <w:rFonts w:ascii="Times New Roman" w:eastAsia="Times New Roman" w:hAnsi="Times New Roman" w:cs="Times New Roman"/>
      <w:sz w:val="24"/>
      <w:szCs w:val="20"/>
      <w:lang w:eastAsia="de-DE"/>
    </w:rPr>
  </w:style>
  <w:style w:type="paragraph" w:styleId="Zpat">
    <w:name w:val="footer"/>
    <w:basedOn w:val="Normln"/>
    <w:link w:val="ZpatChar"/>
    <w:uiPriority w:val="99"/>
    <w:unhideWhenUsed/>
    <w:rsid w:val="00517A15"/>
    <w:pPr>
      <w:tabs>
        <w:tab w:val="center" w:pos="4536"/>
        <w:tab w:val="right" w:pos="9072"/>
      </w:tabs>
    </w:pPr>
  </w:style>
  <w:style w:type="character" w:customStyle="1" w:styleId="ZpatChar">
    <w:name w:val="Zápatí Char"/>
    <w:basedOn w:val="Standardnpsmoodstavce"/>
    <w:link w:val="Zpat"/>
    <w:uiPriority w:val="99"/>
    <w:rsid w:val="00517A15"/>
    <w:rPr>
      <w:rFonts w:ascii="Times New Roman" w:eastAsia="Times New Roman" w:hAnsi="Times New Roman" w:cs="Times New Roman"/>
      <w:sz w:val="24"/>
      <w:szCs w:val="20"/>
      <w:lang w:eastAsia="de-DE"/>
    </w:rPr>
  </w:style>
  <w:style w:type="paragraph" w:styleId="Nadpisobsahu">
    <w:name w:val="TOC Heading"/>
    <w:basedOn w:val="Nadpis1"/>
    <w:next w:val="Normln"/>
    <w:uiPriority w:val="39"/>
    <w:semiHidden/>
    <w:unhideWhenUsed/>
    <w:qFormat/>
    <w:rsid w:val="00B963A8"/>
    <w:pPr>
      <w:keepNext/>
      <w:keepLines/>
      <w:spacing w:after="0" w:line="276" w:lineRule="auto"/>
      <w:outlineLvl w:val="9"/>
    </w:pPr>
  </w:style>
  <w:style w:type="paragraph" w:styleId="Obsah1">
    <w:name w:val="toc 1"/>
    <w:basedOn w:val="Normln"/>
    <w:next w:val="Normln"/>
    <w:autoRedefine/>
    <w:uiPriority w:val="39"/>
    <w:unhideWhenUsed/>
    <w:rsid w:val="00B963A8"/>
    <w:pPr>
      <w:tabs>
        <w:tab w:val="right" w:leader="dot" w:pos="6804"/>
        <w:tab w:val="right" w:leader="dot" w:pos="14276"/>
      </w:tabs>
      <w:spacing w:after="100"/>
    </w:pPr>
    <w:rPr>
      <w:rFonts w:ascii="Arial" w:hAnsi="Arial"/>
      <w:sz w:val="20"/>
    </w:rPr>
  </w:style>
  <w:style w:type="character" w:styleId="Hypertextovodkaz">
    <w:name w:val="Hyperlink"/>
    <w:basedOn w:val="Standardnpsmoodstavce"/>
    <w:uiPriority w:val="99"/>
    <w:unhideWhenUsed/>
    <w:rsid w:val="00B963A8"/>
    <w:rPr>
      <w:color w:val="0000FF" w:themeColor="hyperlink"/>
      <w:u w:val="single"/>
    </w:rPr>
  </w:style>
  <w:style w:type="paragraph" w:styleId="Textbubliny">
    <w:name w:val="Balloon Text"/>
    <w:basedOn w:val="Normln"/>
    <w:link w:val="TextbublinyChar"/>
    <w:uiPriority w:val="99"/>
    <w:semiHidden/>
    <w:unhideWhenUsed/>
    <w:rsid w:val="00B963A8"/>
    <w:rPr>
      <w:rFonts w:ascii="Tahoma" w:hAnsi="Tahoma" w:cs="Tahoma"/>
      <w:sz w:val="16"/>
      <w:szCs w:val="16"/>
    </w:rPr>
  </w:style>
  <w:style w:type="character" w:customStyle="1" w:styleId="TextbublinyChar">
    <w:name w:val="Text bubliny Char"/>
    <w:basedOn w:val="Standardnpsmoodstavce"/>
    <w:link w:val="Textbubliny"/>
    <w:uiPriority w:val="99"/>
    <w:semiHidden/>
    <w:rsid w:val="00B963A8"/>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2A86-63D3-4327-9351-5413EE8D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7142</Words>
  <Characters>42140</Characters>
  <Application>Microsoft Office Word</Application>
  <DocSecurity>0</DocSecurity>
  <Lines>351</Lines>
  <Paragraphs>98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49184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joerg.buettner</dc:creator>
  <cp:lastModifiedBy>Sulcova Monika</cp:lastModifiedBy>
  <cp:revision>2</cp:revision>
  <cp:lastPrinted>2016-04-08T11:04:00Z</cp:lastPrinted>
  <dcterms:created xsi:type="dcterms:W3CDTF">2017-09-08T13:17:00Z</dcterms:created>
  <dcterms:modified xsi:type="dcterms:W3CDTF">2017-09-08T13:17:00Z</dcterms:modified>
</cp:coreProperties>
</file>