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DE21AC">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DE21AC">
        <w:rPr>
          <w:b/>
          <w:noProof/>
          <w:sz w:val="24"/>
          <w:szCs w:val="24"/>
        </w:rPr>
        <w:t>smlouvě o poskytnutí účelové dotace z Dotačního fondu Libereckého kraje, oblast podpory: 7. Kultura, památková péče a cestovní ruch, program č.: 7.2 Záchrana a obnova památek v Libereckém kraji</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DE21AC">
        <w:rPr>
          <w:b/>
          <w:sz w:val="24"/>
          <w:szCs w:val="24"/>
        </w:rPr>
        <w:t>21</w:t>
      </w:r>
      <w:r w:rsidR="00613A21">
        <w:rPr>
          <w:b/>
          <w:sz w:val="24"/>
          <w:szCs w:val="24"/>
        </w:rPr>
        <w:t>24</w:t>
      </w:r>
      <w:r w:rsidR="00575E2B" w:rsidRPr="00DC40AF">
        <w:rPr>
          <w:b/>
          <w:sz w:val="24"/>
          <w:szCs w:val="24"/>
        </w:rPr>
        <w:t>/20</w:t>
      </w:r>
      <w:r w:rsidR="00DE21AC">
        <w:rPr>
          <w:b/>
          <w:sz w:val="24"/>
          <w:szCs w:val="24"/>
        </w:rPr>
        <w:t>17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613A21">
        <w:rPr>
          <w:b/>
          <w:sz w:val="24"/>
          <w:szCs w:val="24"/>
        </w:rPr>
        <w:t>"Sanace soklového zdiva - 2. etapa - větrací kanálky"</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B12FE0" w:rsidRPr="00B12FE0">
        <w:rPr>
          <w:noProof/>
          <w:sz w:val="24"/>
          <w:szCs w:val="24"/>
        </w:rPr>
        <w:t>Ing. Květou Vinklátovou, členkou rady kraje pověřenou řízením resortu kultury, památkové péče a cestovního ruchu</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DE21AC">
        <w:rPr>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DE21AC" w:rsidRPr="00DE21AC">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C32317">
        <w:rPr>
          <w:b/>
          <w:noProof/>
          <w:sz w:val="24"/>
          <w:szCs w:val="24"/>
        </w:rPr>
        <w:t>Římskokatolická farnost Jenišovice</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00C32317">
        <w:rPr>
          <w:sz w:val="24"/>
          <w:szCs w:val="24"/>
        </w:rPr>
        <w:t>se sídle m: Děkanská 87, 511 01 Turnov</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00C32317">
        <w:rPr>
          <w:sz w:val="24"/>
          <w:szCs w:val="24"/>
        </w:rPr>
        <w:t>IČ</w:t>
      </w:r>
      <w:r w:rsidRPr="00D07C6B">
        <w:rPr>
          <w:sz w:val="24"/>
          <w:szCs w:val="24"/>
        </w:rPr>
        <w:t>:</w:t>
      </w:r>
      <w:r w:rsidR="00C32317">
        <w:rPr>
          <w:sz w:val="24"/>
          <w:szCs w:val="24"/>
        </w:rPr>
        <w:t xml:space="preserve"> 49296221</w:t>
      </w:r>
      <w:r w:rsidRPr="00D07C6B">
        <w:rPr>
          <w:noProof/>
          <w:sz w:val="24"/>
          <w:szCs w:val="24"/>
        </w:rPr>
        <w:t> </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E21AC">
        <w:rPr>
          <w:sz w:val="24"/>
          <w:szCs w:val="24"/>
        </w:rPr>
        <w:t> </w:t>
      </w:r>
      <w:r w:rsidR="00DE21AC">
        <w:rPr>
          <w:sz w:val="24"/>
          <w:szCs w:val="24"/>
        </w:rPr>
        <w:t> </w:t>
      </w:r>
      <w:r w:rsidR="00DE21AC">
        <w:rPr>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613A21">
        <w:rPr>
          <w:sz w:val="24"/>
        </w:rPr>
        <w:t>ThMgr. Václav Vlasák, administrátor</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DE21AC">
        <w:rPr>
          <w:noProof/>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613A21">
        <w:rPr>
          <w:sz w:val="24"/>
        </w:rPr>
        <w:t>1260674399</w:t>
      </w:r>
      <w:r w:rsidR="00DE21AC">
        <w:rPr>
          <w:noProof/>
          <w:sz w:val="24"/>
        </w:rPr>
        <w:t>/0800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DE21AC">
      <w:pPr>
        <w:widowControl w:val="0"/>
        <w:numPr>
          <w:ilvl w:val="0"/>
          <w:numId w:val="8"/>
        </w:numPr>
        <w:spacing w:before="120" w:line="276" w:lineRule="auto"/>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613A21">
        <w:rPr>
          <w:sz w:val="24"/>
          <w:szCs w:val="24"/>
        </w:rPr>
        <w:t>30</w:t>
      </w:r>
      <w:r w:rsidR="00DE21AC">
        <w:rPr>
          <w:noProof/>
          <w:sz w:val="24"/>
          <w:szCs w:val="24"/>
        </w:rPr>
        <w:t>. 6.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DE21AC">
        <w:rPr>
          <w:noProof/>
          <w:sz w:val="24"/>
          <w:szCs w:val="24"/>
        </w:rPr>
        <w:t xml:space="preserve">smlouvu </w:t>
      </w:r>
      <w:r w:rsidR="00DE21AC" w:rsidRPr="00DE21AC">
        <w:rPr>
          <w:noProof/>
          <w:sz w:val="24"/>
          <w:szCs w:val="24"/>
        </w:rPr>
        <w:t>o poskytnutí účelové dotace z Dotačního fondu Libereckého kraje, oblast podpory: 7. Kultura, památková péče a cestovní ruch, program č.: 7.2 Záchrana a obnova památek v Libereckém kraji</w:t>
      </w:r>
      <w:r w:rsidR="00DE21AC">
        <w:rPr>
          <w:noProof/>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DE21AC">
        <w:rPr>
          <w:noProof/>
          <w:sz w:val="24"/>
          <w:szCs w:val="24"/>
        </w:rPr>
        <w:t>OLP/21</w:t>
      </w:r>
      <w:r w:rsidR="00613A21">
        <w:rPr>
          <w:noProof/>
          <w:sz w:val="24"/>
          <w:szCs w:val="24"/>
        </w:rPr>
        <w:t>24/</w:t>
      </w:r>
      <w:r w:rsidR="00DE21AC">
        <w:rPr>
          <w:noProof/>
          <w:sz w:val="24"/>
          <w:szCs w:val="24"/>
        </w:rPr>
        <w:t>2017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1D31BB">
        <w:rPr>
          <w:noProof/>
          <w:sz w:val="24"/>
          <w:szCs w:val="24"/>
        </w:rPr>
        <w:t>poskytnutí účelové neinvestiční dotace na projekt s názvem "</w:t>
      </w:r>
      <w:r w:rsidR="00613A21">
        <w:rPr>
          <w:noProof/>
          <w:sz w:val="24"/>
          <w:szCs w:val="24"/>
        </w:rPr>
        <w:t>Sanace soklového zdiva - 2. etapa - větrací kanálky</w:t>
      </w:r>
      <w:r w:rsidR="001D31BB">
        <w:rPr>
          <w:noProof/>
          <w:sz w:val="24"/>
          <w:szCs w:val="24"/>
        </w:rPr>
        <w:t>"</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1D31BB">
        <w:rPr>
          <w:sz w:val="24"/>
          <w:szCs w:val="24"/>
        </w:rPr>
        <w:t>změna</w:t>
      </w:r>
      <w:r w:rsidR="00853057">
        <w:rPr>
          <w:sz w:val="24"/>
          <w:szCs w:val="24"/>
        </w:rPr>
        <w:t xml:space="preserve"> názvu projektu, změna</w:t>
      </w:r>
      <w:r w:rsidR="001D31BB">
        <w:rPr>
          <w:sz w:val="24"/>
          <w:szCs w:val="24"/>
        </w:rPr>
        <w:t xml:space="preserve"> závazných parametrů smlouvy</w:t>
      </w:r>
      <w:r w:rsidR="00853057">
        <w:rPr>
          <w:sz w:val="24"/>
          <w:szCs w:val="24"/>
        </w:rPr>
        <w:t xml:space="preserve"> a změna ukončení realizace projektu</w:t>
      </w:r>
      <w:r w:rsidR="001D31BB">
        <w:rPr>
          <w:sz w:val="24"/>
          <w:szCs w:val="24"/>
        </w:rPr>
        <w:t>.</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853057" w:rsidRDefault="00DB7E86" w:rsidP="00DB7E86">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00853057">
        <w:rPr>
          <w:noProof/>
          <w:sz w:val="24"/>
          <w:szCs w:val="24"/>
        </w:rPr>
        <w:t>Článek I. odst. 1 smlouvy ve znění:</w:t>
      </w:r>
    </w:p>
    <w:p w:rsidR="00853057" w:rsidRDefault="00853057" w:rsidP="009C22F6">
      <w:pPr>
        <w:widowControl w:val="0"/>
        <w:tabs>
          <w:tab w:val="left" w:pos="284"/>
        </w:tabs>
        <w:spacing w:before="120" w:line="276" w:lineRule="auto"/>
        <w:ind w:left="284" w:hanging="284"/>
        <w:jc w:val="both"/>
        <w:rPr>
          <w:noProof/>
          <w:sz w:val="24"/>
          <w:szCs w:val="24"/>
        </w:rPr>
      </w:pPr>
      <w:r>
        <w:rPr>
          <w:noProof/>
          <w:sz w:val="24"/>
          <w:szCs w:val="24"/>
        </w:rPr>
        <w:t>Smluvní strany uzavírají smlouvu o poskytnutí účelové neinvestiční dotace na projekt s názvem:</w:t>
      </w:r>
      <w:r w:rsidR="009C22F6">
        <w:rPr>
          <w:noProof/>
          <w:sz w:val="24"/>
          <w:szCs w:val="24"/>
        </w:rPr>
        <w:t xml:space="preserve"> </w:t>
      </w:r>
      <w:r>
        <w:rPr>
          <w:noProof/>
          <w:sz w:val="24"/>
          <w:szCs w:val="24"/>
        </w:rPr>
        <w:t>"Sanace soklového  zdiva - 2. etapa - větrací kanálky"</w:t>
      </w:r>
    </w:p>
    <w:p w:rsidR="009C22F6" w:rsidRDefault="009C22F6" w:rsidP="00DB7E86">
      <w:pPr>
        <w:widowControl w:val="0"/>
        <w:tabs>
          <w:tab w:val="left" w:pos="284"/>
        </w:tabs>
        <w:spacing w:before="120" w:line="276" w:lineRule="auto"/>
        <w:ind w:left="284" w:hanging="284"/>
        <w:jc w:val="both"/>
        <w:rPr>
          <w:noProof/>
          <w:sz w:val="24"/>
          <w:szCs w:val="24"/>
        </w:rPr>
      </w:pPr>
    </w:p>
    <w:p w:rsidR="00853057" w:rsidRDefault="00853057" w:rsidP="00DB7E86">
      <w:pPr>
        <w:widowControl w:val="0"/>
        <w:tabs>
          <w:tab w:val="left" w:pos="284"/>
        </w:tabs>
        <w:spacing w:before="120" w:line="276" w:lineRule="auto"/>
        <w:ind w:left="284" w:hanging="284"/>
        <w:jc w:val="both"/>
        <w:rPr>
          <w:noProof/>
          <w:sz w:val="24"/>
          <w:szCs w:val="24"/>
        </w:rPr>
      </w:pPr>
      <w:r>
        <w:rPr>
          <w:noProof/>
          <w:sz w:val="24"/>
          <w:szCs w:val="24"/>
        </w:rPr>
        <w:t>se ruší a nahrazuje tímto novým zněním:</w:t>
      </w:r>
    </w:p>
    <w:p w:rsidR="00853057" w:rsidRDefault="00853057" w:rsidP="009C22F6">
      <w:pPr>
        <w:widowControl w:val="0"/>
        <w:tabs>
          <w:tab w:val="left" w:pos="284"/>
        </w:tabs>
        <w:spacing w:before="120" w:line="276" w:lineRule="auto"/>
        <w:ind w:left="284" w:hanging="284"/>
        <w:jc w:val="both"/>
        <w:rPr>
          <w:noProof/>
          <w:sz w:val="24"/>
          <w:szCs w:val="24"/>
        </w:rPr>
      </w:pPr>
      <w:r>
        <w:rPr>
          <w:noProof/>
          <w:sz w:val="24"/>
          <w:szCs w:val="24"/>
        </w:rPr>
        <w:t>Smluvní strany uzavírají smlouvu o poskytnutí účelové neinvestiční dotace na projekt s názvem:</w:t>
      </w:r>
      <w:r w:rsidR="009C22F6">
        <w:rPr>
          <w:noProof/>
          <w:sz w:val="24"/>
          <w:szCs w:val="24"/>
        </w:rPr>
        <w:t xml:space="preserve"> </w:t>
      </w:r>
      <w:r>
        <w:rPr>
          <w:noProof/>
          <w:sz w:val="24"/>
          <w:szCs w:val="24"/>
        </w:rPr>
        <w:t>"Sanace soklového zdiva - 2. etapa - obvodová drenáž".</w:t>
      </w:r>
    </w:p>
    <w:p w:rsidR="009C22F6" w:rsidRDefault="009C22F6" w:rsidP="00DB7E86">
      <w:pPr>
        <w:widowControl w:val="0"/>
        <w:tabs>
          <w:tab w:val="left" w:pos="284"/>
        </w:tabs>
        <w:spacing w:before="120" w:line="276" w:lineRule="auto"/>
        <w:ind w:left="284" w:hanging="284"/>
        <w:jc w:val="both"/>
        <w:rPr>
          <w:sz w:val="24"/>
          <w:szCs w:val="24"/>
        </w:rPr>
      </w:pPr>
    </w:p>
    <w:p w:rsidR="00DB7E86" w:rsidRDefault="009C22F6" w:rsidP="00DB7E86">
      <w:pPr>
        <w:widowControl w:val="0"/>
        <w:tabs>
          <w:tab w:val="left" w:pos="284"/>
        </w:tabs>
        <w:spacing w:before="120" w:line="276" w:lineRule="auto"/>
        <w:ind w:left="284" w:hanging="284"/>
        <w:jc w:val="both"/>
        <w:rPr>
          <w:sz w:val="24"/>
          <w:szCs w:val="24"/>
        </w:rPr>
      </w:pPr>
      <w:r>
        <w:rPr>
          <w:sz w:val="24"/>
          <w:szCs w:val="24"/>
        </w:rPr>
        <w:t xml:space="preserve">3.  </w:t>
      </w:r>
      <w:r w:rsidR="00DB7E86" w:rsidRPr="00575E2B">
        <w:rPr>
          <w:sz w:val="24"/>
          <w:szCs w:val="24"/>
        </w:rPr>
        <w:t xml:space="preserve">Článek </w:t>
      </w:r>
      <w:r w:rsidR="00DB7E86">
        <w:rPr>
          <w:sz w:val="24"/>
          <w:szCs w:val="24"/>
        </w:rPr>
        <w:fldChar w:fldCharType="begin">
          <w:ffData>
            <w:name w:val="Text37"/>
            <w:enabled/>
            <w:calcOnExit w:val="0"/>
            <w:textInput/>
          </w:ffData>
        </w:fldChar>
      </w:r>
      <w:r w:rsidR="00DB7E86">
        <w:rPr>
          <w:sz w:val="24"/>
          <w:szCs w:val="24"/>
        </w:rPr>
        <w:instrText xml:space="preserve"> FORMTEXT </w:instrText>
      </w:r>
      <w:r w:rsidR="00DB7E86">
        <w:rPr>
          <w:sz w:val="24"/>
          <w:szCs w:val="24"/>
        </w:rPr>
      </w:r>
      <w:r w:rsidR="00DB7E86">
        <w:rPr>
          <w:sz w:val="24"/>
          <w:szCs w:val="24"/>
        </w:rPr>
        <w:fldChar w:fldCharType="separate"/>
      </w:r>
      <w:r w:rsidR="001D31BB">
        <w:rPr>
          <w:noProof/>
          <w:sz w:val="24"/>
          <w:szCs w:val="24"/>
        </w:rPr>
        <w:t>I.</w:t>
      </w:r>
      <w:r w:rsidR="00DB7E86">
        <w:rPr>
          <w:sz w:val="24"/>
          <w:szCs w:val="24"/>
        </w:rPr>
        <w:fldChar w:fldCharType="end"/>
      </w:r>
      <w:r w:rsidR="00DB7E86" w:rsidRPr="00575E2B">
        <w:rPr>
          <w:sz w:val="24"/>
          <w:szCs w:val="24"/>
        </w:rPr>
        <w:t xml:space="preserve"> odst. </w:t>
      </w:r>
      <w:r w:rsidR="00DB7E86">
        <w:rPr>
          <w:sz w:val="24"/>
          <w:szCs w:val="24"/>
        </w:rPr>
        <w:fldChar w:fldCharType="begin">
          <w:ffData>
            <w:name w:val="Text38"/>
            <w:enabled/>
            <w:calcOnExit w:val="0"/>
            <w:textInput/>
          </w:ffData>
        </w:fldChar>
      </w:r>
      <w:r w:rsidR="00DB7E86">
        <w:rPr>
          <w:sz w:val="24"/>
          <w:szCs w:val="24"/>
        </w:rPr>
        <w:instrText xml:space="preserve"> FORMTEXT </w:instrText>
      </w:r>
      <w:r w:rsidR="00DB7E86">
        <w:rPr>
          <w:sz w:val="24"/>
          <w:szCs w:val="24"/>
        </w:rPr>
      </w:r>
      <w:r w:rsidR="00DB7E86">
        <w:rPr>
          <w:sz w:val="24"/>
          <w:szCs w:val="24"/>
        </w:rPr>
        <w:fldChar w:fldCharType="separate"/>
      </w:r>
      <w:r w:rsidR="001D31BB">
        <w:rPr>
          <w:noProof/>
          <w:sz w:val="24"/>
          <w:szCs w:val="24"/>
        </w:rPr>
        <w:t>3</w:t>
      </w:r>
      <w:r w:rsidR="00DB7E86">
        <w:rPr>
          <w:sz w:val="24"/>
          <w:szCs w:val="24"/>
        </w:rPr>
        <w:fldChar w:fldCharType="end"/>
      </w:r>
      <w:r w:rsidR="00DB7E86" w:rsidRPr="00575E2B">
        <w:rPr>
          <w:sz w:val="24"/>
          <w:szCs w:val="24"/>
        </w:rPr>
        <w:t xml:space="preserve"> smlouvy ve znění:</w:t>
      </w:r>
    </w:p>
    <w:tbl>
      <w:tblPr>
        <w:tblStyle w:val="Mkatabulky"/>
        <w:tblW w:w="5000" w:type="pct"/>
        <w:tblLook w:val="04A0" w:firstRow="1" w:lastRow="0" w:firstColumn="1" w:lastColumn="0" w:noHBand="0" w:noVBand="1"/>
      </w:tblPr>
      <w:tblGrid>
        <w:gridCol w:w="4358"/>
        <w:gridCol w:w="2523"/>
        <w:gridCol w:w="2407"/>
      </w:tblGrid>
      <w:tr w:rsidR="00AA4553" w:rsidTr="009C22F6">
        <w:tc>
          <w:tcPr>
            <w:tcW w:w="2346"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Název parametru</w:t>
            </w:r>
          </w:p>
        </w:tc>
        <w:tc>
          <w:tcPr>
            <w:tcW w:w="1358"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Jednotka</w:t>
            </w:r>
          </w:p>
        </w:tc>
        <w:tc>
          <w:tcPr>
            <w:tcW w:w="1296"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Hodnota</w:t>
            </w:r>
          </w:p>
        </w:tc>
      </w:tr>
      <w:tr w:rsidR="00AA4553" w:rsidTr="009C22F6">
        <w:tc>
          <w:tcPr>
            <w:tcW w:w="2346" w:type="pct"/>
          </w:tcPr>
          <w:p w:rsidR="00AA4553" w:rsidRPr="001E5E9C" w:rsidRDefault="00853057" w:rsidP="00D940BF">
            <w:pPr>
              <w:rPr>
                <w:rFonts w:ascii="Times New Roman" w:hAnsi="Times New Roman" w:cs="Times New Roman"/>
                <w:sz w:val="24"/>
                <w:szCs w:val="24"/>
              </w:rPr>
            </w:pPr>
            <w:r>
              <w:rPr>
                <w:rFonts w:ascii="Times New Roman" w:hAnsi="Times New Roman" w:cs="Times New Roman"/>
                <w:sz w:val="24"/>
                <w:szCs w:val="24"/>
              </w:rPr>
              <w:t>Délka kanálků</w:t>
            </w:r>
          </w:p>
        </w:tc>
        <w:tc>
          <w:tcPr>
            <w:tcW w:w="1358" w:type="pct"/>
          </w:tcPr>
          <w:p w:rsidR="00AA4553" w:rsidRPr="001E5E9C" w:rsidRDefault="00AA4553" w:rsidP="00D940BF">
            <w:pPr>
              <w:rPr>
                <w:rFonts w:ascii="Times New Roman" w:hAnsi="Times New Roman" w:cs="Times New Roman"/>
                <w:sz w:val="24"/>
                <w:szCs w:val="24"/>
              </w:rPr>
            </w:pPr>
            <w:r w:rsidRPr="001E5E9C">
              <w:rPr>
                <w:rFonts w:ascii="Times New Roman" w:hAnsi="Times New Roman" w:cs="Times New Roman"/>
                <w:sz w:val="24"/>
                <w:szCs w:val="24"/>
              </w:rPr>
              <w:t>m</w:t>
            </w:r>
          </w:p>
        </w:tc>
        <w:tc>
          <w:tcPr>
            <w:tcW w:w="1296" w:type="pct"/>
          </w:tcPr>
          <w:p w:rsidR="00AA4553" w:rsidRPr="001E5E9C" w:rsidRDefault="00853057" w:rsidP="00853057">
            <w:pPr>
              <w:rPr>
                <w:rFonts w:ascii="Times New Roman" w:hAnsi="Times New Roman" w:cs="Times New Roman"/>
                <w:sz w:val="24"/>
                <w:szCs w:val="24"/>
              </w:rPr>
            </w:pPr>
            <w:r>
              <w:rPr>
                <w:rFonts w:ascii="Times New Roman" w:hAnsi="Times New Roman" w:cs="Times New Roman"/>
                <w:sz w:val="24"/>
                <w:szCs w:val="24"/>
              </w:rPr>
              <w:t>75</w:t>
            </w:r>
          </w:p>
        </w:tc>
      </w:tr>
      <w:tr w:rsidR="009C22F6" w:rsidTr="009C22F6">
        <w:trPr>
          <w:trHeight w:val="342"/>
        </w:trPr>
        <w:tc>
          <w:tcPr>
            <w:tcW w:w="5000" w:type="pct"/>
            <w:gridSpan w:val="3"/>
            <w:tcBorders>
              <w:left w:val="nil"/>
              <w:bottom w:val="nil"/>
              <w:right w:val="nil"/>
            </w:tcBorders>
          </w:tcPr>
          <w:p w:rsidR="009C22F6" w:rsidRPr="001E5E9C" w:rsidRDefault="009C22F6" w:rsidP="00853057">
            <w:pPr>
              <w:rPr>
                <w:rFonts w:ascii="Times New Roman" w:hAnsi="Times New Roman" w:cs="Times New Roman"/>
                <w:sz w:val="24"/>
                <w:szCs w:val="24"/>
              </w:rPr>
            </w:pPr>
          </w:p>
        </w:tc>
      </w:tr>
    </w:tbl>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78694B" w:rsidRDefault="0078694B" w:rsidP="00DB7E86">
      <w:pPr>
        <w:widowControl w:val="0"/>
        <w:tabs>
          <w:tab w:val="left" w:pos="284"/>
        </w:tabs>
        <w:spacing w:before="120" w:line="276" w:lineRule="auto"/>
        <w:ind w:left="284" w:hanging="284"/>
        <w:jc w:val="both"/>
        <w:rPr>
          <w:sz w:val="24"/>
          <w:szCs w:val="24"/>
        </w:rPr>
      </w:pPr>
    </w:p>
    <w:tbl>
      <w:tblPr>
        <w:tblStyle w:val="Mkatabulky"/>
        <w:tblW w:w="0" w:type="auto"/>
        <w:tblLook w:val="04A0" w:firstRow="1" w:lastRow="0" w:firstColumn="1" w:lastColumn="0" w:noHBand="0" w:noVBand="1"/>
      </w:tblPr>
      <w:tblGrid>
        <w:gridCol w:w="4361"/>
        <w:gridCol w:w="1780"/>
        <w:gridCol w:w="3071"/>
      </w:tblGrid>
      <w:tr w:rsidR="00AA4553" w:rsidTr="00D940BF">
        <w:tc>
          <w:tcPr>
            <w:tcW w:w="4361"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Název parametru</w:t>
            </w:r>
          </w:p>
        </w:tc>
        <w:tc>
          <w:tcPr>
            <w:tcW w:w="1780"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Jednotka</w:t>
            </w:r>
          </w:p>
        </w:tc>
        <w:tc>
          <w:tcPr>
            <w:tcW w:w="3071"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Hodnota</w:t>
            </w:r>
          </w:p>
        </w:tc>
      </w:tr>
      <w:tr w:rsidR="00AA4553" w:rsidTr="00D940BF">
        <w:tc>
          <w:tcPr>
            <w:tcW w:w="4361" w:type="dxa"/>
          </w:tcPr>
          <w:p w:rsidR="00AA4553" w:rsidRPr="001E5E9C" w:rsidRDefault="00CF39B2" w:rsidP="00CF39B2">
            <w:pPr>
              <w:rPr>
                <w:rFonts w:ascii="Times New Roman" w:hAnsi="Times New Roman" w:cs="Times New Roman"/>
                <w:sz w:val="24"/>
                <w:szCs w:val="24"/>
              </w:rPr>
            </w:pPr>
            <w:r>
              <w:rPr>
                <w:rFonts w:ascii="Times New Roman" w:hAnsi="Times New Roman" w:cs="Times New Roman"/>
                <w:sz w:val="24"/>
                <w:szCs w:val="24"/>
              </w:rPr>
              <w:t>Obvodová drenáž</w:t>
            </w:r>
          </w:p>
        </w:tc>
        <w:tc>
          <w:tcPr>
            <w:tcW w:w="1780" w:type="dxa"/>
          </w:tcPr>
          <w:p w:rsidR="00AA4553" w:rsidRPr="001E5E9C" w:rsidRDefault="00CF39B2" w:rsidP="00D940BF">
            <w:pPr>
              <w:rPr>
                <w:rFonts w:ascii="Times New Roman" w:hAnsi="Times New Roman" w:cs="Times New Roman"/>
                <w:sz w:val="24"/>
                <w:szCs w:val="24"/>
              </w:rPr>
            </w:pPr>
            <w:r>
              <w:rPr>
                <w:rFonts w:ascii="Times New Roman" w:hAnsi="Times New Roman" w:cs="Times New Roman"/>
                <w:sz w:val="24"/>
                <w:szCs w:val="24"/>
              </w:rPr>
              <w:t>m</w:t>
            </w:r>
          </w:p>
        </w:tc>
        <w:tc>
          <w:tcPr>
            <w:tcW w:w="3071" w:type="dxa"/>
          </w:tcPr>
          <w:p w:rsidR="00AA4553" w:rsidRPr="001E5E9C" w:rsidRDefault="007A4719" w:rsidP="00D940BF">
            <w:pPr>
              <w:rPr>
                <w:rFonts w:ascii="Times New Roman" w:hAnsi="Times New Roman" w:cs="Times New Roman"/>
                <w:sz w:val="24"/>
                <w:szCs w:val="24"/>
              </w:rPr>
            </w:pPr>
            <w:r>
              <w:rPr>
                <w:rFonts w:ascii="Times New Roman" w:hAnsi="Times New Roman" w:cs="Times New Roman"/>
                <w:sz w:val="24"/>
                <w:szCs w:val="24"/>
              </w:rPr>
              <w:t>92</w:t>
            </w:r>
          </w:p>
        </w:tc>
      </w:tr>
    </w:tbl>
    <w:p w:rsidR="009C22F6" w:rsidRDefault="009C22F6" w:rsidP="00DB7E86">
      <w:pPr>
        <w:widowControl w:val="0"/>
        <w:tabs>
          <w:tab w:val="left" w:pos="284"/>
        </w:tabs>
        <w:spacing w:before="120" w:line="276" w:lineRule="auto"/>
        <w:ind w:left="284" w:hanging="284"/>
        <w:jc w:val="both"/>
        <w:rPr>
          <w:sz w:val="24"/>
          <w:szCs w:val="24"/>
        </w:rPr>
      </w:pPr>
    </w:p>
    <w:p w:rsidR="00CF39B2" w:rsidRDefault="009C22F6" w:rsidP="00DB7E86">
      <w:pPr>
        <w:widowControl w:val="0"/>
        <w:tabs>
          <w:tab w:val="left" w:pos="284"/>
        </w:tabs>
        <w:spacing w:before="120" w:line="276" w:lineRule="auto"/>
        <w:ind w:left="284" w:hanging="284"/>
        <w:jc w:val="both"/>
        <w:rPr>
          <w:sz w:val="24"/>
          <w:szCs w:val="24"/>
        </w:rPr>
      </w:pPr>
      <w:r>
        <w:rPr>
          <w:sz w:val="24"/>
          <w:szCs w:val="24"/>
        </w:rPr>
        <w:t xml:space="preserve">4.  </w:t>
      </w:r>
      <w:r w:rsidR="00CF39B2" w:rsidRPr="00CF39B2">
        <w:rPr>
          <w:sz w:val="24"/>
          <w:szCs w:val="24"/>
        </w:rPr>
        <w:t>Článek III. odst. 4 smlouvy ve znění:</w:t>
      </w:r>
    </w:p>
    <w:p w:rsidR="00CF39B2" w:rsidRPr="00CF39B2" w:rsidRDefault="00CF39B2" w:rsidP="00CF39B2">
      <w:pPr>
        <w:widowControl w:val="0"/>
        <w:tabs>
          <w:tab w:val="left" w:pos="284"/>
        </w:tabs>
        <w:spacing w:before="120" w:line="276" w:lineRule="auto"/>
        <w:ind w:left="284" w:hanging="284"/>
        <w:jc w:val="both"/>
        <w:rPr>
          <w:sz w:val="24"/>
          <w:szCs w:val="24"/>
        </w:rPr>
      </w:pPr>
      <w:r w:rsidRPr="00CF39B2">
        <w:rPr>
          <w:sz w:val="24"/>
          <w:szCs w:val="24"/>
        </w:rPr>
        <w:t xml:space="preserve">"Termín zahájení realizace projektu je 1. </w:t>
      </w:r>
      <w:r>
        <w:rPr>
          <w:sz w:val="24"/>
          <w:szCs w:val="24"/>
        </w:rPr>
        <w:t>5</w:t>
      </w:r>
      <w:r w:rsidRPr="00CF39B2">
        <w:rPr>
          <w:sz w:val="24"/>
          <w:szCs w:val="24"/>
        </w:rPr>
        <w:t>. 2017 a termín ukončení realizace projektu je nejpozději 31. 10. 2017."</w:t>
      </w:r>
    </w:p>
    <w:p w:rsidR="00CF39B2" w:rsidRPr="00CF39B2" w:rsidRDefault="00CF39B2" w:rsidP="00CF39B2">
      <w:pPr>
        <w:widowControl w:val="0"/>
        <w:tabs>
          <w:tab w:val="left" w:pos="284"/>
        </w:tabs>
        <w:spacing w:before="120" w:line="276" w:lineRule="auto"/>
        <w:ind w:left="284" w:hanging="284"/>
        <w:jc w:val="both"/>
        <w:rPr>
          <w:sz w:val="24"/>
          <w:szCs w:val="24"/>
        </w:rPr>
      </w:pPr>
      <w:r w:rsidRPr="00CF39B2">
        <w:rPr>
          <w:sz w:val="24"/>
          <w:szCs w:val="24"/>
        </w:rPr>
        <w:t>se ruší a nahrazuje tímto novým zněním:</w:t>
      </w:r>
    </w:p>
    <w:p w:rsidR="00CF39B2" w:rsidRDefault="00CF39B2" w:rsidP="00CF39B2">
      <w:pPr>
        <w:widowControl w:val="0"/>
        <w:tabs>
          <w:tab w:val="left" w:pos="284"/>
        </w:tabs>
        <w:spacing w:before="120" w:line="276" w:lineRule="auto"/>
        <w:ind w:left="284" w:hanging="284"/>
        <w:jc w:val="both"/>
        <w:rPr>
          <w:sz w:val="24"/>
          <w:szCs w:val="24"/>
        </w:rPr>
      </w:pPr>
      <w:r w:rsidRPr="00CF39B2">
        <w:rPr>
          <w:sz w:val="24"/>
          <w:szCs w:val="24"/>
        </w:rPr>
        <w:t xml:space="preserve">"Termín zahájení realizace projektu je 1. </w:t>
      </w:r>
      <w:r>
        <w:rPr>
          <w:sz w:val="24"/>
          <w:szCs w:val="24"/>
        </w:rPr>
        <w:t>5</w:t>
      </w:r>
      <w:r w:rsidRPr="00CF39B2">
        <w:rPr>
          <w:sz w:val="24"/>
          <w:szCs w:val="24"/>
        </w:rPr>
        <w:t>. 2017 a termín ukončení realizace projektu je nejpozději 30. 11. 2017."</w:t>
      </w:r>
    </w:p>
    <w:p w:rsidR="0078694B" w:rsidRDefault="0078694B" w:rsidP="00CF39B2">
      <w:pPr>
        <w:widowControl w:val="0"/>
        <w:tabs>
          <w:tab w:val="left" w:pos="284"/>
        </w:tabs>
        <w:spacing w:before="120" w:line="276" w:lineRule="auto"/>
        <w:ind w:left="284" w:hanging="284"/>
        <w:jc w:val="both"/>
        <w:rPr>
          <w:sz w:val="24"/>
          <w:szCs w:val="24"/>
        </w:rPr>
      </w:pPr>
    </w:p>
    <w:p w:rsidR="00CF39B2" w:rsidRPr="00CF39B2" w:rsidRDefault="009C22F6" w:rsidP="00CF39B2">
      <w:pPr>
        <w:widowControl w:val="0"/>
        <w:tabs>
          <w:tab w:val="left" w:pos="284"/>
        </w:tabs>
        <w:spacing w:before="120" w:line="276" w:lineRule="auto"/>
        <w:ind w:left="284" w:hanging="284"/>
        <w:jc w:val="both"/>
        <w:rPr>
          <w:sz w:val="24"/>
          <w:szCs w:val="24"/>
        </w:rPr>
      </w:pPr>
      <w:r>
        <w:rPr>
          <w:sz w:val="24"/>
          <w:szCs w:val="24"/>
        </w:rPr>
        <w:lastRenderedPageBreak/>
        <w:t>5</w:t>
      </w:r>
      <w:r w:rsidR="00CF39B2" w:rsidRPr="00CF39B2">
        <w:rPr>
          <w:sz w:val="24"/>
          <w:szCs w:val="24"/>
        </w:rPr>
        <w:t>. Článek III. odst. 6 smlouvy ve znění:</w:t>
      </w:r>
    </w:p>
    <w:p w:rsidR="00CF39B2" w:rsidRDefault="00CF39B2" w:rsidP="00CF39B2">
      <w:pPr>
        <w:widowControl w:val="0"/>
        <w:tabs>
          <w:tab w:val="left" w:pos="284"/>
        </w:tabs>
        <w:spacing w:before="120" w:line="276" w:lineRule="auto"/>
        <w:ind w:left="284" w:hanging="284"/>
        <w:jc w:val="both"/>
        <w:rPr>
          <w:sz w:val="24"/>
          <w:szCs w:val="24"/>
        </w:rPr>
      </w:pPr>
      <w:r w:rsidRPr="00CF39B2">
        <w:rPr>
          <w:sz w:val="24"/>
          <w:szCs w:val="24"/>
        </w:rPr>
        <w:t>„Projekt musí být vyúčtován do 50 kalendářních dnů po ukončení realizace, nejpozději do 1. 12. 2017.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uvedeném v příloze č. 1 a 2 této smlouvy, který musí být v termínu pro vyúčtování předložen odboru kultury, památkové péče a cestovního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p>
    <w:p w:rsidR="00CF39B2" w:rsidRPr="00CF39B2" w:rsidRDefault="00CF39B2" w:rsidP="00CF39B2">
      <w:pPr>
        <w:widowControl w:val="0"/>
        <w:tabs>
          <w:tab w:val="left" w:pos="284"/>
        </w:tabs>
        <w:spacing w:before="120" w:line="276" w:lineRule="auto"/>
        <w:ind w:left="284" w:hanging="284"/>
        <w:jc w:val="both"/>
        <w:rPr>
          <w:sz w:val="24"/>
          <w:szCs w:val="24"/>
        </w:rPr>
      </w:pPr>
      <w:r w:rsidRPr="00CF39B2">
        <w:rPr>
          <w:sz w:val="24"/>
          <w:szCs w:val="24"/>
        </w:rPr>
        <w:t>se ruší a nahrazuje tímto novým zněním:</w:t>
      </w:r>
    </w:p>
    <w:p w:rsidR="00DB7E86" w:rsidRDefault="00CF39B2" w:rsidP="00CF39B2">
      <w:pPr>
        <w:widowControl w:val="0"/>
        <w:tabs>
          <w:tab w:val="left" w:pos="284"/>
        </w:tabs>
        <w:spacing w:before="120" w:line="276" w:lineRule="auto"/>
        <w:ind w:left="284" w:hanging="284"/>
        <w:jc w:val="both"/>
        <w:rPr>
          <w:sz w:val="24"/>
          <w:szCs w:val="24"/>
        </w:rPr>
      </w:pPr>
      <w:r w:rsidRPr="00CF39B2">
        <w:rPr>
          <w:sz w:val="24"/>
          <w:szCs w:val="24"/>
        </w:rPr>
        <w:t>"Projekt musí být vyúčtován do 50 kalendářních dnů po ukončení realizace, nejpozději do 19. 1. 2018. Pokud příjemce realizoval projekt před nabytím účinnosti této smlouvy, musí provést vyúčtování nejpozději do 50 kalendářních dnů od nabytí účinnosti této smlouvy. Projekt musí být vypčtován formou závěrečného vyúčtování na příslušném formuláři uvedeném v příloze č. 1 a 2 této smlouvy, který musí být v termínu pro vyúčtování předložn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r w:rsidR="00DB7E86">
        <w:rPr>
          <w:sz w:val="24"/>
          <w:szCs w:val="24"/>
        </w:rPr>
        <w:tab/>
      </w:r>
    </w:p>
    <w:p w:rsidR="00AA4553" w:rsidRDefault="00DB7E86" w:rsidP="00AA4553">
      <w:pPr>
        <w:widowControl w:val="0"/>
        <w:tabs>
          <w:tab w:val="left" w:pos="284"/>
        </w:tabs>
        <w:spacing w:before="120" w:line="276" w:lineRule="auto"/>
        <w:ind w:left="284" w:hanging="284"/>
        <w:jc w:val="center"/>
        <w:rPr>
          <w:sz w:val="24"/>
          <w:szCs w:val="24"/>
        </w:rPr>
      </w:pPr>
      <w:r>
        <w:rPr>
          <w:sz w:val="24"/>
          <w:szCs w:val="24"/>
        </w:rPr>
        <w:fldChar w:fldCharType="end"/>
      </w:r>
      <w:bookmarkEnd w:id="19"/>
    </w:p>
    <w:p w:rsidR="00150D55" w:rsidRPr="003319C5" w:rsidRDefault="00150D55" w:rsidP="00AA4553">
      <w:pPr>
        <w:widowControl w:val="0"/>
        <w:tabs>
          <w:tab w:val="left" w:pos="284"/>
        </w:tabs>
        <w:spacing w:before="120" w:line="276" w:lineRule="auto"/>
        <w:ind w:left="284" w:hanging="284"/>
        <w:jc w:val="center"/>
        <w:rPr>
          <w:b/>
          <w:sz w:val="24"/>
          <w:szCs w:val="24"/>
        </w:rPr>
      </w:pPr>
      <w:r w:rsidRPr="003319C5">
        <w:rPr>
          <w:b/>
          <w:sz w:val="24"/>
          <w:szCs w:val="24"/>
        </w:rPr>
        <w:t>Článek II.</w:t>
      </w:r>
    </w:p>
    <w:p w:rsidR="00150D55" w:rsidRPr="003319C5" w:rsidRDefault="00150D55" w:rsidP="00AA4553">
      <w:pPr>
        <w:widowControl w:val="0"/>
        <w:jc w:val="center"/>
        <w:rPr>
          <w:b/>
          <w:sz w:val="24"/>
          <w:szCs w:val="24"/>
          <w:u w:val="single"/>
        </w:rPr>
      </w:pPr>
      <w:r w:rsidRPr="003319C5">
        <w:rPr>
          <w:b/>
          <w:sz w:val="24"/>
          <w:szCs w:val="24"/>
          <w:u w:val="single"/>
        </w:rPr>
        <w:t>Závěrečná ustanovení</w:t>
      </w:r>
    </w:p>
    <w:p w:rsidR="00150D55" w:rsidRPr="00150D5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D23444">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D23444">
        <w:rPr>
          <w:noProof/>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1"/>
    </w:p>
    <w:p w:rsidR="00C946F9" w:rsidRPr="00C946F9" w:rsidRDefault="00C946F9" w:rsidP="00AA4553">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A4553">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 xml:space="preserve">Tento dodatek byl </w:t>
      </w:r>
      <w:r>
        <w:rPr>
          <w:sz w:val="24"/>
          <w:szCs w:val="24"/>
        </w:rPr>
        <w:lastRenderedPageBreak/>
        <w:t>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0C5D4E">
        <w:rPr>
          <w:sz w:val="24"/>
          <w:szCs w:val="24"/>
        </w:rPr>
        <w:t xml:space="preserve">../17/ZK </w:t>
      </w:r>
      <w:r w:rsidRPr="00A85FAD">
        <w:rPr>
          <w:sz w:val="24"/>
          <w:szCs w:val="24"/>
        </w:rPr>
        <w:t>ze dne</w:t>
      </w:r>
      <w:r w:rsidRPr="00A85FAD">
        <w:rPr>
          <w:noProof/>
          <w:sz w:val="24"/>
          <w:szCs w:val="24"/>
        </w:rPr>
        <w:t xml:space="preserve"> </w:t>
      </w:r>
      <w:r w:rsidR="00E756C5">
        <w:rPr>
          <w:noProof/>
          <w:sz w:val="24"/>
          <w:szCs w:val="24"/>
        </w:rPr>
        <w:t>31. 10</w:t>
      </w:r>
      <w:r w:rsidR="00093240">
        <w:rPr>
          <w:noProof/>
          <w:sz w:val="24"/>
          <w:szCs w:val="24"/>
        </w:rPr>
        <w:t>. 2017.</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AA4553">
      <w:pPr>
        <w:widowControl w:val="0"/>
        <w:jc w:val="both"/>
        <w:rPr>
          <w:sz w:val="24"/>
          <w:szCs w:val="24"/>
        </w:rPr>
      </w:pPr>
    </w:p>
    <w:p w:rsidR="00150D55" w:rsidRPr="003319C5" w:rsidRDefault="00150D55" w:rsidP="00AA4553">
      <w:pPr>
        <w:widowControl w:val="0"/>
        <w:jc w:val="both"/>
        <w:rPr>
          <w:sz w:val="24"/>
          <w:szCs w:val="24"/>
        </w:rPr>
      </w:pPr>
    </w:p>
    <w:p w:rsidR="00F2576F" w:rsidRPr="000F540D" w:rsidRDefault="00F2576F" w:rsidP="00AA4553">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CF39B2">
        <w:rPr>
          <w:sz w:val="24"/>
        </w:rPr>
        <w:t xml:space="preserve"> Turnově </w:t>
      </w:r>
      <w:r w:rsidRPr="000F540D">
        <w:rPr>
          <w:sz w:val="24"/>
        </w:rPr>
        <w:t xml:space="preserve">dne </w:t>
      </w:r>
      <w:r w:rsidR="00B12FE0">
        <w:rPr>
          <w:sz w:val="24"/>
        </w:rPr>
        <w:t>………..2017</w:t>
      </w:r>
      <w:r>
        <w:rPr>
          <w:sz w:val="24"/>
        </w:rPr>
        <w:fldChar w:fldCharType="end"/>
      </w:r>
      <w:r w:rsidRPr="000F540D">
        <w:rPr>
          <w:sz w:val="24"/>
        </w:rPr>
        <w:t xml:space="preserve"> </w:t>
      </w:r>
    </w:p>
    <w:p w:rsidR="00F2576F" w:rsidRDefault="00F2576F" w:rsidP="00AA4553">
      <w:pPr>
        <w:widowControl w:val="0"/>
        <w:tabs>
          <w:tab w:val="left" w:pos="6660"/>
        </w:tabs>
        <w:spacing w:before="120"/>
        <w:rPr>
          <w:sz w:val="24"/>
          <w:u w:val="single"/>
        </w:rPr>
      </w:pPr>
    </w:p>
    <w:p w:rsidR="00F2576F" w:rsidRDefault="00F2576F" w:rsidP="00AA4553">
      <w:pPr>
        <w:widowControl w:val="0"/>
        <w:tabs>
          <w:tab w:val="left" w:pos="6660"/>
        </w:tabs>
        <w:spacing w:before="120"/>
        <w:rPr>
          <w:sz w:val="24"/>
        </w:rPr>
      </w:pPr>
    </w:p>
    <w:p w:rsidR="00CB094F" w:rsidRPr="000F540D" w:rsidRDefault="00CB094F" w:rsidP="00AA4553">
      <w:pPr>
        <w:widowControl w:val="0"/>
        <w:tabs>
          <w:tab w:val="left" w:pos="6660"/>
        </w:tabs>
        <w:spacing w:before="120"/>
        <w:rPr>
          <w:sz w:val="24"/>
        </w:rPr>
      </w:pPr>
    </w:p>
    <w:p w:rsidR="00F2576F" w:rsidRDefault="00F2576F" w:rsidP="00AA4553">
      <w:pPr>
        <w:widowControl w:val="0"/>
        <w:tabs>
          <w:tab w:val="left" w:pos="6096"/>
        </w:tabs>
        <w:spacing w:before="120"/>
        <w:rPr>
          <w:sz w:val="24"/>
        </w:rPr>
      </w:pPr>
      <w:r w:rsidRPr="000F540D">
        <w:rPr>
          <w:sz w:val="24"/>
        </w:rPr>
        <w:t>………………………………</w:t>
      </w:r>
      <w:r w:rsidRPr="000F540D">
        <w:rPr>
          <w:sz w:val="24"/>
        </w:rPr>
        <w:tab/>
        <w:t>…………………………</w:t>
      </w:r>
    </w:p>
    <w:p w:rsidR="00CC768F" w:rsidRDefault="00CC768F" w:rsidP="00AA4553">
      <w:pPr>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sidR="00B12FE0">
        <w:rPr>
          <w:sz w:val="24"/>
        </w:rPr>
        <w:t xml:space="preserve">Ing. Květa Vinklátová, členka rady kraje                         </w:t>
      </w:r>
      <w:r w:rsidR="00CF39B2">
        <w:rPr>
          <w:sz w:val="24"/>
        </w:rPr>
        <w:t>ThMgr. Václav Vlasák, administrátor</w:t>
      </w:r>
      <w:r>
        <w:rPr>
          <w:noProof/>
          <w:sz w:val="24"/>
        </w:rPr>
        <w:t xml:space="preserve">         </w:t>
      </w:r>
    </w:p>
    <w:p w:rsidR="00CF39B2" w:rsidRDefault="00CC768F" w:rsidP="00AA4553">
      <w:pPr>
        <w:widowControl w:val="0"/>
        <w:tabs>
          <w:tab w:val="left" w:pos="6096"/>
        </w:tabs>
        <w:spacing w:before="120"/>
        <w:rPr>
          <w:noProof/>
          <w:sz w:val="24"/>
        </w:rPr>
      </w:pPr>
      <w:r>
        <w:rPr>
          <w:noProof/>
          <w:sz w:val="24"/>
        </w:rPr>
        <w:tab/>
      </w:r>
    </w:p>
    <w:p w:rsidR="007A4719" w:rsidRDefault="007A4719" w:rsidP="00AA4553">
      <w:pPr>
        <w:widowControl w:val="0"/>
        <w:tabs>
          <w:tab w:val="left" w:pos="6096"/>
        </w:tabs>
        <w:spacing w:before="120"/>
        <w:rPr>
          <w:noProof/>
          <w:sz w:val="24"/>
        </w:rPr>
      </w:pPr>
    </w:p>
    <w:p w:rsidR="001B48AA" w:rsidRDefault="001B48AA" w:rsidP="00AA4553">
      <w:pPr>
        <w:widowControl w:val="0"/>
        <w:tabs>
          <w:tab w:val="left" w:pos="6096"/>
        </w:tabs>
        <w:spacing w:before="120"/>
        <w:rPr>
          <w:noProof/>
          <w:sz w:val="24"/>
        </w:rPr>
      </w:pPr>
    </w:p>
    <w:p w:rsidR="001B48AA" w:rsidRDefault="001B48AA" w:rsidP="00AA4553">
      <w:pPr>
        <w:widowControl w:val="0"/>
        <w:tabs>
          <w:tab w:val="left" w:pos="6096"/>
        </w:tabs>
        <w:spacing w:before="120"/>
        <w:rPr>
          <w:noProof/>
          <w:sz w:val="24"/>
        </w:rPr>
      </w:pPr>
    </w:p>
    <w:p w:rsidR="001B48AA" w:rsidRDefault="001B48AA" w:rsidP="00AA4553">
      <w:pPr>
        <w:widowControl w:val="0"/>
        <w:tabs>
          <w:tab w:val="left" w:pos="6096"/>
        </w:tabs>
        <w:spacing w:before="120"/>
        <w:rPr>
          <w:noProof/>
          <w:sz w:val="24"/>
        </w:rPr>
      </w:pPr>
    </w:p>
    <w:p w:rsidR="001B48AA" w:rsidRDefault="001B48AA" w:rsidP="00AA4553">
      <w:pPr>
        <w:widowControl w:val="0"/>
        <w:tabs>
          <w:tab w:val="left" w:pos="6096"/>
        </w:tabs>
        <w:spacing w:before="120"/>
        <w:rPr>
          <w:noProof/>
          <w:sz w:val="24"/>
        </w:rPr>
      </w:pPr>
      <w:bookmarkStart w:id="23" w:name="_GoBack"/>
      <w:bookmarkEnd w:id="23"/>
    </w:p>
    <w:p w:rsidR="00CF39B2" w:rsidRDefault="007A4719" w:rsidP="00AA4553">
      <w:pPr>
        <w:widowControl w:val="0"/>
        <w:tabs>
          <w:tab w:val="left" w:pos="6096"/>
        </w:tabs>
        <w:spacing w:before="120"/>
        <w:rPr>
          <w:noProof/>
          <w:sz w:val="24"/>
        </w:rPr>
      </w:pPr>
      <w:r>
        <w:rPr>
          <w:noProof/>
          <w:sz w:val="24"/>
        </w:rPr>
        <w:t xml:space="preserve">                                                                                                     </w:t>
      </w:r>
      <w:r w:rsidR="00CF39B2">
        <w:rPr>
          <w:noProof/>
          <w:sz w:val="24"/>
        </w:rPr>
        <w:t>…………………………..</w:t>
      </w:r>
    </w:p>
    <w:p w:rsidR="00F2576F" w:rsidRDefault="00CF39B2" w:rsidP="00AA4553">
      <w:pPr>
        <w:widowControl w:val="0"/>
        <w:tabs>
          <w:tab w:val="left" w:pos="6096"/>
        </w:tabs>
        <w:spacing w:before="120"/>
        <w:rPr>
          <w:sz w:val="24"/>
        </w:rPr>
      </w:pPr>
      <w:r>
        <w:rPr>
          <w:noProof/>
          <w:sz w:val="24"/>
        </w:rPr>
        <w:t xml:space="preserve">                                                                                     generální vikář Biskupství litoměřické</w:t>
      </w:r>
      <w:r w:rsidR="007A4719">
        <w:rPr>
          <w:noProof/>
          <w:sz w:val="24"/>
        </w:rPr>
        <w:t>h</w:t>
      </w:r>
      <w:r>
        <w:rPr>
          <w:noProof/>
          <w:sz w:val="24"/>
        </w:rPr>
        <w:t>o</w:t>
      </w:r>
      <w:r w:rsidR="00CC768F">
        <w:rPr>
          <w:sz w:val="24"/>
        </w:rPr>
        <w:fldChar w:fldCharType="end"/>
      </w:r>
    </w:p>
    <w:p w:rsidR="00F2576F" w:rsidRDefault="00F2576F" w:rsidP="00AA4553">
      <w:pPr>
        <w:widowControl w:val="0"/>
        <w:tabs>
          <w:tab w:val="left" w:pos="6096"/>
        </w:tabs>
        <w:spacing w:before="120"/>
        <w:rPr>
          <w:sz w:val="24"/>
        </w:rPr>
      </w:pPr>
    </w:p>
    <w:p w:rsidR="00F2576F" w:rsidRDefault="00F2576F" w:rsidP="00AA4553">
      <w:pPr>
        <w:widowControl w:val="0"/>
        <w:tabs>
          <w:tab w:val="left" w:pos="6096"/>
        </w:tabs>
        <w:spacing w:before="120"/>
        <w:rPr>
          <w:sz w:val="24"/>
        </w:rPr>
      </w:pPr>
    </w:p>
    <w:p w:rsidR="00F2576F" w:rsidRDefault="00F2576F" w:rsidP="00AA4553">
      <w:pPr>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B6" w:rsidRDefault="003D6BB6">
      <w:r>
        <w:separator/>
      </w:r>
    </w:p>
  </w:endnote>
  <w:endnote w:type="continuationSeparator" w:id="0">
    <w:p w:rsidR="003D6BB6" w:rsidRDefault="003D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1B48AA">
      <w:rPr>
        <w:noProof/>
      </w:rPr>
      <w:t>4</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B6" w:rsidRDefault="003D6BB6">
      <w:r>
        <w:separator/>
      </w:r>
    </w:p>
  </w:footnote>
  <w:footnote w:type="continuationSeparator" w:id="0">
    <w:p w:rsidR="003D6BB6" w:rsidRDefault="003D6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C9Rw12Q10Zf3wBBh/x29ZPDoEo=" w:salt="A/TVx8dPZEteB8cLpoMFa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93240"/>
    <w:rsid w:val="000A42FF"/>
    <w:rsid w:val="000B0E09"/>
    <w:rsid w:val="000B56FD"/>
    <w:rsid w:val="000C5D4E"/>
    <w:rsid w:val="000D0C33"/>
    <w:rsid w:val="000E50C1"/>
    <w:rsid w:val="001478B3"/>
    <w:rsid w:val="00150D55"/>
    <w:rsid w:val="00160F86"/>
    <w:rsid w:val="00161483"/>
    <w:rsid w:val="00192FA0"/>
    <w:rsid w:val="001B48AA"/>
    <w:rsid w:val="001C7EAC"/>
    <w:rsid w:val="001D31BB"/>
    <w:rsid w:val="0023281B"/>
    <w:rsid w:val="00245DDE"/>
    <w:rsid w:val="00273CCE"/>
    <w:rsid w:val="00291230"/>
    <w:rsid w:val="002B2AF5"/>
    <w:rsid w:val="002D7F83"/>
    <w:rsid w:val="00340271"/>
    <w:rsid w:val="00340B8A"/>
    <w:rsid w:val="00346EAF"/>
    <w:rsid w:val="00366AD3"/>
    <w:rsid w:val="00373471"/>
    <w:rsid w:val="00377ACA"/>
    <w:rsid w:val="00384AE9"/>
    <w:rsid w:val="003B03C1"/>
    <w:rsid w:val="003B7852"/>
    <w:rsid w:val="003C2967"/>
    <w:rsid w:val="003D6BB6"/>
    <w:rsid w:val="003F3158"/>
    <w:rsid w:val="004174DF"/>
    <w:rsid w:val="0046606D"/>
    <w:rsid w:val="0047115B"/>
    <w:rsid w:val="00485165"/>
    <w:rsid w:val="004874D0"/>
    <w:rsid w:val="00487E0B"/>
    <w:rsid w:val="004A4167"/>
    <w:rsid w:val="004C31AD"/>
    <w:rsid w:val="00500DBB"/>
    <w:rsid w:val="00575E2B"/>
    <w:rsid w:val="005D0380"/>
    <w:rsid w:val="005E39D4"/>
    <w:rsid w:val="00604DA1"/>
    <w:rsid w:val="00613A21"/>
    <w:rsid w:val="00614522"/>
    <w:rsid w:val="00623941"/>
    <w:rsid w:val="00633873"/>
    <w:rsid w:val="0069260C"/>
    <w:rsid w:val="00692944"/>
    <w:rsid w:val="006A09CB"/>
    <w:rsid w:val="006A4B23"/>
    <w:rsid w:val="00722CD8"/>
    <w:rsid w:val="007463DE"/>
    <w:rsid w:val="007628A5"/>
    <w:rsid w:val="00772BA6"/>
    <w:rsid w:val="0078694B"/>
    <w:rsid w:val="007A4719"/>
    <w:rsid w:val="007B01BD"/>
    <w:rsid w:val="007E05B7"/>
    <w:rsid w:val="0080253B"/>
    <w:rsid w:val="008252E2"/>
    <w:rsid w:val="00843935"/>
    <w:rsid w:val="00853057"/>
    <w:rsid w:val="00895EB7"/>
    <w:rsid w:val="008E235B"/>
    <w:rsid w:val="008E463E"/>
    <w:rsid w:val="008E4A35"/>
    <w:rsid w:val="008E4B7D"/>
    <w:rsid w:val="008E5E35"/>
    <w:rsid w:val="008E6736"/>
    <w:rsid w:val="00904B45"/>
    <w:rsid w:val="00970176"/>
    <w:rsid w:val="00983210"/>
    <w:rsid w:val="009A6E87"/>
    <w:rsid w:val="009C22F6"/>
    <w:rsid w:val="00A458D4"/>
    <w:rsid w:val="00A47B3A"/>
    <w:rsid w:val="00A53D99"/>
    <w:rsid w:val="00A55B99"/>
    <w:rsid w:val="00AA1F6B"/>
    <w:rsid w:val="00AA4553"/>
    <w:rsid w:val="00AE1E03"/>
    <w:rsid w:val="00B12FE0"/>
    <w:rsid w:val="00B4142B"/>
    <w:rsid w:val="00B57DEA"/>
    <w:rsid w:val="00B65AD5"/>
    <w:rsid w:val="00B91EF6"/>
    <w:rsid w:val="00B94AA3"/>
    <w:rsid w:val="00BE3027"/>
    <w:rsid w:val="00BF6D13"/>
    <w:rsid w:val="00C2467C"/>
    <w:rsid w:val="00C32317"/>
    <w:rsid w:val="00C3560E"/>
    <w:rsid w:val="00C67206"/>
    <w:rsid w:val="00C70059"/>
    <w:rsid w:val="00C72BFC"/>
    <w:rsid w:val="00C946F9"/>
    <w:rsid w:val="00CA72E4"/>
    <w:rsid w:val="00CB094F"/>
    <w:rsid w:val="00CB7D0D"/>
    <w:rsid w:val="00CC218A"/>
    <w:rsid w:val="00CC37E7"/>
    <w:rsid w:val="00CC768F"/>
    <w:rsid w:val="00CE7BD1"/>
    <w:rsid w:val="00CF39B2"/>
    <w:rsid w:val="00D07C6B"/>
    <w:rsid w:val="00D23444"/>
    <w:rsid w:val="00D3494E"/>
    <w:rsid w:val="00D56E3A"/>
    <w:rsid w:val="00D9442A"/>
    <w:rsid w:val="00DB7E86"/>
    <w:rsid w:val="00DD1CAE"/>
    <w:rsid w:val="00DE21AC"/>
    <w:rsid w:val="00DF4450"/>
    <w:rsid w:val="00E0793B"/>
    <w:rsid w:val="00E26B71"/>
    <w:rsid w:val="00E74BC4"/>
    <w:rsid w:val="00E756C5"/>
    <w:rsid w:val="00E97A56"/>
    <w:rsid w:val="00EB3353"/>
    <w:rsid w:val="00EF39C9"/>
    <w:rsid w:val="00EF736C"/>
    <w:rsid w:val="00F07431"/>
    <w:rsid w:val="00F140D4"/>
    <w:rsid w:val="00F16B0E"/>
    <w:rsid w:val="00F21DC0"/>
    <w:rsid w:val="00F2576F"/>
    <w:rsid w:val="00F37628"/>
    <w:rsid w:val="00F50B5E"/>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table" w:styleId="Mkatabulky">
    <w:name w:val="Table Grid"/>
    <w:basedOn w:val="Normlntabulka"/>
    <w:uiPriority w:val="59"/>
    <w:rsid w:val="00AA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table" w:styleId="Mkatabulky">
    <w:name w:val="Table Grid"/>
    <w:basedOn w:val="Normlntabulka"/>
    <w:uiPriority w:val="59"/>
    <w:rsid w:val="00AA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5677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Holická Hana</cp:lastModifiedBy>
  <cp:revision>5</cp:revision>
  <cp:lastPrinted>2017-10-11T09:01:00Z</cp:lastPrinted>
  <dcterms:created xsi:type="dcterms:W3CDTF">2017-10-11T08:53:00Z</dcterms:created>
  <dcterms:modified xsi:type="dcterms:W3CDTF">2017-10-18T13:56:00Z</dcterms:modified>
</cp:coreProperties>
</file>