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49" w:rsidRDefault="00FE782D" w:rsidP="00F97649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Příloha č. 1</w:t>
      </w:r>
      <w:bookmarkStart w:id="0" w:name="_GoBack"/>
      <w:bookmarkEnd w:id="0"/>
    </w:p>
    <w:p w:rsidR="00F97649" w:rsidRDefault="00F97649" w:rsidP="00F97649">
      <w:pPr>
        <w:jc w:val="right"/>
        <w:rPr>
          <w:b/>
          <w:color w:val="000000" w:themeColor="text1"/>
        </w:rPr>
      </w:pPr>
    </w:p>
    <w:p w:rsidR="00F97649" w:rsidRPr="00F97649" w:rsidRDefault="00F97649" w:rsidP="00666BCE">
      <w:pPr>
        <w:rPr>
          <w:b/>
          <w:color w:val="000000" w:themeColor="text1"/>
        </w:rPr>
      </w:pPr>
      <w:r w:rsidRPr="00F97649">
        <w:rPr>
          <w:b/>
          <w:color w:val="000000" w:themeColor="text1"/>
        </w:rPr>
        <w:t xml:space="preserve">Podrobný popis aktivit, finanční porovnání původního projektového záměru s aktuálním rozpočtem a zdůvodnění změny jednotlivých položek </w:t>
      </w:r>
    </w:p>
    <w:p w:rsidR="00F97649" w:rsidRDefault="00F97649" w:rsidP="00666BCE">
      <w:pPr>
        <w:rPr>
          <w:rFonts w:ascii="Times New Roman" w:hAnsi="Times New Roman"/>
          <w:color w:val="0070C0"/>
          <w:sz w:val="24"/>
        </w:rPr>
      </w:pPr>
    </w:p>
    <w:p w:rsidR="009A6DEB" w:rsidRPr="00666BCE" w:rsidRDefault="00666BCE" w:rsidP="00666BCE">
      <w:pPr>
        <w:rPr>
          <w:b/>
          <w:color w:val="000000" w:themeColor="text1"/>
        </w:rPr>
      </w:pPr>
      <w:r w:rsidRPr="00666BCE">
        <w:rPr>
          <w:b/>
          <w:color w:val="000000" w:themeColor="text1"/>
        </w:rPr>
        <w:t>Knihovna Liberec - zkvalitnění ochrany a zpřístupnění knihovního fondu a jeho prezentace</w:t>
      </w:r>
    </w:p>
    <w:p w:rsidR="00666BCE" w:rsidRPr="00666BCE" w:rsidRDefault="00666BCE" w:rsidP="00666BCE">
      <w:pPr>
        <w:rPr>
          <w:b/>
          <w:color w:val="000000" w:themeColor="text1"/>
        </w:rPr>
      </w:pPr>
    </w:p>
    <w:p w:rsidR="00666BCE" w:rsidRPr="00666BCE" w:rsidRDefault="00666BCE" w:rsidP="00666BCE">
      <w:pPr>
        <w:pStyle w:val="Zkladntext3"/>
        <w:keepNext/>
        <w:keepLines/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666BCE">
        <w:rPr>
          <w:rFonts w:asciiTheme="minorHAnsi" w:hAnsiTheme="minorHAnsi"/>
          <w:b/>
          <w:sz w:val="22"/>
          <w:szCs w:val="22"/>
        </w:rPr>
        <w:t>Tabulka č. 1 – Přehled aktivit vč. finančního odhadu výdajů</w:t>
      </w:r>
      <w:r w:rsidR="00260834">
        <w:rPr>
          <w:rFonts w:asciiTheme="minorHAnsi" w:hAnsiTheme="minorHAnsi"/>
          <w:b/>
          <w:sz w:val="22"/>
          <w:szCs w:val="22"/>
        </w:rPr>
        <w:t xml:space="preserve"> (ceny jsou vč. DPH)</w:t>
      </w:r>
    </w:p>
    <w:tbl>
      <w:tblPr>
        <w:tblW w:w="1516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800"/>
        <w:gridCol w:w="1418"/>
        <w:gridCol w:w="1417"/>
        <w:gridCol w:w="1396"/>
        <w:gridCol w:w="5669"/>
      </w:tblGrid>
      <w:tr w:rsidR="0069281C" w:rsidRPr="00F37132" w:rsidTr="00A34F04">
        <w:trPr>
          <w:trHeight w:val="653"/>
          <w:tblHeader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předpokládaný rozpočet Kč</w:t>
            </w: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 xml:space="preserve">(schváleno RK </w:t>
            </w:r>
            <w:proofErr w:type="gramStart"/>
            <w:r w:rsidRPr="00F37132">
              <w:rPr>
                <w:b/>
                <w:bCs/>
                <w:color w:val="000000"/>
                <w:sz w:val="20"/>
                <w:szCs w:val="20"/>
              </w:rPr>
              <w:t>7.6.2016</w:t>
            </w:r>
            <w:proofErr w:type="gramEnd"/>
            <w:r w:rsidRPr="00F3713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 xml:space="preserve">návrh rozpočtu k </w:t>
            </w:r>
            <w:proofErr w:type="gramStart"/>
            <w:r w:rsidRPr="00F37132">
              <w:rPr>
                <w:b/>
                <w:bCs/>
                <w:color w:val="000000"/>
                <w:sz w:val="20"/>
                <w:szCs w:val="20"/>
              </w:rPr>
              <w:t>18.9.2017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281C" w:rsidRDefault="0069281C" w:rsidP="00197A6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</w:p>
          <w:p w:rsidR="002036F1" w:rsidRDefault="002036F1" w:rsidP="00197A6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2036F1">
              <w:rPr>
                <w:b/>
                <w:bCs/>
                <w:color w:val="FF0000"/>
                <w:sz w:val="20"/>
                <w:szCs w:val="20"/>
              </w:rPr>
              <w:t>navýšení</w:t>
            </w:r>
            <w:r w:rsidRPr="002036F1">
              <w:rPr>
                <w:b/>
                <w:bCs/>
                <w:sz w:val="20"/>
                <w:szCs w:val="20"/>
              </w:rPr>
              <w:t>/</w:t>
            </w:r>
          </w:p>
          <w:p w:rsidR="002036F1" w:rsidRPr="00F37132" w:rsidRDefault="002036F1" w:rsidP="00197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 xml:space="preserve">snížení </w:t>
            </w:r>
            <w:r w:rsidRPr="002036F1">
              <w:rPr>
                <w:b/>
                <w:bCs/>
                <w:sz w:val="20"/>
                <w:szCs w:val="20"/>
              </w:rPr>
              <w:t>rozpočtu</w:t>
            </w:r>
          </w:p>
        </w:tc>
        <w:tc>
          <w:tcPr>
            <w:tcW w:w="5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poznámka</w:t>
            </w:r>
            <w:r w:rsidR="001209F0" w:rsidRPr="00F37132">
              <w:rPr>
                <w:b/>
                <w:bCs/>
                <w:color w:val="000000"/>
                <w:sz w:val="20"/>
                <w:szCs w:val="20"/>
              </w:rPr>
              <w:t>/zdůvodnění změny výše položky v rozpočtu</w:t>
            </w:r>
          </w:p>
        </w:tc>
      </w:tr>
      <w:tr w:rsidR="0069281C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rekonstrukce klimatizace v trezoru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9281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/>
                <w:bCs/>
                <w:color w:val="000000"/>
                <w:sz w:val="20"/>
                <w:szCs w:val="20"/>
              </w:rPr>
              <w:t>567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/>
                <w:bCs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9281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6456D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567 192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9281C" w:rsidP="0069281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281C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81C" w:rsidRPr="00F37132" w:rsidRDefault="0069281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provedení nové klimatizace v trezoru odpovídající všem podmínkám pro uchování vzácných tisků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281C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567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1C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6456D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567 192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430" w:rsidRPr="00F37132" w:rsidRDefault="00DF6492" w:rsidP="007F189E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původně zpracované řešení uvedené v projektové dokumentaci, kterou si knihovna nechala v minulých letech zpracovat, se ukázalo jako nevhodné, musí být silnější klimatizační jednotka a částečně jiné technické řešení, aby bylo dosaženo požadované teploty a vlhkosti v</w:t>
            </w:r>
            <w:r w:rsidR="00C87430">
              <w:rPr>
                <w:color w:val="000000"/>
                <w:sz w:val="20"/>
                <w:szCs w:val="20"/>
              </w:rPr>
              <w:t> </w:t>
            </w:r>
            <w:r w:rsidRPr="00F37132">
              <w:rPr>
                <w:color w:val="000000"/>
                <w:sz w:val="20"/>
                <w:szCs w:val="20"/>
              </w:rPr>
              <w:t>trezoru</w:t>
            </w:r>
            <w:r w:rsidR="007F189E">
              <w:rPr>
                <w:color w:val="000000"/>
                <w:sz w:val="20"/>
                <w:szCs w:val="20"/>
              </w:rPr>
              <w:t>;</w:t>
            </w:r>
            <w:r w:rsidR="00C87430">
              <w:rPr>
                <w:color w:val="000000"/>
                <w:sz w:val="20"/>
                <w:szCs w:val="20"/>
              </w:rPr>
              <w:t xml:space="preserve"> </w:t>
            </w:r>
            <w:r w:rsidR="00C87430" w:rsidRPr="007F189E">
              <w:rPr>
                <w:color w:val="000000"/>
                <w:sz w:val="20"/>
                <w:szCs w:val="20"/>
              </w:rPr>
              <w:t>částka v investičním záměru: 1 000 000 Kč bez DPH</w:t>
            </w:r>
          </w:p>
        </w:tc>
      </w:tr>
      <w:tr w:rsidR="0069281C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očista, odkyselení, restaurování a zpřístupnění vybraných dokumentů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2 250 000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0C5" w:rsidRPr="00F37132" w:rsidRDefault="008450C5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1 704 392,00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DF649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00B050"/>
                <w:sz w:val="20"/>
                <w:szCs w:val="20"/>
              </w:rPr>
              <w:t>545 608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3251" w:rsidRPr="00F37132" w:rsidTr="00A34F04">
        <w:trPr>
          <w:trHeight w:val="398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51" w:rsidRPr="00F37132" w:rsidRDefault="00AE3251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51" w:rsidRPr="00F37132" w:rsidRDefault="00AE3251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provedení odborné očisty a odkyselení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251" w:rsidRPr="00F37132" w:rsidRDefault="00AE3251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E3251" w:rsidRPr="00F37132" w:rsidRDefault="008450C5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908 592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D4" w:rsidRPr="006456D4" w:rsidRDefault="00AE3251" w:rsidP="00877075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00B050"/>
                <w:sz w:val="20"/>
                <w:szCs w:val="20"/>
              </w:rPr>
              <w:t>1 091 408</w:t>
            </w:r>
          </w:p>
        </w:tc>
        <w:tc>
          <w:tcPr>
            <w:tcW w:w="56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AE3251" w:rsidRPr="00F37132" w:rsidRDefault="00AE3251" w:rsidP="008450C5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upřesněna po provedení průzkumu souboru 19 knih a dvou pergamenových zlomků ze sbírek Krajské vědecké knihovny v Liberci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(do ceny je také započten průzkum v hodnotě 19 tis. Kč, na základě kterého byla stanovena předběžná cena za restaurování)</w:t>
            </w:r>
          </w:p>
        </w:tc>
      </w:tr>
      <w:tr w:rsidR="00AE3251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51" w:rsidRPr="00F37132" w:rsidRDefault="00AE3251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51" w:rsidRPr="00F37132" w:rsidRDefault="00AE3251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restaurování zejména renesančních knižních vazeb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251" w:rsidRPr="00F37132" w:rsidRDefault="00AE3251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251" w:rsidRPr="00F37132" w:rsidRDefault="00AE3251" w:rsidP="0087707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1" w:rsidRPr="00F37132" w:rsidRDefault="00AE3251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251" w:rsidRPr="00F37132" w:rsidRDefault="00AE3251" w:rsidP="000243F0">
            <w:pPr>
              <w:rPr>
                <w:color w:val="000000"/>
                <w:sz w:val="20"/>
                <w:szCs w:val="20"/>
              </w:rPr>
            </w:pPr>
          </w:p>
        </w:tc>
      </w:tr>
      <w:tr w:rsidR="0069281C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81C" w:rsidRPr="00F37132" w:rsidRDefault="0069281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vytvoření faksimile často žádaných vzácných tisků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281C" w:rsidRPr="00F37132" w:rsidRDefault="00D43E6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795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D4" w:rsidRPr="00F37132" w:rsidRDefault="00D43E6D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545 800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81C" w:rsidRPr="00F37132" w:rsidRDefault="00D43E6D" w:rsidP="007F189E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Kritické vydání a studie Kroniky libereckého a frýdlantského panství v soudobé němčině a češtině (tzv. </w:t>
            </w:r>
            <w:proofErr w:type="spellStart"/>
            <w:r w:rsidRPr="00F37132">
              <w:rPr>
                <w:color w:val="000000"/>
                <w:sz w:val="20"/>
                <w:szCs w:val="20"/>
              </w:rPr>
              <w:t>Rhonova</w:t>
            </w:r>
            <w:proofErr w:type="spellEnd"/>
            <w:r w:rsidRPr="00F37132">
              <w:rPr>
                <w:color w:val="000000"/>
                <w:sz w:val="20"/>
                <w:szCs w:val="20"/>
              </w:rPr>
              <w:t xml:space="preserve"> kronika), její vydání v nákladu 1000 ks. Cena stanovena po expertním odhadu</w:t>
            </w:r>
            <w:r w:rsidR="00AE3251" w:rsidRPr="00F37132">
              <w:rPr>
                <w:color w:val="000000"/>
                <w:sz w:val="20"/>
                <w:szCs w:val="20"/>
              </w:rPr>
              <w:t xml:space="preserve"> množství práce (počet hodin), jednotkové ceny (např. za překlad nebo korektur</w:t>
            </w:r>
            <w:r w:rsidR="007F189E">
              <w:rPr>
                <w:color w:val="000000"/>
                <w:sz w:val="20"/>
                <w:szCs w:val="20"/>
              </w:rPr>
              <w:t xml:space="preserve">y textu) jsou dle průzkumu trhu. Je to </w:t>
            </w:r>
            <w:r w:rsidR="0004021B" w:rsidRPr="007F189E">
              <w:rPr>
                <w:color w:val="000000"/>
                <w:sz w:val="20"/>
                <w:szCs w:val="20"/>
              </w:rPr>
              <w:t>jedinečn</w:t>
            </w:r>
            <w:r w:rsidR="007F189E" w:rsidRPr="007F189E">
              <w:rPr>
                <w:color w:val="000000"/>
                <w:sz w:val="20"/>
                <w:szCs w:val="20"/>
              </w:rPr>
              <w:t>á</w:t>
            </w:r>
            <w:r w:rsidR="0004021B" w:rsidRPr="007F189E">
              <w:rPr>
                <w:color w:val="000000"/>
                <w:sz w:val="20"/>
                <w:szCs w:val="20"/>
              </w:rPr>
              <w:t xml:space="preserve"> možnost zpřístupnit tento pro region unikátní pramen veřejnosti</w:t>
            </w:r>
            <w:r w:rsidR="007F189E">
              <w:rPr>
                <w:color w:val="000000"/>
                <w:sz w:val="20"/>
                <w:szCs w:val="20"/>
              </w:rPr>
              <w:t>.</w:t>
            </w:r>
          </w:p>
        </w:tc>
      </w:tr>
      <w:tr w:rsidR="0069281C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zkvalitnění podmínek pro uchování dokumentů v běžných depozitářích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1385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1 373 83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3713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F3713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1385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6456D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373 833,11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281C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81C" w:rsidRPr="00F37132" w:rsidRDefault="0069281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nákup speciálních zarážek do skladových polic (ochrana dokumentů proti poničení)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993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D4" w:rsidRPr="00F37132" w:rsidRDefault="0069281C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693 150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81C" w:rsidRPr="00F37132" w:rsidRDefault="0069281C" w:rsidP="0069281C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cena stanovena na základě průzkumu trhu, v rozpočtu je cena za zarážky, které již knihovna používá a které jsou od výrobce z Německa, který dodal regály do nové knihovny v r. 2000; v </w:t>
            </w:r>
            <w:r w:rsidRPr="00F37132">
              <w:rPr>
                <w:color w:val="000000"/>
                <w:sz w:val="20"/>
                <w:szCs w:val="20"/>
              </w:rPr>
              <w:lastRenderedPageBreak/>
              <w:t>minulosti knihovna zakoupila dodatečně zarážky od českých výrobců, bohužel však kvalita českých zarážek nebyla dostatečná</w:t>
            </w:r>
          </w:p>
        </w:tc>
      </w:tr>
      <w:tr w:rsidR="0069281C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81C" w:rsidRPr="00F37132" w:rsidRDefault="0069281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pořízení speciálních ochranných obalů na periodické dokumenty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296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667,80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1C" w:rsidRPr="00F37132" w:rsidRDefault="0069281C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196 667,80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81C" w:rsidRPr="00F37132" w:rsidRDefault="00861F0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upřesněn počet atypických obalů vyrobených z nekyselého papíru</w:t>
            </w:r>
          </w:p>
        </w:tc>
      </w:tr>
      <w:tr w:rsidR="0069281C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81C" w:rsidRPr="00F37132" w:rsidRDefault="0069281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drobné stavební úpravy – na vybraných místech doplnění elektrických zásuvek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84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015,31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1C" w:rsidRPr="00F37132" w:rsidRDefault="0069281C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00B050"/>
                <w:sz w:val="20"/>
                <w:szCs w:val="20"/>
              </w:rPr>
              <w:t>15 984,69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81C" w:rsidRPr="00F37132" w:rsidRDefault="00861F0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upřesněna dle projektové dokumentace</w:t>
            </w:r>
          </w:p>
        </w:tc>
      </w:tr>
      <w:tr w:rsidR="0069281C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81C" w:rsidRPr="00F37132" w:rsidRDefault="0069281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nákup stroje na očistu dokumentů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281C" w:rsidRPr="00F37132" w:rsidRDefault="0069281C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D4" w:rsidRPr="00F37132" w:rsidRDefault="0069281C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>
              <w:rPr>
                <w:b/>
                <w:bCs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81C" w:rsidRPr="00F37132" w:rsidRDefault="00861F0C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nákup stroje na očistu se ukázal jako neefektivní, knihovna nebude pořizovat</w:t>
            </w:r>
          </w:p>
        </w:tc>
      </w:tr>
      <w:tr w:rsidR="0069281C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9281C" w:rsidRPr="00F37132" w:rsidRDefault="0069281C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 xml:space="preserve">digitalizace dokumentů a jejich zpřístupnění v celostátní digitální knihovně s výhledem na začlenění do </w:t>
            </w:r>
            <w:proofErr w:type="spellStart"/>
            <w:r w:rsidRPr="00F37132">
              <w:rPr>
                <w:b/>
                <w:bCs/>
                <w:color w:val="000000"/>
                <w:sz w:val="20"/>
                <w:szCs w:val="20"/>
              </w:rPr>
              <w:t>Europeany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281C" w:rsidRPr="00F37132" w:rsidRDefault="0069281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3 150 000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/>
                <w:bCs/>
                <w:color w:val="000000"/>
                <w:sz w:val="20"/>
                <w:szCs w:val="20"/>
              </w:rPr>
              <w:t>000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/>
                <w:bCs/>
                <w:color w:val="000000"/>
                <w:sz w:val="20"/>
                <w:szCs w:val="20"/>
              </w:rPr>
              <w:t>000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6D4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>
              <w:rPr>
                <w:b/>
                <w:bCs/>
                <w:color w:val="00B050"/>
                <w:sz w:val="20"/>
                <w:szCs w:val="20"/>
              </w:rPr>
              <w:t>150 000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9281C" w:rsidRPr="00F37132" w:rsidRDefault="0069281C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digitalizace vybraného objemu dokumentů – </w:t>
            </w:r>
            <w:proofErr w:type="spellStart"/>
            <w:r w:rsidRPr="00F37132">
              <w:rPr>
                <w:color w:val="000000"/>
                <w:sz w:val="20"/>
                <w:szCs w:val="20"/>
              </w:rPr>
              <w:t>dodavatelsky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3 000 000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37132">
              <w:rPr>
                <w:bCs/>
                <w:color w:val="000000"/>
                <w:sz w:val="20"/>
                <w:szCs w:val="20"/>
              </w:rPr>
              <w:t>3</w:t>
            </w:r>
            <w:r w:rsidR="008450C5" w:rsidRPr="00F3713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Cs/>
                <w:color w:val="000000"/>
                <w:sz w:val="20"/>
                <w:szCs w:val="20"/>
              </w:rPr>
              <w:t>000</w:t>
            </w:r>
            <w:r w:rsidR="008450C5" w:rsidRPr="00F3713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Cs/>
                <w:color w:val="000000"/>
                <w:sz w:val="20"/>
                <w:szCs w:val="20"/>
              </w:rPr>
              <w:t>000</w:t>
            </w:r>
            <w:r w:rsidR="008450C5" w:rsidRPr="00F37132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D4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>
              <w:rPr>
                <w:b/>
                <w:bCs/>
                <w:color w:val="00B050"/>
                <w:sz w:val="20"/>
                <w:szCs w:val="20"/>
              </w:rPr>
              <w:t>150 000</w:t>
            </w:r>
          </w:p>
        </w:tc>
        <w:tc>
          <w:tcPr>
            <w:tcW w:w="56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260834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na základě průzkumu trhu</w:t>
            </w:r>
          </w:p>
          <w:p w:rsidR="00F97649" w:rsidRPr="00F37132" w:rsidRDefault="00F97649" w:rsidP="000243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jedná se o speciální fond německých knih, významných nejen pro Liberecký kraj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tvorba popisných </w:t>
            </w:r>
            <w:proofErr w:type="spellStart"/>
            <w:r w:rsidRPr="00F37132">
              <w:rPr>
                <w:color w:val="000000"/>
                <w:sz w:val="20"/>
                <w:szCs w:val="20"/>
              </w:rPr>
              <w:t>metadat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vytvoření tiché studijní zóny pro návštěvníky knihovny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2 300 000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61385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1 840 999,94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61385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00B050"/>
                <w:sz w:val="20"/>
                <w:szCs w:val="20"/>
              </w:rPr>
              <w:t>459 000,06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zasklení části studovny, rekonstrukce studijních boxů, vytvoření týmové studovny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613852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bCs/>
                <w:color w:val="000000"/>
                <w:sz w:val="20"/>
                <w:szCs w:val="20"/>
              </w:rPr>
              <w:t>1</w:t>
            </w:r>
            <w:r w:rsidR="008450C5" w:rsidRPr="00F3713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Cs/>
                <w:color w:val="000000"/>
                <w:sz w:val="20"/>
                <w:szCs w:val="20"/>
              </w:rPr>
              <w:t>407</w:t>
            </w:r>
            <w:r w:rsidR="008450C5" w:rsidRPr="00F3713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Cs/>
                <w:color w:val="000000"/>
                <w:sz w:val="20"/>
                <w:szCs w:val="20"/>
              </w:rPr>
              <w:t>639,94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D4" w:rsidRPr="00F37132" w:rsidRDefault="00613852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00B050"/>
                <w:sz w:val="20"/>
                <w:szCs w:val="20"/>
              </w:rPr>
              <w:t>392 360,06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0834" w:rsidRPr="00F37132" w:rsidRDefault="00613852" w:rsidP="00616C5C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projektantem dle projektové dokumentace a cenové soustavy pro r. 2017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vytvoření specializovaných studijních míst vybavených technikou vhodnou pro studium a prezentaci knihovních fondů (počítače, příp. tiskány, studijní stoly,…)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433 360,00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00B050"/>
                <w:sz w:val="20"/>
                <w:szCs w:val="20"/>
              </w:rPr>
              <w:t>66 640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upřesnění vybavení tiché a kolektivní studovny a studijních boxů, ceny stanoveny na základě průzkumu trhu</w:t>
            </w:r>
          </w:p>
        </w:tc>
      </w:tr>
      <w:tr w:rsidR="00260834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ochrana, zabezpečení a zpřístupnění knihovních fondů uložených ve volných výběrech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6 900 000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61385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8 084 863,6</w:t>
            </w:r>
            <w:r w:rsidR="008450C5" w:rsidRPr="00F371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613852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1 184 863,6</w:t>
            </w:r>
            <w:r w:rsidR="006456D4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zakoupení - RFID čipů, čteček RFID čipů, bezpečnostních RFID bran ke vchodům do knihovny, samoobslužných výpůjčních pultů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6 000 000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6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923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56D4" w:rsidRPr="006456D4">
              <w:rPr>
                <w:b/>
                <w:bCs/>
                <w:color w:val="FF0000"/>
                <w:sz w:val="20"/>
                <w:szCs w:val="20"/>
              </w:rPr>
              <w:t>723 225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7F189E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na základě porovnání dostupných nabídek, nutno volit takovou technologii, která umožní využití také dosavadního výpůjčního systému</w:t>
            </w:r>
            <w:r w:rsidR="007F189E">
              <w:rPr>
                <w:color w:val="000000"/>
                <w:sz w:val="20"/>
                <w:szCs w:val="20"/>
              </w:rPr>
              <w:t xml:space="preserve"> (hybridní brány);</w:t>
            </w:r>
            <w:r w:rsidR="00C87430">
              <w:rPr>
                <w:color w:val="000000"/>
                <w:sz w:val="20"/>
                <w:szCs w:val="20"/>
              </w:rPr>
              <w:t xml:space="preserve"> </w:t>
            </w:r>
            <w:r w:rsidR="00C87430" w:rsidRPr="007F189E">
              <w:rPr>
                <w:color w:val="000000"/>
                <w:sz w:val="20"/>
                <w:szCs w:val="20"/>
              </w:rPr>
              <w:t xml:space="preserve">koncept nového systému byl postupně upřesňován v rámci konzultací s firmami vč. stanovení počtu čipů pro jednotlivé typy dokumentů, </w:t>
            </w:r>
            <w:r w:rsidR="007F189E" w:rsidRPr="007F189E">
              <w:rPr>
                <w:color w:val="000000"/>
                <w:sz w:val="20"/>
                <w:szCs w:val="20"/>
              </w:rPr>
              <w:t xml:space="preserve">nutné bylo rozhodnout, zda volit </w:t>
            </w:r>
            <w:r w:rsidR="00C87430" w:rsidRPr="007F189E">
              <w:rPr>
                <w:color w:val="000000"/>
                <w:sz w:val="20"/>
                <w:szCs w:val="20"/>
              </w:rPr>
              <w:t>hybrid</w:t>
            </w:r>
            <w:r w:rsidR="007F189E" w:rsidRPr="007F189E">
              <w:rPr>
                <w:color w:val="000000"/>
                <w:sz w:val="20"/>
                <w:szCs w:val="20"/>
              </w:rPr>
              <w:t>ní brány, nebo "pouze" brány na RFID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provedení "</w:t>
            </w:r>
            <w:proofErr w:type="spellStart"/>
            <w:r w:rsidRPr="00F37132">
              <w:rPr>
                <w:color w:val="000000"/>
                <w:sz w:val="20"/>
                <w:szCs w:val="20"/>
              </w:rPr>
              <w:t>očipování</w:t>
            </w:r>
            <w:proofErr w:type="spellEnd"/>
            <w:r w:rsidRPr="00F37132">
              <w:rPr>
                <w:color w:val="000000"/>
                <w:sz w:val="20"/>
                <w:szCs w:val="20"/>
              </w:rPr>
              <w:t>" - služba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cena za </w:t>
            </w:r>
            <w:proofErr w:type="spellStart"/>
            <w:r w:rsidRPr="00F37132">
              <w:rPr>
                <w:color w:val="000000"/>
                <w:sz w:val="20"/>
                <w:szCs w:val="20"/>
              </w:rPr>
              <w:t>očipování</w:t>
            </w:r>
            <w:proofErr w:type="spellEnd"/>
            <w:r w:rsidRPr="00F37132">
              <w:rPr>
                <w:color w:val="000000"/>
                <w:sz w:val="20"/>
                <w:szCs w:val="20"/>
              </w:rPr>
              <w:t xml:space="preserve"> je součástí celkové ceny a je kalkulována na 120 tis. Kč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pořízení regálů na časopisy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584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857,60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F7" w:rsidRPr="005F75F7" w:rsidRDefault="00260834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F75F7" w:rsidRPr="005F75F7">
              <w:rPr>
                <w:b/>
                <w:bCs/>
                <w:color w:val="FF0000"/>
                <w:sz w:val="20"/>
                <w:szCs w:val="20"/>
              </w:rPr>
              <w:t>384 857,6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430" w:rsidRPr="00F37132" w:rsidRDefault="00260834" w:rsidP="007F189E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cena stanovena na základě průzkumu trhu a upřesnění velikosti a </w:t>
            </w:r>
            <w:r w:rsidRPr="00F37132">
              <w:rPr>
                <w:color w:val="000000"/>
                <w:sz w:val="20"/>
                <w:szCs w:val="20"/>
              </w:rPr>
              <w:lastRenderedPageBreak/>
              <w:t>počtu regálů</w:t>
            </w:r>
            <w:r w:rsidR="007F189E">
              <w:rPr>
                <w:color w:val="000000"/>
                <w:sz w:val="20"/>
                <w:szCs w:val="20"/>
              </w:rPr>
              <w:t>;</w:t>
            </w:r>
            <w:r w:rsidR="00C87430">
              <w:rPr>
                <w:color w:val="000000"/>
                <w:sz w:val="20"/>
                <w:szCs w:val="20"/>
              </w:rPr>
              <w:t xml:space="preserve"> </w:t>
            </w:r>
            <w:r w:rsidR="00C87430" w:rsidRPr="007F189E">
              <w:rPr>
                <w:color w:val="000000"/>
                <w:sz w:val="20"/>
                <w:szCs w:val="20"/>
              </w:rPr>
              <w:t>originální regály jsou dodávané německou firmou, pokud regály dodá česká firma, může dojít k významnému snížení ceny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pořízení regálů a nábytku do nově vznikajícího oddělení (bývalé hudební)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F7" w:rsidRPr="00F37132" w:rsidRDefault="00260834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5F75F7">
              <w:rPr>
                <w:b/>
                <w:bCs/>
                <w:color w:val="00B050"/>
                <w:sz w:val="20"/>
                <w:szCs w:val="20"/>
              </w:rPr>
              <w:t>500 000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861F0C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toto oddělení již bylo vybaveno z prostředků knihovny, místo toho bude nově vybavena knihovna pro děti a mládež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knihovna pro děti a mládež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576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F7" w:rsidRPr="005F75F7" w:rsidRDefault="00260834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F75F7" w:rsidRPr="005F75F7">
              <w:rPr>
                <w:b/>
                <w:bCs/>
                <w:color w:val="FF0000"/>
                <w:sz w:val="20"/>
                <w:szCs w:val="20"/>
              </w:rPr>
              <w:t>576 781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cena vybavení odpovídá cenám zjištěným průzkumem trhu a upřesnění vybavení dětské knihovny </w:t>
            </w:r>
          </w:p>
        </w:tc>
      </w:tr>
      <w:tr w:rsidR="00260834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zlepšení podmínek pro návštěvníky knihovny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8 100 000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616C5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15 483 247,36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616C5C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F75F7" w:rsidRPr="005F75F7">
              <w:rPr>
                <w:b/>
                <w:bCs/>
                <w:color w:val="FF0000"/>
                <w:sz w:val="20"/>
                <w:szCs w:val="20"/>
              </w:rPr>
              <w:t>7 383 247,36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rekonstrukce WC pro návštěvníky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2 000 000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4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615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524,28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Default="00D111FD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5F75F7" w:rsidRPr="00F37132" w:rsidRDefault="005F75F7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F75F7">
              <w:rPr>
                <w:b/>
                <w:bCs/>
                <w:color w:val="FF0000"/>
                <w:sz w:val="20"/>
                <w:szCs w:val="20"/>
              </w:rPr>
              <w:t>2 615 524,28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0834" w:rsidRPr="00F37132" w:rsidRDefault="00D111FD" w:rsidP="007F189E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cena stanovena projektantem dle projektové dokumentace a v cenové </w:t>
            </w:r>
            <w:proofErr w:type="gramStart"/>
            <w:r w:rsidRPr="00F37132">
              <w:rPr>
                <w:color w:val="000000"/>
                <w:sz w:val="20"/>
                <w:szCs w:val="20"/>
              </w:rPr>
              <w:t>soustavy</w:t>
            </w:r>
            <w:proofErr w:type="gramEnd"/>
            <w:r w:rsidRPr="00F37132">
              <w:rPr>
                <w:color w:val="000000"/>
                <w:sz w:val="20"/>
                <w:szCs w:val="20"/>
              </w:rPr>
              <w:t xml:space="preserve"> pro r. 2017</w:t>
            </w:r>
            <w:r w:rsidR="007F189E">
              <w:rPr>
                <w:color w:val="000000"/>
                <w:sz w:val="20"/>
                <w:szCs w:val="20"/>
              </w:rPr>
              <w:t xml:space="preserve">; </w:t>
            </w:r>
            <w:r w:rsidR="005E61F5" w:rsidRPr="007F189E">
              <w:rPr>
                <w:color w:val="000000"/>
                <w:sz w:val="20"/>
                <w:szCs w:val="20"/>
              </w:rPr>
              <w:t xml:space="preserve">částka v investičním záměru: </w:t>
            </w:r>
            <w:r w:rsidR="004A2029" w:rsidRPr="007F189E">
              <w:rPr>
                <w:color w:val="000000"/>
                <w:sz w:val="20"/>
                <w:szCs w:val="20"/>
              </w:rPr>
              <w:t>3</w:t>
            </w:r>
            <w:r w:rsidR="005E61F5" w:rsidRPr="007F189E">
              <w:rPr>
                <w:color w:val="000000"/>
                <w:sz w:val="20"/>
                <w:szCs w:val="20"/>
              </w:rPr>
              <w:t> </w:t>
            </w:r>
            <w:r w:rsidR="004A2029" w:rsidRPr="007F189E">
              <w:rPr>
                <w:color w:val="000000"/>
                <w:sz w:val="20"/>
                <w:szCs w:val="20"/>
              </w:rPr>
              <w:t>5</w:t>
            </w:r>
            <w:r w:rsidR="005E61F5" w:rsidRPr="007F189E">
              <w:rPr>
                <w:color w:val="000000"/>
                <w:sz w:val="20"/>
                <w:szCs w:val="20"/>
              </w:rPr>
              <w:t>00 000 Kč bez DPH</w:t>
            </w: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nová chladící jednotka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834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F7" w:rsidRPr="00F37132" w:rsidRDefault="00D111FD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5F75F7">
              <w:rPr>
                <w:b/>
                <w:bCs/>
                <w:color w:val="00B050"/>
                <w:sz w:val="20"/>
                <w:szCs w:val="20"/>
              </w:rPr>
              <w:t>1</w:t>
            </w:r>
            <w:r w:rsidR="00F97649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5F75F7">
              <w:rPr>
                <w:b/>
                <w:bCs/>
                <w:color w:val="00B050"/>
                <w:sz w:val="20"/>
                <w:szCs w:val="20"/>
              </w:rPr>
              <w:t>50</w:t>
            </w:r>
            <w:r w:rsidR="00F97649">
              <w:rPr>
                <w:b/>
                <w:bCs/>
                <w:color w:val="00B050"/>
                <w:sz w:val="20"/>
                <w:szCs w:val="20"/>
              </w:rPr>
              <w:t>0</w:t>
            </w:r>
            <w:r w:rsidR="005F75F7">
              <w:rPr>
                <w:b/>
                <w:bCs/>
                <w:color w:val="00B050"/>
                <w:sz w:val="20"/>
                <w:szCs w:val="20"/>
              </w:rPr>
              <w:t xml:space="preserve">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0834" w:rsidRPr="00F37132" w:rsidRDefault="00924C19" w:rsidP="000243F0">
            <w:pPr>
              <w:rPr>
                <w:color w:val="000000"/>
                <w:sz w:val="20"/>
                <w:szCs w:val="20"/>
              </w:rPr>
            </w:pPr>
            <w:r w:rsidRPr="007F189E">
              <w:rPr>
                <w:color w:val="000000"/>
                <w:sz w:val="20"/>
                <w:szCs w:val="20"/>
              </w:rPr>
              <w:t>není součástí projektu</w:t>
            </w:r>
          </w:p>
        </w:tc>
      </w:tr>
      <w:tr w:rsidR="00D111FD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FD" w:rsidRPr="00F37132" w:rsidRDefault="00D111FD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FD" w:rsidRPr="00F37132" w:rsidRDefault="00D111FD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dílčí oprava střechy (světlíky)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1FD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D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333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521,68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F7" w:rsidRPr="005F75F7" w:rsidRDefault="00D111FD" w:rsidP="00877075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F37132">
              <w:rPr>
                <w:b/>
                <w:bCs/>
                <w:color w:val="00B050"/>
                <w:sz w:val="20"/>
                <w:szCs w:val="20"/>
              </w:rPr>
              <w:t>↓</w:t>
            </w:r>
            <w:r w:rsidR="00877075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5F75F7" w:rsidRPr="005F75F7">
              <w:rPr>
                <w:b/>
                <w:bCs/>
                <w:color w:val="00B050"/>
                <w:sz w:val="20"/>
                <w:szCs w:val="20"/>
              </w:rPr>
              <w:t>1 666 478,32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D" w:rsidRPr="007F189E" w:rsidRDefault="00D111FD" w:rsidP="00616C5C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projektantem dle projektové dokumentace a cenové soustavy pro r. 2017</w:t>
            </w:r>
          </w:p>
        </w:tc>
      </w:tr>
      <w:tr w:rsidR="00D111FD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FD" w:rsidRPr="00F37132" w:rsidRDefault="00D111FD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FD" w:rsidRPr="00F37132" w:rsidRDefault="00D111FD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renovace osvětlení v prostorách pro veřejnost a v depozitářích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1FD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D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5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131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919,32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D" w:rsidRDefault="00D111FD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5F75F7" w:rsidRPr="00F37132" w:rsidRDefault="005F75F7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F75F7">
              <w:rPr>
                <w:b/>
                <w:bCs/>
                <w:color w:val="FF0000"/>
                <w:sz w:val="20"/>
                <w:szCs w:val="20"/>
              </w:rPr>
              <w:t>4 131 919,32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D" w:rsidRPr="00F37132" w:rsidRDefault="00D111FD" w:rsidP="00616C5C">
            <w:pPr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projektantem dle projektové dokumentace a cenové soustavy pro r. 2017; dle původního záměru mělo dojít pouze k výměně "svítící části" (zářivka za LED), po průzkumu se však ukázalo, že je nutné vyměnit i další části již instalovaných světel, aby bylo možné zajistit, že v různých částech knihovny budou moci svítit světla různou intenzitou a každé světlo bud</w:t>
            </w:r>
            <w:r w:rsidR="00616C5C" w:rsidRPr="00F37132">
              <w:rPr>
                <w:color w:val="000000"/>
                <w:sz w:val="20"/>
                <w:szCs w:val="20"/>
              </w:rPr>
              <w:t xml:space="preserve">e moci být ovládáno samostatně - </w:t>
            </w:r>
            <w:r w:rsidRPr="00F37132">
              <w:rPr>
                <w:color w:val="000000"/>
                <w:sz w:val="20"/>
                <w:szCs w:val="20"/>
              </w:rPr>
              <w:t xml:space="preserve">přes </w:t>
            </w:r>
            <w:r w:rsidR="00616C5C" w:rsidRPr="00F37132">
              <w:rPr>
                <w:color w:val="000000"/>
                <w:sz w:val="20"/>
                <w:szCs w:val="20"/>
              </w:rPr>
              <w:t>počítač (nyní buď vše naplno svítí, nebo nesvítí), světla budou vyměněna ve všech veřejných částech knihovny; předpoklad úspory elektrické energie až o 50%</w:t>
            </w:r>
          </w:p>
        </w:tc>
      </w:tr>
      <w:tr w:rsidR="00D111FD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FD" w:rsidRPr="00F37132" w:rsidRDefault="00D111FD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FD" w:rsidRPr="00F37132" w:rsidRDefault="00D111FD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nový koberec do Všeobecné knihovny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1FD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11FD" w:rsidRPr="00F37132" w:rsidRDefault="00D111FD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4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402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282,08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5F" w:rsidRPr="00F37132" w:rsidRDefault="00E74208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E015F" w:rsidRPr="00EE015F">
              <w:rPr>
                <w:b/>
                <w:bCs/>
                <w:color w:val="FF0000"/>
                <w:sz w:val="20"/>
                <w:szCs w:val="20"/>
              </w:rPr>
              <w:t>3 802 282,08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FD" w:rsidRPr="00F37132" w:rsidRDefault="00D111FD" w:rsidP="007F189E">
            <w:pPr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projektantem dle projektové dokumentace a cenové soustavy pro r. 2017</w:t>
            </w:r>
            <w:r w:rsidR="00616C5C" w:rsidRPr="00F37132">
              <w:rPr>
                <w:color w:val="000000"/>
                <w:sz w:val="20"/>
                <w:szCs w:val="20"/>
              </w:rPr>
              <w:t>; projektant zde zakalkuloval také náklady na nutné stěhování regálů s</w:t>
            </w:r>
            <w:r w:rsidR="0004021B">
              <w:rPr>
                <w:color w:val="000000"/>
                <w:sz w:val="20"/>
                <w:szCs w:val="20"/>
              </w:rPr>
              <w:t> </w:t>
            </w:r>
            <w:r w:rsidR="00616C5C" w:rsidRPr="00F37132">
              <w:rPr>
                <w:color w:val="000000"/>
                <w:sz w:val="20"/>
                <w:szCs w:val="20"/>
              </w:rPr>
              <w:t>knihami</w:t>
            </w:r>
            <w:r w:rsidR="007F189E">
              <w:rPr>
                <w:color w:val="000000"/>
                <w:sz w:val="20"/>
                <w:szCs w:val="20"/>
              </w:rPr>
              <w:t>;</w:t>
            </w:r>
            <w:r w:rsidR="0004021B">
              <w:rPr>
                <w:color w:val="000000"/>
                <w:sz w:val="20"/>
                <w:szCs w:val="20"/>
              </w:rPr>
              <w:t xml:space="preserve"> </w:t>
            </w:r>
            <w:r w:rsidR="0004021B" w:rsidRPr="007F189E">
              <w:rPr>
                <w:color w:val="000000"/>
                <w:sz w:val="20"/>
                <w:szCs w:val="20"/>
              </w:rPr>
              <w:t>v rámci vývoje projektu byla navržena výměna též v ostatních částech knihovny (Studijní knihovna a Knihovna pro děti a mládež)</w:t>
            </w:r>
            <w:r w:rsidR="0004021B">
              <w:rPr>
                <w:color w:val="000000"/>
                <w:sz w:val="20"/>
                <w:szCs w:val="20"/>
              </w:rPr>
              <w:t xml:space="preserve">, </w:t>
            </w:r>
            <w:r w:rsidR="0004021B" w:rsidRPr="007F189E">
              <w:rPr>
                <w:color w:val="000000"/>
                <w:sz w:val="20"/>
                <w:szCs w:val="20"/>
              </w:rPr>
              <w:t>původně se s tím nepočítalo</w:t>
            </w:r>
          </w:p>
        </w:tc>
      </w:tr>
      <w:tr w:rsidR="00260834" w:rsidRPr="00F37132" w:rsidTr="00A34F04"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zkvalitnění prezentace knihovního fondu a služeb knihovny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197A61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color w:val="000000"/>
                <w:sz w:val="20"/>
                <w:szCs w:val="20"/>
              </w:rPr>
              <w:t>3</w:t>
            </w:r>
            <w:r w:rsidR="008450C5" w:rsidRPr="00F3713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/>
                <w:color w:val="000000"/>
                <w:sz w:val="20"/>
                <w:szCs w:val="20"/>
              </w:rPr>
              <w:t>163</w:t>
            </w:r>
            <w:r w:rsidR="008450C5" w:rsidRPr="00F3713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b/>
                <w:color w:val="000000"/>
                <w:sz w:val="20"/>
                <w:szCs w:val="20"/>
              </w:rPr>
              <w:t>399,80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197A61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E015F" w:rsidRPr="00EE015F">
              <w:rPr>
                <w:b/>
                <w:bCs/>
                <w:color w:val="FF0000"/>
                <w:sz w:val="20"/>
                <w:szCs w:val="20"/>
              </w:rPr>
              <w:t>1 463 399,8</w:t>
            </w:r>
            <w:r w:rsidR="00EE015F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0834" w:rsidRPr="00F37132" w:rsidRDefault="00260834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0834" w:rsidRPr="00F37132" w:rsidTr="00A34F04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834" w:rsidRPr="00F37132" w:rsidRDefault="00260834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pořízení nových mediálních tabulí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1 700 000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0834" w:rsidRPr="00F37132" w:rsidRDefault="00260834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3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163</w:t>
            </w:r>
            <w:r w:rsidR="008450C5" w:rsidRPr="00F37132">
              <w:rPr>
                <w:color w:val="000000"/>
                <w:sz w:val="20"/>
                <w:szCs w:val="20"/>
              </w:rPr>
              <w:t xml:space="preserve"> </w:t>
            </w:r>
            <w:r w:rsidRPr="00F37132">
              <w:rPr>
                <w:color w:val="000000"/>
                <w:sz w:val="20"/>
                <w:szCs w:val="20"/>
              </w:rPr>
              <w:t>399,8</w:t>
            </w:r>
            <w:r w:rsidR="00197A61"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5F" w:rsidRPr="00F37132" w:rsidRDefault="00197A61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E015F" w:rsidRPr="00EE015F">
              <w:rPr>
                <w:b/>
                <w:bCs/>
                <w:color w:val="FF0000"/>
                <w:sz w:val="20"/>
                <w:szCs w:val="20"/>
              </w:rPr>
              <w:t>1 463 399,8</w:t>
            </w:r>
            <w:r w:rsidR="00EE015F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834" w:rsidRPr="00F37132" w:rsidRDefault="00197A61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projektantem dle projektové dokumentace a cenové soustavy pro r. 2017</w:t>
            </w:r>
            <w:r w:rsidR="0004021B">
              <w:rPr>
                <w:color w:val="000000"/>
                <w:sz w:val="20"/>
                <w:szCs w:val="20"/>
              </w:rPr>
              <w:t xml:space="preserve"> </w:t>
            </w:r>
            <w:r w:rsidR="0004021B" w:rsidRPr="007F189E">
              <w:rPr>
                <w:color w:val="000000"/>
                <w:sz w:val="20"/>
                <w:szCs w:val="20"/>
              </w:rPr>
              <w:t>– máme dvě vlastní nabídky, v obou je cena nižší než uvedená v projektu – cca 2 mil. Kč</w:t>
            </w:r>
          </w:p>
        </w:tc>
      </w:tr>
      <w:tr w:rsidR="009A31EA" w:rsidRPr="00F37132" w:rsidTr="00A34F04">
        <w:tc>
          <w:tcPr>
            <w:tcW w:w="4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1EA" w:rsidRPr="00F37132" w:rsidRDefault="009A31EA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další předpokládané výdaje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A31EA" w:rsidRPr="00F37132" w:rsidRDefault="009A31EA" w:rsidP="008770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b/>
                <w:bCs/>
                <w:color w:val="000000"/>
                <w:sz w:val="20"/>
                <w:szCs w:val="20"/>
              </w:rPr>
              <w:t>1 509 857,92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1EA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9A31EA" w:rsidRPr="009A31EA" w:rsidRDefault="009A31EA" w:rsidP="009A31E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9A31EA">
              <w:rPr>
                <w:b/>
                <w:bCs/>
                <w:color w:val="FF0000"/>
                <w:sz w:val="20"/>
                <w:szCs w:val="20"/>
              </w:rPr>
              <w:t>2 357 560,00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A31EA" w:rsidRPr="00F37132" w:rsidRDefault="009A31EA" w:rsidP="000243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 w:rsidP="005E61F5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úprava WC pro zaměstnance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265 497,92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265 497,92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1EA" w:rsidRPr="00F37132" w:rsidRDefault="009A31EA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 xml:space="preserve">cena stanovena projektantem dle projektové dokumentace a cenové soustavy pro r. 2017, vzhledem k počtu zaměstnanců knihovny nestačí jedno WC pro personál v prostorách všeobecné knihovny, náklady souvisí s rozšířením WC o 1 kabinku a s tím související úpravy prostor pro zaměstnance; </w:t>
            </w:r>
            <w:r w:rsidRPr="007F189E">
              <w:rPr>
                <w:color w:val="000000"/>
                <w:sz w:val="20"/>
                <w:szCs w:val="20"/>
              </w:rPr>
              <w:t>jedná se o nezpůsobilé výdaje v rámci IROP</w:t>
            </w: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TDI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700 000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1EA" w:rsidRPr="00F37132" w:rsidRDefault="009A31EA" w:rsidP="000243F0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kvalifikovaným odhadem</w:t>
            </w: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BOZP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350 000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31EA" w:rsidRPr="00F37132" w:rsidRDefault="009A31EA">
            <w:pPr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kvalifikovaným odhadem</w:t>
            </w: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billboard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15 000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31EA" w:rsidRPr="00F37132" w:rsidRDefault="009A31EA">
            <w:pPr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kvalifikovaným odhadem, povinná publicita v rámci projektů IROP</w:t>
            </w: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pamětní deska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10 000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31EA" w:rsidRPr="00F37132" w:rsidRDefault="009A31EA">
            <w:pPr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kvalifikovaným odhadem, povinná publicita v rámci projektů IROP</w:t>
            </w: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měření a posudky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150 000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31EA" w:rsidRPr="00F37132" w:rsidRDefault="009A31EA">
            <w:pPr>
              <w:rPr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kvalifikovaným odhadem, předpokládané náklady, které by mohly nastat v průběhu rekonstrukce (především oprava střechy)</w:t>
            </w:r>
          </w:p>
        </w:tc>
      </w:tr>
      <w:tr w:rsidR="009A31EA" w:rsidRPr="00F37132" w:rsidTr="00A34F04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studie proveditelnosti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6 050,00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6 050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31EA" w:rsidRPr="00F37132" w:rsidRDefault="009A31EA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na základě VZMR/132/17</w:t>
            </w:r>
          </w:p>
        </w:tc>
      </w:tr>
      <w:tr w:rsidR="009A31EA" w:rsidRPr="00F37132" w:rsidTr="00295955"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zpracování žádosti o dotaci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F37132">
              <w:rPr>
                <w:rFonts w:ascii="Calibri" w:hAnsi="Calibri"/>
                <w:color w:val="000000"/>
                <w:sz w:val="20"/>
                <w:szCs w:val="20"/>
              </w:rPr>
              <w:t>13 310,00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EE015F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E015F">
              <w:rPr>
                <w:b/>
                <w:bCs/>
                <w:color w:val="FF0000"/>
                <w:sz w:val="20"/>
                <w:szCs w:val="20"/>
              </w:rPr>
              <w:t>13 310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31EA" w:rsidRPr="00F37132" w:rsidRDefault="009A31EA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na základě VZMR/132/17, nezpůsobilý výdaj</w:t>
            </w:r>
          </w:p>
        </w:tc>
      </w:tr>
      <w:tr w:rsidR="009A31EA" w:rsidRPr="00F37132" w:rsidTr="009A31EA"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EA" w:rsidRPr="00F37132" w:rsidRDefault="009A31EA" w:rsidP="000243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EA" w:rsidRPr="00F37132" w:rsidRDefault="009A31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A31EA">
              <w:rPr>
                <w:rFonts w:ascii="Calibri" w:hAnsi="Calibri"/>
                <w:color w:val="000000"/>
                <w:sz w:val="20"/>
                <w:szCs w:val="20"/>
              </w:rPr>
              <w:t>projektová dokumentace + spolupráce při VZ + autorský dozor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1EA" w:rsidRPr="00F37132" w:rsidRDefault="009A31EA" w:rsidP="008770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31EA" w:rsidRPr="009A31EA" w:rsidRDefault="009A31EA" w:rsidP="009A31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1EA">
              <w:rPr>
                <w:rFonts w:ascii="Calibri" w:hAnsi="Calibri"/>
                <w:color w:val="000000"/>
                <w:sz w:val="20"/>
                <w:szCs w:val="20"/>
              </w:rPr>
              <w:t>1 113 200,00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A" w:rsidRPr="00F37132" w:rsidRDefault="009A31EA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9A31E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Pr="009A31EA">
              <w:rPr>
                <w:b/>
                <w:bCs/>
                <w:color w:val="FF0000"/>
                <w:sz w:val="20"/>
                <w:szCs w:val="20"/>
              </w:rPr>
              <w:t>1 113 200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1EA" w:rsidRPr="00F37132" w:rsidRDefault="009A31EA" w:rsidP="009A31EA">
            <w:pPr>
              <w:rPr>
                <w:color w:val="000000"/>
                <w:sz w:val="20"/>
                <w:szCs w:val="20"/>
              </w:rPr>
            </w:pPr>
            <w:r w:rsidRPr="00F37132">
              <w:rPr>
                <w:color w:val="000000"/>
                <w:sz w:val="20"/>
                <w:szCs w:val="20"/>
              </w:rPr>
              <w:t>cena stanovena na základě VZMR/132/17</w:t>
            </w:r>
          </w:p>
        </w:tc>
      </w:tr>
      <w:tr w:rsidR="00616C5C" w:rsidRPr="00F37132" w:rsidTr="00A34F04">
        <w:tc>
          <w:tcPr>
            <w:tcW w:w="526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6C5C" w:rsidRPr="00F37132" w:rsidRDefault="00616C5C" w:rsidP="000243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color w:val="000000"/>
                <w:sz w:val="20"/>
                <w:szCs w:val="20"/>
              </w:rPr>
              <w:t>Celkem za všechny plochy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6C5C" w:rsidRPr="00F37132" w:rsidRDefault="001209F0" w:rsidP="008770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37132">
              <w:rPr>
                <w:b/>
                <w:color w:val="000000"/>
                <w:sz w:val="20"/>
                <w:szCs w:val="20"/>
              </w:rPr>
              <w:t xml:space="preserve">26 400 </w:t>
            </w:r>
            <w:r w:rsidR="00616C5C" w:rsidRPr="00F37132">
              <w:rPr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C5C" w:rsidRPr="009A31EA" w:rsidRDefault="009A31EA" w:rsidP="009A31EA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38 840 985,73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31EA" w:rsidRPr="00EE015F" w:rsidRDefault="008450C5" w:rsidP="0087707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F37132">
              <w:rPr>
                <w:b/>
                <w:bCs/>
                <w:color w:val="FF0000"/>
                <w:sz w:val="20"/>
                <w:szCs w:val="20"/>
              </w:rPr>
              <w:t>↑</w:t>
            </w:r>
            <w:r w:rsidR="008770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616C5C" w:rsidRPr="009A31EA" w:rsidRDefault="009A31EA" w:rsidP="009A31E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9A31EA">
              <w:rPr>
                <w:b/>
                <w:bCs/>
                <w:color w:val="FF0000"/>
                <w:sz w:val="20"/>
                <w:szCs w:val="20"/>
              </w:rPr>
              <w:t>12 440 985,73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16C5C" w:rsidRPr="00F37132" w:rsidRDefault="00616C5C" w:rsidP="000243F0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A34F04" w:rsidRDefault="00A34F04" w:rsidP="00666BCE">
      <w:pPr>
        <w:pStyle w:val="Zkladntext3"/>
        <w:keepNext/>
        <w:keepLines/>
        <w:spacing w:after="0"/>
        <w:jc w:val="both"/>
        <w:rPr>
          <w:rFonts w:asciiTheme="minorHAnsi" w:hAnsiTheme="minorHAnsi"/>
          <w:sz w:val="22"/>
          <w:szCs w:val="22"/>
        </w:rPr>
      </w:pPr>
    </w:p>
    <w:p w:rsidR="00A07923" w:rsidRPr="00A07923" w:rsidRDefault="00A07923" w:rsidP="00A07923">
      <w:pPr>
        <w:jc w:val="both"/>
        <w:rPr>
          <w:rFonts w:ascii="Times New Roman" w:hAnsi="Times New Roman"/>
          <w:i/>
          <w:sz w:val="24"/>
          <w:u w:val="single"/>
        </w:rPr>
      </w:pPr>
      <w:r w:rsidRPr="00A07923">
        <w:rPr>
          <w:rFonts w:ascii="Times New Roman" w:hAnsi="Times New Roman"/>
          <w:i/>
          <w:sz w:val="24"/>
          <w:u w:val="single"/>
        </w:rPr>
        <w:t>Komentář k navýšení cen jednotlivých částí projektu:</w:t>
      </w:r>
    </w:p>
    <w:p w:rsidR="00A07923" w:rsidRPr="00A07923" w:rsidRDefault="00A07923" w:rsidP="00A079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ceny uvedené v aktuální verzi rozpočtu jsou maximální - je velmi pravděpodobné, že díky výběrovým řízením především na dodavatele stavebních prací, koberců, mediálních tabulí i některého zařízení (nábytku), ceny výrazněji klesnou,</w:t>
      </w:r>
    </w:p>
    <w:p w:rsidR="00A07923" w:rsidRPr="00A07923" w:rsidRDefault="00A07923" w:rsidP="00A079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lastRenderedPageBreak/>
        <w:t>položky rozpočtu související se stavebními pracemi jsou oceněné projektantem v rámci cenové soustavy pro r. 2017, lze předpokládat snížení ceny, protože výběr dodavatele stavebních prací bude probíhat mimo hlavní stavební sezónu,</w:t>
      </w:r>
    </w:p>
    <w:p w:rsidR="00A07923" w:rsidRPr="00A07923" w:rsidRDefault="00A07923" w:rsidP="00A079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zařízení a vybavení vč. cen za odborné práce vychází z průzkumu trhu; konečná cena však vždy bude stanovena na základě výběrového řízení,</w:t>
      </w:r>
    </w:p>
    <w:p w:rsidR="00A07923" w:rsidRPr="00A07923" w:rsidRDefault="00A07923" w:rsidP="00A079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zařízení - nábytek - pro veřejné prostory je výrazně dražší, než např. běžný kancelářský nábytek, důvodem jsou vysoké požadavky na kvalitu a odolnost při vysoké zátěži (knihovnu denně navštíví 1 - 2 tisíce lidí).</w:t>
      </w:r>
    </w:p>
    <w:p w:rsidR="00A07923" w:rsidRPr="00A07923" w:rsidRDefault="00A07923" w:rsidP="00A07923">
      <w:pPr>
        <w:jc w:val="both"/>
        <w:rPr>
          <w:rFonts w:ascii="Times New Roman" w:hAnsi="Times New Roman"/>
          <w:sz w:val="24"/>
        </w:rPr>
      </w:pPr>
    </w:p>
    <w:p w:rsidR="00A07923" w:rsidRPr="00A07923" w:rsidRDefault="00A07923" w:rsidP="00A07923">
      <w:pPr>
        <w:jc w:val="both"/>
        <w:rPr>
          <w:rFonts w:ascii="Times New Roman" w:hAnsi="Times New Roman"/>
          <w:i/>
          <w:sz w:val="24"/>
          <w:u w:val="single"/>
        </w:rPr>
      </w:pPr>
      <w:r w:rsidRPr="00A07923">
        <w:rPr>
          <w:rFonts w:ascii="Times New Roman" w:hAnsi="Times New Roman"/>
          <w:i/>
          <w:sz w:val="24"/>
          <w:u w:val="single"/>
        </w:rPr>
        <w:t>Aktuální stav přípravy žádosti:</w:t>
      </w:r>
    </w:p>
    <w:p w:rsidR="00A07923" w:rsidRPr="00A07923" w:rsidRDefault="00A07923" w:rsidP="00A079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je zpracovaná projektová dokumentace pro provedení stavby,</w:t>
      </w:r>
    </w:p>
    <w:p w:rsidR="00A07923" w:rsidRPr="00A07923" w:rsidRDefault="00A07923" w:rsidP="00A079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na základě výběrového řízení byla vybrána firma BDO Czech Republic EU Office s.r.o., která má dle smlouvy zpracovat žádost o dotaci do 30 dnů od výzvy,</w:t>
      </w:r>
    </w:p>
    <w:p w:rsidR="00A07923" w:rsidRPr="00A07923" w:rsidRDefault="00A07923" w:rsidP="00A079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předpokládaný termín výzvy BDO je do 4. 10. 2017,</w:t>
      </w:r>
    </w:p>
    <w:p w:rsidR="00A07923" w:rsidRPr="00A07923" w:rsidRDefault="00A07923" w:rsidP="00A079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je zpracován podrobný položkový rozpočet celého projektu,</w:t>
      </w:r>
    </w:p>
    <w:p w:rsidR="00A07923" w:rsidRDefault="00A07923" w:rsidP="00A079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07923">
        <w:rPr>
          <w:rFonts w:ascii="Times New Roman" w:hAnsi="Times New Roman"/>
          <w:sz w:val="24"/>
        </w:rPr>
        <w:t>na přípravu projektu byly již vyčleněny finanční prostředky ve výši 2.000.000 Kč (čerpáno zatím jen na průzkum pro provedení očisty knih, v nejbližší době bude zaplaceno 665.500 Kč za zpracování projektové dokumentace)</w:t>
      </w:r>
    </w:p>
    <w:p w:rsidR="00A07923" w:rsidRPr="00A07923" w:rsidRDefault="00A07923" w:rsidP="00A079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případné úpravy v projektové dokumentaci by již neměly navýšit plánovaný rozpočet</w:t>
      </w:r>
      <w:r w:rsidRPr="00A07923">
        <w:rPr>
          <w:rFonts w:ascii="Times New Roman" w:hAnsi="Times New Roman"/>
          <w:sz w:val="24"/>
        </w:rPr>
        <w:t>.</w:t>
      </w:r>
    </w:p>
    <w:p w:rsidR="00666BCE" w:rsidRPr="00666BCE" w:rsidRDefault="00666BCE" w:rsidP="00666BCE"/>
    <w:sectPr w:rsidR="00666BCE" w:rsidRPr="00666BCE" w:rsidSect="000243F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EB" w:rsidRDefault="00034BEB" w:rsidP="00197A61">
      <w:r>
        <w:separator/>
      </w:r>
    </w:p>
  </w:endnote>
  <w:endnote w:type="continuationSeparator" w:id="0">
    <w:p w:rsidR="00034BEB" w:rsidRDefault="00034BEB" w:rsidP="0019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475845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E61F5" w:rsidRPr="00197A61" w:rsidRDefault="005E61F5">
            <w:pPr>
              <w:pStyle w:val="Zpat"/>
              <w:jc w:val="right"/>
              <w:rPr>
                <w:sz w:val="20"/>
                <w:szCs w:val="20"/>
              </w:rPr>
            </w:pPr>
            <w:r w:rsidRPr="00197A61">
              <w:rPr>
                <w:bCs/>
                <w:sz w:val="20"/>
                <w:szCs w:val="20"/>
              </w:rPr>
              <w:fldChar w:fldCharType="begin"/>
            </w:r>
            <w:r w:rsidRPr="00197A61">
              <w:rPr>
                <w:bCs/>
                <w:sz w:val="20"/>
                <w:szCs w:val="20"/>
              </w:rPr>
              <w:instrText>PAGE</w:instrText>
            </w:r>
            <w:r w:rsidRPr="00197A61">
              <w:rPr>
                <w:bCs/>
                <w:sz w:val="20"/>
                <w:szCs w:val="20"/>
              </w:rPr>
              <w:fldChar w:fldCharType="separate"/>
            </w:r>
            <w:r w:rsidR="00FE782D">
              <w:rPr>
                <w:bCs/>
                <w:noProof/>
                <w:sz w:val="20"/>
                <w:szCs w:val="20"/>
              </w:rPr>
              <w:t>4</w:t>
            </w:r>
            <w:r w:rsidRPr="00197A61">
              <w:rPr>
                <w:bCs/>
                <w:sz w:val="20"/>
                <w:szCs w:val="20"/>
              </w:rPr>
              <w:fldChar w:fldCharType="end"/>
            </w:r>
            <w:r w:rsidRPr="00197A61">
              <w:rPr>
                <w:sz w:val="20"/>
                <w:szCs w:val="20"/>
              </w:rPr>
              <w:t xml:space="preserve"> / </w:t>
            </w:r>
            <w:r w:rsidRPr="00197A61">
              <w:rPr>
                <w:bCs/>
                <w:sz w:val="20"/>
                <w:szCs w:val="20"/>
              </w:rPr>
              <w:fldChar w:fldCharType="begin"/>
            </w:r>
            <w:r w:rsidRPr="00197A61">
              <w:rPr>
                <w:bCs/>
                <w:sz w:val="20"/>
                <w:szCs w:val="20"/>
              </w:rPr>
              <w:instrText>NUMPAGES</w:instrText>
            </w:r>
            <w:r w:rsidRPr="00197A61">
              <w:rPr>
                <w:bCs/>
                <w:sz w:val="20"/>
                <w:szCs w:val="20"/>
              </w:rPr>
              <w:fldChar w:fldCharType="separate"/>
            </w:r>
            <w:r w:rsidR="00FE782D">
              <w:rPr>
                <w:bCs/>
                <w:noProof/>
                <w:sz w:val="20"/>
                <w:szCs w:val="20"/>
              </w:rPr>
              <w:t>5</w:t>
            </w:r>
            <w:r w:rsidRPr="00197A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E61F5" w:rsidRPr="00197A61" w:rsidRDefault="005E61F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EB" w:rsidRDefault="00034BEB" w:rsidP="00197A61">
      <w:r>
        <w:separator/>
      </w:r>
    </w:p>
  </w:footnote>
  <w:footnote w:type="continuationSeparator" w:id="0">
    <w:p w:rsidR="00034BEB" w:rsidRDefault="00034BEB" w:rsidP="0019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A29"/>
    <w:multiLevelType w:val="hybridMultilevel"/>
    <w:tmpl w:val="A7AE2F38"/>
    <w:lvl w:ilvl="0" w:tplc="2160A5CA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53030"/>
    <w:multiLevelType w:val="hybridMultilevel"/>
    <w:tmpl w:val="D466C52E"/>
    <w:lvl w:ilvl="0" w:tplc="2160A5CA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CE"/>
    <w:rsid w:val="000243F0"/>
    <w:rsid w:val="00034BEB"/>
    <w:rsid w:val="0004021B"/>
    <w:rsid w:val="000504B4"/>
    <w:rsid w:val="000B69A7"/>
    <w:rsid w:val="001209F0"/>
    <w:rsid w:val="00197A61"/>
    <w:rsid w:val="00200A48"/>
    <w:rsid w:val="002036F1"/>
    <w:rsid w:val="00260834"/>
    <w:rsid w:val="004929A8"/>
    <w:rsid w:val="004A2029"/>
    <w:rsid w:val="004A5FB4"/>
    <w:rsid w:val="005A3E07"/>
    <w:rsid w:val="005B3493"/>
    <w:rsid w:val="005B5FFB"/>
    <w:rsid w:val="005E61F5"/>
    <w:rsid w:val="005F75F7"/>
    <w:rsid w:val="00613852"/>
    <w:rsid w:val="00616C5C"/>
    <w:rsid w:val="006456D4"/>
    <w:rsid w:val="00666BCE"/>
    <w:rsid w:val="0069281C"/>
    <w:rsid w:val="007674A4"/>
    <w:rsid w:val="007872AC"/>
    <w:rsid w:val="007F189E"/>
    <w:rsid w:val="008450C5"/>
    <w:rsid w:val="00861F0C"/>
    <w:rsid w:val="00877075"/>
    <w:rsid w:val="00895B40"/>
    <w:rsid w:val="00924C19"/>
    <w:rsid w:val="009A31EA"/>
    <w:rsid w:val="009A6DEB"/>
    <w:rsid w:val="00A07923"/>
    <w:rsid w:val="00A34F04"/>
    <w:rsid w:val="00A41426"/>
    <w:rsid w:val="00A94902"/>
    <w:rsid w:val="00AE3251"/>
    <w:rsid w:val="00B90E5C"/>
    <w:rsid w:val="00C656D5"/>
    <w:rsid w:val="00C87430"/>
    <w:rsid w:val="00CB12B7"/>
    <w:rsid w:val="00CC0E7D"/>
    <w:rsid w:val="00CF2896"/>
    <w:rsid w:val="00D111FD"/>
    <w:rsid w:val="00D43E6D"/>
    <w:rsid w:val="00DF6492"/>
    <w:rsid w:val="00E05F88"/>
    <w:rsid w:val="00E74208"/>
    <w:rsid w:val="00EA0732"/>
    <w:rsid w:val="00EA21AE"/>
    <w:rsid w:val="00EE015F"/>
    <w:rsid w:val="00F37132"/>
    <w:rsid w:val="00F97649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A48"/>
    <w:pPr>
      <w:keepNext/>
      <w:keepLine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Poznámka"/>
    <w:basedOn w:val="Normln"/>
    <w:next w:val="Normln"/>
    <w:qFormat/>
    <w:rsid w:val="00E05F88"/>
    <w:pPr>
      <w:keepNext w:val="0"/>
      <w:keepLines w:val="0"/>
      <w:shd w:val="clear" w:color="auto" w:fill="FFC000"/>
      <w:jc w:val="both"/>
    </w:pPr>
    <w:rPr>
      <w:rFonts w:ascii="Times New Roman" w:eastAsia="Times New Roman" w:hAnsi="Times New Roman" w:cs="Times New Roman"/>
      <w:b/>
      <w:i/>
      <w:color w:val="0070C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66BCE"/>
    <w:pPr>
      <w:keepNext w:val="0"/>
      <w:keepLines w:val="0"/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66B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7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1"/>
  </w:style>
  <w:style w:type="paragraph" w:styleId="Zpat">
    <w:name w:val="footer"/>
    <w:basedOn w:val="Normln"/>
    <w:link w:val="ZpatChar"/>
    <w:uiPriority w:val="99"/>
    <w:unhideWhenUsed/>
    <w:rsid w:val="00197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7A61"/>
  </w:style>
  <w:style w:type="character" w:styleId="Odkaznakoment">
    <w:name w:val="annotation reference"/>
    <w:basedOn w:val="Standardnpsmoodstavce"/>
    <w:uiPriority w:val="99"/>
    <w:semiHidden/>
    <w:unhideWhenUsed/>
    <w:rsid w:val="00924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C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C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C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C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A48"/>
    <w:pPr>
      <w:keepNext/>
      <w:keepLine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Poznámka"/>
    <w:basedOn w:val="Normln"/>
    <w:next w:val="Normln"/>
    <w:qFormat/>
    <w:rsid w:val="00E05F88"/>
    <w:pPr>
      <w:keepNext w:val="0"/>
      <w:keepLines w:val="0"/>
      <w:shd w:val="clear" w:color="auto" w:fill="FFC000"/>
      <w:jc w:val="both"/>
    </w:pPr>
    <w:rPr>
      <w:rFonts w:ascii="Times New Roman" w:eastAsia="Times New Roman" w:hAnsi="Times New Roman" w:cs="Times New Roman"/>
      <w:b/>
      <w:i/>
      <w:color w:val="0070C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66BCE"/>
    <w:pPr>
      <w:keepNext w:val="0"/>
      <w:keepLines w:val="0"/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66B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7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1"/>
  </w:style>
  <w:style w:type="paragraph" w:styleId="Zpat">
    <w:name w:val="footer"/>
    <w:basedOn w:val="Normln"/>
    <w:link w:val="ZpatChar"/>
    <w:uiPriority w:val="99"/>
    <w:unhideWhenUsed/>
    <w:rsid w:val="00197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7A61"/>
  </w:style>
  <w:style w:type="character" w:styleId="Odkaznakoment">
    <w:name w:val="annotation reference"/>
    <w:basedOn w:val="Standardnpsmoodstavce"/>
    <w:uiPriority w:val="99"/>
    <w:semiHidden/>
    <w:unhideWhenUsed/>
    <w:rsid w:val="00924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C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C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C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C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1472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Jäger Stanislav</dc:creator>
  <cp:lastModifiedBy>Jäger Stanislav</cp:lastModifiedBy>
  <cp:revision>11</cp:revision>
  <cp:lastPrinted>2017-09-27T10:32:00Z</cp:lastPrinted>
  <dcterms:created xsi:type="dcterms:W3CDTF">2017-09-27T07:38:00Z</dcterms:created>
  <dcterms:modified xsi:type="dcterms:W3CDTF">2017-10-06T08:13:00Z</dcterms:modified>
</cp:coreProperties>
</file>