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66" w:rsidRPr="00E64062" w:rsidRDefault="00B74288" w:rsidP="009F1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PÍSEMNÁ INFORMACE pro </w:t>
      </w:r>
      <w:r w:rsidR="00C52D99">
        <w:rPr>
          <w:b/>
          <w:sz w:val="32"/>
          <w:szCs w:val="32"/>
        </w:rPr>
        <w:t>11</w:t>
      </w:r>
      <w:r w:rsidR="009E25A6">
        <w:rPr>
          <w:b/>
          <w:sz w:val="32"/>
          <w:szCs w:val="32"/>
        </w:rPr>
        <w:t>.</w:t>
      </w:r>
      <w:r w:rsidR="009F1D66" w:rsidRPr="00E64062">
        <w:rPr>
          <w:b/>
          <w:sz w:val="32"/>
          <w:szCs w:val="32"/>
        </w:rPr>
        <w:t xml:space="preserve"> zasedání </w:t>
      </w:r>
      <w:r w:rsidR="00713620">
        <w:rPr>
          <w:b/>
          <w:sz w:val="32"/>
          <w:szCs w:val="32"/>
        </w:rPr>
        <w:t>z</w:t>
      </w:r>
      <w:r w:rsidR="009F1D66" w:rsidRPr="00E64062">
        <w:rPr>
          <w:b/>
          <w:sz w:val="32"/>
          <w:szCs w:val="32"/>
        </w:rPr>
        <w:t>astupitelstva kraje</w:t>
      </w:r>
    </w:p>
    <w:p w:rsidR="009F1D66" w:rsidRPr="000F77DB" w:rsidRDefault="00B47539" w:rsidP="009F1D66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dne </w:t>
      </w:r>
      <w:r w:rsidR="00C52D99">
        <w:rPr>
          <w:b/>
          <w:sz w:val="32"/>
          <w:szCs w:val="32"/>
        </w:rPr>
        <w:t>18</w:t>
      </w:r>
      <w:r w:rsidR="00CF5715">
        <w:rPr>
          <w:b/>
          <w:sz w:val="32"/>
          <w:szCs w:val="32"/>
        </w:rPr>
        <w:t xml:space="preserve">. </w:t>
      </w:r>
      <w:r w:rsidR="00C52D99">
        <w:rPr>
          <w:b/>
          <w:sz w:val="32"/>
          <w:szCs w:val="32"/>
        </w:rPr>
        <w:t>12</w:t>
      </w:r>
      <w:r w:rsidR="006C55A8">
        <w:rPr>
          <w:b/>
          <w:sz w:val="32"/>
          <w:szCs w:val="32"/>
        </w:rPr>
        <w:t>. 2</w:t>
      </w:r>
      <w:r w:rsidR="00FB1AE6">
        <w:rPr>
          <w:b/>
          <w:sz w:val="32"/>
          <w:szCs w:val="32"/>
        </w:rPr>
        <w:t>01</w:t>
      </w:r>
      <w:r w:rsidR="00C52D99">
        <w:rPr>
          <w:b/>
          <w:sz w:val="32"/>
          <w:szCs w:val="32"/>
        </w:rPr>
        <w:t>8</w:t>
      </w:r>
    </w:p>
    <w:p w:rsidR="009F1D66" w:rsidRDefault="009F1D66" w:rsidP="009F1D66"/>
    <w:p w:rsidR="009F1D66" w:rsidRPr="00E64062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Pr="00726011" w:rsidRDefault="00726011" w:rsidP="00726011">
      <w:pPr>
        <w:jc w:val="center"/>
        <w:rPr>
          <w:b/>
          <w:sz w:val="32"/>
          <w:szCs w:val="32"/>
        </w:rPr>
      </w:pPr>
      <w:r w:rsidRPr="00726011">
        <w:rPr>
          <w:b/>
          <w:sz w:val="32"/>
          <w:szCs w:val="32"/>
        </w:rPr>
        <w:t>48. i)</w:t>
      </w:r>
    </w:p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C52D99" w:rsidP="00C52D99">
      <w:pPr>
        <w:jc w:val="center"/>
      </w:pPr>
      <w:r w:rsidRPr="00C52D99">
        <w:rPr>
          <w:b/>
          <w:sz w:val="32"/>
          <w:szCs w:val="32"/>
        </w:rPr>
        <w:t>Informace o účelové dotaci MŠMT na financování přímých neinvestičních výdajů pro školy a školská zařízení zřizované Libereckým krajem a obcemi Libereckého kraje a na financování soukromých škol na rok 2018</w:t>
      </w:r>
    </w:p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726011" w:rsidP="009F1D66">
      <w:r>
        <w:t xml:space="preserve">Důvod </w:t>
      </w:r>
      <w:proofErr w:type="gramStart"/>
      <w:r>
        <w:t>předložení:     usnesení</w:t>
      </w:r>
      <w:proofErr w:type="gramEnd"/>
      <w:r>
        <w:t xml:space="preserve"> č. 2407/18/</w:t>
      </w:r>
      <w:proofErr w:type="spellStart"/>
      <w:r>
        <w:t>mRK</w:t>
      </w:r>
      <w:proofErr w:type="spellEnd"/>
      <w:r>
        <w:t xml:space="preserve"> ze dne 10. 12. 2018</w:t>
      </w:r>
    </w:p>
    <w:p w:rsidR="009F1D66" w:rsidRDefault="009F1D66" w:rsidP="009F1D66"/>
    <w:p w:rsidR="00C52D99" w:rsidRPr="00C52D99" w:rsidRDefault="000966DC" w:rsidP="00C52D99">
      <w:pPr>
        <w:rPr>
          <w:sz w:val="22"/>
          <w:szCs w:val="24"/>
          <w:lang w:eastAsia="zh-CN"/>
        </w:rPr>
      </w:pPr>
      <w:r w:rsidRPr="0021242E">
        <w:rPr>
          <w:szCs w:val="24"/>
        </w:rPr>
        <w:t xml:space="preserve">Zpracoval: </w:t>
      </w:r>
      <w:r w:rsidRPr="0021242E">
        <w:rPr>
          <w:szCs w:val="24"/>
        </w:rPr>
        <w:tab/>
      </w:r>
      <w:r w:rsidRPr="0021242E">
        <w:rPr>
          <w:szCs w:val="24"/>
        </w:rPr>
        <w:tab/>
      </w:r>
      <w:r w:rsidR="00C52D99" w:rsidRPr="00C52D99">
        <w:rPr>
          <w:sz w:val="22"/>
          <w:szCs w:val="24"/>
          <w:lang w:eastAsia="zh-CN"/>
        </w:rPr>
        <w:t xml:space="preserve">Miroslava Luňáčková </w:t>
      </w:r>
    </w:p>
    <w:p w:rsidR="000966DC" w:rsidRDefault="00C52D99" w:rsidP="00C52D99">
      <w:pPr>
        <w:ind w:left="2124"/>
        <w:jc w:val="left"/>
        <w:rPr>
          <w:sz w:val="22"/>
          <w:szCs w:val="24"/>
          <w:lang w:eastAsia="zh-CN"/>
        </w:rPr>
      </w:pPr>
      <w:r w:rsidRPr="00C52D99">
        <w:rPr>
          <w:sz w:val="22"/>
          <w:szCs w:val="24"/>
          <w:lang w:eastAsia="zh-CN"/>
        </w:rPr>
        <w:t>odbor školství, mládeže, tělovýchovy a sportu</w:t>
      </w:r>
    </w:p>
    <w:p w:rsidR="00C52D99" w:rsidRPr="0021242E" w:rsidRDefault="00C52D99" w:rsidP="00C52D99">
      <w:pPr>
        <w:ind w:left="2124"/>
        <w:jc w:val="left"/>
        <w:rPr>
          <w:szCs w:val="24"/>
        </w:rPr>
      </w:pPr>
    </w:p>
    <w:p w:rsidR="00F50C8D" w:rsidRDefault="000966DC" w:rsidP="00F50C8D">
      <w:pPr>
        <w:ind w:left="1416" w:hanging="1416"/>
        <w:jc w:val="left"/>
        <w:rPr>
          <w:szCs w:val="24"/>
        </w:rPr>
      </w:pPr>
      <w:r w:rsidRPr="0021242E">
        <w:rPr>
          <w:szCs w:val="24"/>
        </w:rPr>
        <w:t>Předkládá:</w:t>
      </w:r>
      <w:r w:rsidRPr="0021242E">
        <w:rPr>
          <w:szCs w:val="24"/>
        </w:rPr>
        <w:tab/>
      </w:r>
      <w:r w:rsidRPr="0021242E">
        <w:rPr>
          <w:szCs w:val="24"/>
        </w:rPr>
        <w:tab/>
      </w:r>
      <w:r w:rsidR="00522AEA">
        <w:rPr>
          <w:szCs w:val="24"/>
        </w:rPr>
        <w:t>Petr Tulpa</w:t>
      </w:r>
    </w:p>
    <w:p w:rsidR="00726011" w:rsidRDefault="00522AEA" w:rsidP="00F50C8D">
      <w:pPr>
        <w:ind w:left="2124"/>
        <w:jc w:val="left"/>
        <w:rPr>
          <w:szCs w:val="24"/>
        </w:rPr>
      </w:pPr>
      <w:r>
        <w:rPr>
          <w:szCs w:val="24"/>
        </w:rPr>
        <w:t>náměstek hejtmana</w:t>
      </w:r>
      <w:r w:rsidR="00F50C8D" w:rsidRPr="00566FCD">
        <w:rPr>
          <w:szCs w:val="24"/>
        </w:rPr>
        <w:t>, řízení resortu školství, mládeže, tělovýchovy, sportu a zaměstnanosti</w:t>
      </w:r>
    </w:p>
    <w:p w:rsidR="00726011" w:rsidRPr="00726011" w:rsidRDefault="00726011" w:rsidP="00726011">
      <w:pPr>
        <w:pStyle w:val="Zhlav"/>
        <w:tabs>
          <w:tab w:val="left" w:pos="540"/>
        </w:tabs>
        <w:spacing w:before="120"/>
        <w:jc w:val="both"/>
      </w:pPr>
      <w:r>
        <w:br w:type="page"/>
      </w:r>
      <w:r w:rsidRPr="00726011">
        <w:rPr>
          <w:b/>
          <w:sz w:val="32"/>
          <w:szCs w:val="32"/>
        </w:rPr>
        <w:lastRenderedPageBreak/>
        <w:t>Důvodová zpráva</w:t>
      </w:r>
    </w:p>
    <w:p w:rsidR="00726011" w:rsidRPr="00726011" w:rsidRDefault="00726011" w:rsidP="00726011">
      <w:pPr>
        <w:widowControl/>
        <w:suppressAutoHyphens/>
        <w:kinsoku/>
        <w:overflowPunct/>
        <w:autoSpaceDE/>
        <w:autoSpaceDN/>
        <w:jc w:val="left"/>
        <w:rPr>
          <w:szCs w:val="24"/>
          <w:lang w:eastAsia="zh-CN"/>
        </w:rPr>
      </w:pPr>
    </w:p>
    <w:p w:rsidR="00726011" w:rsidRPr="00726011" w:rsidRDefault="00726011" w:rsidP="00726011">
      <w:pPr>
        <w:keepNext/>
        <w:widowControl/>
        <w:suppressAutoHyphens/>
        <w:kinsoku/>
        <w:overflowPunct/>
        <w:autoSpaceDE/>
        <w:autoSpaceDN/>
        <w:spacing w:after="240"/>
        <w:rPr>
          <w:b/>
          <w:bCs/>
          <w:sz w:val="16"/>
          <w:szCs w:val="16"/>
          <w:lang w:eastAsia="zh-CN"/>
        </w:rPr>
      </w:pPr>
      <w:r w:rsidRPr="00726011">
        <w:rPr>
          <w:b/>
          <w:bCs/>
          <w:sz w:val="22"/>
          <w:szCs w:val="24"/>
          <w:lang w:eastAsia="zh-CN"/>
        </w:rPr>
        <w:t>Informace o účelové dotaci MŠMT na financování přímých neinvestičních výdajů pro školy a školská zařízení zřizované Libereckým krajem a obcemi Libereckého kraje a na financování soukromých škol na rok 2018</w:t>
      </w:r>
    </w:p>
    <w:p w:rsidR="00726011" w:rsidRPr="00726011" w:rsidRDefault="00726011" w:rsidP="00726011">
      <w:pPr>
        <w:widowControl/>
        <w:pBdr>
          <w:bottom w:val="single" w:sz="4" w:space="1" w:color="000000"/>
        </w:pBdr>
        <w:suppressAutoHyphens/>
        <w:kinsoku/>
        <w:overflowPunct/>
        <w:autoSpaceDE/>
        <w:autoSpaceDN/>
        <w:spacing w:before="9" w:after="80"/>
        <w:ind w:left="9" w:right="9"/>
        <w:jc w:val="left"/>
        <w:rPr>
          <w:b/>
          <w:bCs/>
          <w:sz w:val="16"/>
          <w:szCs w:val="16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jc w:val="left"/>
        <w:rPr>
          <w:b/>
          <w:bCs/>
          <w:sz w:val="16"/>
          <w:szCs w:val="16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  <w:r w:rsidRPr="00726011">
        <w:rPr>
          <w:bCs/>
          <w:szCs w:val="24"/>
          <w:lang w:eastAsia="zh-CN"/>
        </w:rPr>
        <w:t xml:space="preserve">Financování jednotlivých škol a školských zařízení z účelové dotace probíhá v roce 2018 podle aktuálního rozpisu rozpočtu, podle pravidel a v termínech daných MŠMT. </w:t>
      </w: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  <w:r w:rsidRPr="00726011">
        <w:rPr>
          <w:bCs/>
          <w:szCs w:val="24"/>
          <w:lang w:eastAsia="zh-CN"/>
        </w:rPr>
        <w:t>V průběhu roku proběhlo ze strany MŠMT celkem 12 úprav rozpočtu. Nejčastěji se jednalo o úpravy v</w:t>
      </w:r>
      <w:r w:rsidRPr="00726011">
        <w:rPr>
          <w:szCs w:val="24"/>
          <w:lang w:eastAsia="zh-CN"/>
        </w:rPr>
        <w:t> souladu se zněním § 161 odst. 6 zákona č. 561/2004 Sb., školského zákona, které je účinné od 1. 1. 2017. MŠMT měsíčně upravovalo Libereckému kraji rozpočet přímých neinvestičních výdajů ÚZ 33 353 s ohledem na skutečný počet dětí, žáků, studentů se speciálními vzdělávacími potřebami a normovanou finanční náročnost podpůrných opatření těmto dětem, žákům a studentům poskytovaných (viz příloha č. 1 vyhlášky č. 27/2016 Sb., o vzdělávání žáků se speciálními vzdělávacími potřebami a žáků nadaných).</w:t>
      </w: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  <w:r w:rsidRPr="00726011">
        <w:rPr>
          <w:szCs w:val="24"/>
          <w:lang w:eastAsia="zh-CN"/>
        </w:rPr>
        <w:t xml:space="preserve">Následující tabulka zachycuje poslední krok, tj. rozpuštění rezervy a závěrečné rozložení jednotlivých složek rozpočtu, a to mezi závazné ukazatele a orientační ukazatele ve členění škol a školských zařízení zřizovaných Libereckým krajem a obcemi Libereckého kraje. </w:t>
      </w: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jc w:val="right"/>
        <w:rPr>
          <w:sz w:val="20"/>
          <w:lang w:eastAsia="zh-CN"/>
        </w:rPr>
      </w:pPr>
      <w:r w:rsidRPr="00726011">
        <w:rPr>
          <w:sz w:val="20"/>
          <w:lang w:eastAsia="zh-CN"/>
        </w:rPr>
        <w:t>v Kč</w:t>
      </w:r>
    </w:p>
    <w:tbl>
      <w:tblPr>
        <w:tblW w:w="97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307"/>
        <w:gridCol w:w="1052"/>
        <w:gridCol w:w="1307"/>
        <w:gridCol w:w="1052"/>
        <w:gridCol w:w="1123"/>
        <w:gridCol w:w="1417"/>
      </w:tblGrid>
      <w:tr w:rsidR="00726011" w:rsidRPr="00726011" w:rsidTr="00726011">
        <w:trPr>
          <w:trHeight w:val="51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školství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platy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OON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zákonné odvody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FKSP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ONIV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center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NIV celkem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b/>
                <w:bCs/>
                <w:sz w:val="20"/>
                <w:lang w:eastAsia="zh-CN"/>
              </w:rPr>
            </w:pPr>
            <w:proofErr w:type="spellStart"/>
            <w:r w:rsidRPr="00726011">
              <w:rPr>
                <w:b/>
                <w:bCs/>
                <w:sz w:val="20"/>
                <w:lang w:eastAsia="zh-CN"/>
              </w:rPr>
              <w:t>RgŠ</w:t>
            </w:r>
            <w:proofErr w:type="spellEnd"/>
            <w:r w:rsidRPr="00726011">
              <w:rPr>
                <w:b/>
                <w:bCs/>
                <w:sz w:val="20"/>
                <w:lang w:eastAsia="zh-CN"/>
              </w:rPr>
              <w:t xml:space="preserve"> po 11. úpravě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3 310 223 501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30 900 000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1 135 981 991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66 204 470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67 370 204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4 610 680 166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12. úprava k 1. 11. 2018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-900 000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-18 000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b/>
                <w:bCs/>
                <w:sz w:val="20"/>
                <w:lang w:eastAsia="zh-CN"/>
              </w:rPr>
            </w:pPr>
            <w:proofErr w:type="spellStart"/>
            <w:r w:rsidRPr="00726011">
              <w:rPr>
                <w:b/>
                <w:bCs/>
                <w:sz w:val="20"/>
                <w:lang w:eastAsia="zh-CN"/>
              </w:rPr>
              <w:t>RgŠ</w:t>
            </w:r>
            <w:proofErr w:type="spellEnd"/>
            <w:r w:rsidRPr="00726011">
              <w:rPr>
                <w:b/>
                <w:bCs/>
                <w:sz w:val="20"/>
                <w:lang w:eastAsia="zh-CN"/>
              </w:rPr>
              <w:t xml:space="preserve"> po 12. úpravě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3 309 323 501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31 800 000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1 135 981 991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66 186 470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67 388 204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4 610 680 166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Přesun mezi orientačními ukazateli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-997 124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-3 876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 xml:space="preserve">+1 001 000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0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Rozpis krajské 2018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894 405 179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12 691 272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308 012 524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17 889 908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13 493 572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1 246 492 455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Rezerva krajské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 xml:space="preserve">Rozpis </w:t>
            </w:r>
            <w:proofErr w:type="gramStart"/>
            <w:r w:rsidRPr="00726011">
              <w:rPr>
                <w:sz w:val="20"/>
                <w:lang w:eastAsia="zh-CN"/>
              </w:rPr>
              <w:t>obecní  2018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2 414 918 322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19 108 728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826 972 343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48 292686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54 895 632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3 364 187 711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Rezerva obecní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sz w:val="20"/>
                <w:lang w:eastAsia="zh-CN"/>
              </w:rPr>
            </w:pPr>
            <w:r w:rsidRPr="00726011">
              <w:rPr>
                <w:sz w:val="20"/>
                <w:lang w:eastAsia="zh-CN"/>
              </w:rPr>
              <w:t>0</w:t>
            </w:r>
          </w:p>
        </w:tc>
      </w:tr>
      <w:tr w:rsidR="00726011" w:rsidRPr="00726011" w:rsidTr="00726011">
        <w:trPr>
          <w:trHeight w:val="300"/>
        </w:trPr>
        <w:tc>
          <w:tcPr>
            <w:tcW w:w="2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lef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ÚZ 33 353 celkem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3 309 323 501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31 800 000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1 134 984 867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66 182 594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68 389 204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11" w:rsidRPr="00726011" w:rsidRDefault="00726011" w:rsidP="00726011">
            <w:pPr>
              <w:widowControl/>
              <w:suppressAutoHyphens/>
              <w:kinsoku/>
              <w:overflowPunct/>
              <w:autoSpaceDE/>
              <w:autoSpaceDN/>
              <w:jc w:val="right"/>
              <w:rPr>
                <w:b/>
                <w:bCs/>
                <w:sz w:val="20"/>
                <w:lang w:eastAsia="zh-CN"/>
              </w:rPr>
            </w:pPr>
            <w:r w:rsidRPr="00726011">
              <w:rPr>
                <w:b/>
                <w:bCs/>
                <w:sz w:val="20"/>
                <w:lang w:eastAsia="zh-CN"/>
              </w:rPr>
              <w:t>4 610 680 166</w:t>
            </w:r>
          </w:p>
        </w:tc>
      </w:tr>
    </w:tbl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  <w:r w:rsidRPr="00726011">
        <w:rPr>
          <w:bCs/>
          <w:szCs w:val="24"/>
          <w:lang w:eastAsia="zh-CN"/>
        </w:rPr>
        <w:t xml:space="preserve">Podrobné rozpisy rozpočtu na jednotlivé školy a školská zařízení jsou přílohami č. 1 a 2 tohoto materiálu. </w:t>
      </w: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/>
          <w:bCs/>
          <w:szCs w:val="24"/>
          <w:lang w:eastAsia="zh-CN"/>
        </w:rPr>
      </w:pPr>
      <w:r w:rsidRPr="00726011">
        <w:rPr>
          <w:bCs/>
          <w:szCs w:val="24"/>
          <w:lang w:eastAsia="zh-CN"/>
        </w:rPr>
        <w:t xml:space="preserve">V příloze </w:t>
      </w:r>
      <w:proofErr w:type="gramStart"/>
      <w:r w:rsidRPr="00726011">
        <w:rPr>
          <w:bCs/>
          <w:szCs w:val="24"/>
          <w:lang w:eastAsia="zh-CN"/>
        </w:rPr>
        <w:t>č. 3 odbor</w:t>
      </w:r>
      <w:proofErr w:type="gramEnd"/>
      <w:r w:rsidRPr="00726011">
        <w:rPr>
          <w:bCs/>
          <w:szCs w:val="24"/>
          <w:lang w:eastAsia="zh-CN"/>
        </w:rPr>
        <w:t xml:space="preserve"> školství, mládeže, tělovýchovy a sportu předkládá rozpis dotací poskytnutých jednotlivými soukromým školám a školským zařízením v kalendářním roce 2018 v celkové </w:t>
      </w:r>
      <w:r w:rsidRPr="00726011">
        <w:rPr>
          <w:szCs w:val="24"/>
          <w:lang w:eastAsia="zh-CN"/>
        </w:rPr>
        <w:t>výši 178 539 455,-  Kč.</w:t>
      </w: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/>
          <w:bCs/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/>
          <w:bCs/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/>
          <w:bCs/>
          <w:szCs w:val="24"/>
          <w:lang w:eastAsia="zh-CN"/>
        </w:rPr>
      </w:pPr>
    </w:p>
    <w:p w:rsidR="00726011" w:rsidRPr="00726011" w:rsidRDefault="00726011" w:rsidP="00726011">
      <w:pPr>
        <w:widowControl/>
        <w:tabs>
          <w:tab w:val="left" w:pos="2552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  <w:r w:rsidRPr="00726011">
        <w:rPr>
          <w:b/>
          <w:bCs/>
          <w:szCs w:val="24"/>
          <w:lang w:eastAsia="zh-CN"/>
        </w:rPr>
        <w:t>Přílohy:</w:t>
      </w:r>
    </w:p>
    <w:p w:rsidR="00726011" w:rsidRPr="00726011" w:rsidRDefault="00726011" w:rsidP="00726011">
      <w:pPr>
        <w:widowControl/>
        <w:tabs>
          <w:tab w:val="left" w:pos="0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  <w:r w:rsidRPr="00726011">
        <w:rPr>
          <w:bCs/>
          <w:szCs w:val="24"/>
          <w:lang w:eastAsia="zh-CN"/>
        </w:rPr>
        <w:t>Příloha č. 1: Rozpočet přímých NIV – krajské školy a školská zařízení k 7. 12. 2018</w:t>
      </w:r>
    </w:p>
    <w:p w:rsidR="00726011" w:rsidRPr="00726011" w:rsidRDefault="00726011" w:rsidP="00726011">
      <w:pPr>
        <w:widowControl/>
        <w:tabs>
          <w:tab w:val="left" w:pos="0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  <w:r w:rsidRPr="00726011">
        <w:rPr>
          <w:bCs/>
          <w:szCs w:val="24"/>
          <w:lang w:eastAsia="zh-CN"/>
        </w:rPr>
        <w:t>Příloha č. 2: Rozpočet přímých NIV – obecní školy a školská zařízení k 7. 12. 2018</w:t>
      </w:r>
    </w:p>
    <w:p w:rsidR="00726011" w:rsidRPr="00726011" w:rsidRDefault="00726011" w:rsidP="00726011">
      <w:pPr>
        <w:widowControl/>
        <w:tabs>
          <w:tab w:val="left" w:pos="0"/>
        </w:tabs>
        <w:suppressAutoHyphens/>
        <w:kinsoku/>
        <w:overflowPunct/>
        <w:autoSpaceDE/>
        <w:autoSpaceDN/>
        <w:rPr>
          <w:bCs/>
          <w:szCs w:val="24"/>
          <w:lang w:eastAsia="zh-CN"/>
        </w:rPr>
      </w:pPr>
      <w:r w:rsidRPr="00726011">
        <w:rPr>
          <w:bCs/>
          <w:szCs w:val="24"/>
          <w:lang w:eastAsia="zh-CN"/>
        </w:rPr>
        <w:t>Příloha č. 3: Rozpočet přímých NIV – soukromé školy a školská zařízení k 1. 9. 2018</w:t>
      </w:r>
    </w:p>
    <w:p w:rsidR="00206066" w:rsidRPr="007C4392" w:rsidRDefault="00206066" w:rsidP="00726011">
      <w:pPr>
        <w:jc w:val="left"/>
        <w:rPr>
          <w:szCs w:val="24"/>
        </w:rPr>
      </w:pPr>
      <w:bookmarkStart w:id="0" w:name="_GoBack"/>
      <w:bookmarkEnd w:id="0"/>
    </w:p>
    <w:sectPr w:rsidR="00206066" w:rsidRPr="007C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D66"/>
    <w:rsid w:val="000638B6"/>
    <w:rsid w:val="000966DC"/>
    <w:rsid w:val="00132A1C"/>
    <w:rsid w:val="00162642"/>
    <w:rsid w:val="00206066"/>
    <w:rsid w:val="00284BB3"/>
    <w:rsid w:val="0029076F"/>
    <w:rsid w:val="002D4320"/>
    <w:rsid w:val="002F219C"/>
    <w:rsid w:val="00322BDE"/>
    <w:rsid w:val="00343E71"/>
    <w:rsid w:val="00391986"/>
    <w:rsid w:val="003A6FD7"/>
    <w:rsid w:val="003C0B03"/>
    <w:rsid w:val="0042166C"/>
    <w:rsid w:val="00435F72"/>
    <w:rsid w:val="0045305B"/>
    <w:rsid w:val="004C6037"/>
    <w:rsid w:val="00507E99"/>
    <w:rsid w:val="00522AEA"/>
    <w:rsid w:val="005B6821"/>
    <w:rsid w:val="005C71EB"/>
    <w:rsid w:val="005F552D"/>
    <w:rsid w:val="0060402C"/>
    <w:rsid w:val="00676579"/>
    <w:rsid w:val="006B2D20"/>
    <w:rsid w:val="006C55A8"/>
    <w:rsid w:val="00704581"/>
    <w:rsid w:val="00713620"/>
    <w:rsid w:val="007224B3"/>
    <w:rsid w:val="00725900"/>
    <w:rsid w:val="00726011"/>
    <w:rsid w:val="00741209"/>
    <w:rsid w:val="007C4392"/>
    <w:rsid w:val="007E78D2"/>
    <w:rsid w:val="00842FE5"/>
    <w:rsid w:val="008537DA"/>
    <w:rsid w:val="008B66B8"/>
    <w:rsid w:val="008E15FC"/>
    <w:rsid w:val="008F4C56"/>
    <w:rsid w:val="008F5BAD"/>
    <w:rsid w:val="009465F1"/>
    <w:rsid w:val="009E07EC"/>
    <w:rsid w:val="009E25A6"/>
    <w:rsid w:val="009F1D66"/>
    <w:rsid w:val="00A24A2F"/>
    <w:rsid w:val="00A47126"/>
    <w:rsid w:val="00A56C65"/>
    <w:rsid w:val="00A832EE"/>
    <w:rsid w:val="00B47539"/>
    <w:rsid w:val="00B55C18"/>
    <w:rsid w:val="00B74288"/>
    <w:rsid w:val="00BB2E55"/>
    <w:rsid w:val="00BB73D7"/>
    <w:rsid w:val="00BC1676"/>
    <w:rsid w:val="00BC35AA"/>
    <w:rsid w:val="00C52D99"/>
    <w:rsid w:val="00CB77A0"/>
    <w:rsid w:val="00CC3E44"/>
    <w:rsid w:val="00CF5715"/>
    <w:rsid w:val="00CF7865"/>
    <w:rsid w:val="00D22073"/>
    <w:rsid w:val="00D36B20"/>
    <w:rsid w:val="00D60AB2"/>
    <w:rsid w:val="00DF1F62"/>
    <w:rsid w:val="00E772FF"/>
    <w:rsid w:val="00E82F50"/>
    <w:rsid w:val="00E90573"/>
    <w:rsid w:val="00E979C6"/>
    <w:rsid w:val="00EC6501"/>
    <w:rsid w:val="00F10A86"/>
    <w:rsid w:val="00F50C8D"/>
    <w:rsid w:val="00F7578F"/>
    <w:rsid w:val="00F9689D"/>
    <w:rsid w:val="00FB1AE6"/>
    <w:rsid w:val="00FD06B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D66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26011"/>
    <w:pPr>
      <w:widowControl/>
      <w:tabs>
        <w:tab w:val="center" w:pos="4536"/>
        <w:tab w:val="right" w:pos="9072"/>
      </w:tabs>
      <w:suppressAutoHyphens/>
      <w:kinsoku/>
      <w:overflowPunct/>
      <w:autoSpaceDE/>
      <w:autoSpaceDN/>
      <w:jc w:val="left"/>
    </w:pPr>
    <w:rPr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rsid w:val="0072601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2676</Characters>
  <Application>Microsoft Office Word</Application>
  <DocSecurity>0</DocSecurity>
  <Lines>92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dcterms:created xsi:type="dcterms:W3CDTF">2018-12-10T09:33:00Z</dcterms:created>
  <dcterms:modified xsi:type="dcterms:W3CDTF">2018-12-10T09:33:00Z</dcterms:modified>
</cp:coreProperties>
</file>