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7715B1" w:rsidRDefault="00922B25" w:rsidP="00C93558">
      <w:pPr>
        <w:spacing w:before="120"/>
        <w:jc w:val="center"/>
        <w:rPr>
          <w:b/>
        </w:rPr>
      </w:pPr>
      <w:r w:rsidRPr="007715B1">
        <w:rPr>
          <w:b/>
        </w:rPr>
        <w:t>oblast podpory:</w:t>
      </w:r>
      <w:r w:rsidR="007715B1" w:rsidRPr="007715B1">
        <w:rPr>
          <w:b/>
        </w:rPr>
        <w:t xml:space="preserve"> doprava</w:t>
      </w:r>
    </w:p>
    <w:p w:rsidR="00922B25" w:rsidRPr="007715B1" w:rsidRDefault="00922B25" w:rsidP="00C93558">
      <w:pPr>
        <w:spacing w:before="120"/>
        <w:jc w:val="center"/>
        <w:rPr>
          <w:b/>
        </w:rPr>
      </w:pPr>
      <w:r w:rsidRPr="007715B1">
        <w:rPr>
          <w:b/>
        </w:rPr>
        <w:t>program č.</w:t>
      </w:r>
      <w:r w:rsidR="007715B1" w:rsidRPr="007715B1">
        <w:rPr>
          <w:b/>
        </w:rPr>
        <w:t xml:space="preserve"> 6.1</w:t>
      </w:r>
      <w:r w:rsidRPr="007715B1">
        <w:rPr>
          <w:b/>
        </w:rPr>
        <w:t>:</w:t>
      </w:r>
      <w:r w:rsidR="007715B1" w:rsidRPr="007715B1">
        <w:rPr>
          <w:b/>
        </w:rPr>
        <w:t xml:space="preserve"> Rozvoj cyklistické dopravy</w:t>
      </w:r>
    </w:p>
    <w:p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Pr="002A40F2">
        <w:t>Zastupitelstvem</w:t>
      </w:r>
      <w:r w:rsidRPr="005A6024">
        <w:rPr>
          <w:color w:val="808080" w:themeColor="background1" w:themeShade="80"/>
        </w:rPr>
        <w:t xml:space="preserve"> </w:t>
      </w:r>
      <w:r w:rsidRPr="00B141AC">
        <w:t xml:space="preserve">Libereckého kraje dne </w:t>
      </w:r>
      <w:proofErr w:type="gramStart"/>
      <w:r w:rsidR="002A40F2">
        <w:t>xx</w:t>
      </w:r>
      <w:proofErr w:type="gramEnd"/>
      <w:r w:rsidR="002A40F2">
        <w:t>.</w:t>
      </w:r>
      <w:proofErr w:type="gramStart"/>
      <w:r w:rsidR="002A40F2">
        <w:t>xx</w:t>
      </w:r>
      <w:proofErr w:type="gramEnd"/>
      <w:r w:rsidR="002A40F2">
        <w:t xml:space="preserve">.2018 </w:t>
      </w:r>
      <w:r w:rsidRPr="00B141AC">
        <w:t xml:space="preserve">usnesením č. </w:t>
      </w:r>
      <w:proofErr w:type="spellStart"/>
      <w:r w:rsidR="002A40F2">
        <w:t>xxx</w:t>
      </w:r>
      <w:proofErr w:type="spellEnd"/>
      <w:r w:rsidR="002A40F2">
        <w:t>/18/</w:t>
      </w:r>
      <w:r w:rsidR="00986D9E">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r w:rsidR="00081F8C">
        <w:tab/>
        <w:t xml:space="preserve"> :</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w:t>
      </w:r>
      <w:proofErr w:type="gramStart"/>
      <w:r w:rsidR="00875E24" w:rsidRPr="00875E24">
        <w:t>narození</w:t>
      </w:r>
      <w:r w:rsidR="00081F8C">
        <w:t xml:space="preserve"> </w:t>
      </w:r>
      <w:r w:rsidR="00B30EAC" w:rsidRPr="00875E24">
        <w:t>:</w:t>
      </w:r>
      <w:proofErr w:type="gramEnd"/>
    </w:p>
    <w:p w:rsidR="004523BC" w:rsidRPr="00875E24" w:rsidRDefault="004523BC" w:rsidP="00C93558">
      <w:pPr>
        <w:spacing w:before="120" w:line="276" w:lineRule="auto"/>
        <w:jc w:val="both"/>
      </w:pPr>
      <w:r w:rsidRPr="00875E24">
        <w:t>DIČ</w:t>
      </w:r>
      <w:r w:rsidR="00081F8C">
        <w:tab/>
      </w:r>
      <w:r w:rsidR="00081F8C">
        <w:tab/>
      </w:r>
      <w:r w:rsidR="00081F8C">
        <w:tab/>
        <w:t xml:space="preserve"> </w:t>
      </w:r>
      <w:r w:rsidR="00B30EAC" w:rsidRPr="00875E24">
        <w:t>:</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xml:space="preserve">, ve znění pozdějších předpisů, podle zákona č. 129/2000 Sb., o krajích, ve znění </w:t>
      </w:r>
      <w:r w:rsidRPr="006B5AE8">
        <w:lastRenderedPageBreak/>
        <w:t>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neinvestiční/investiční </w:t>
      </w:r>
      <w:r w:rsidRPr="00B141AC">
        <w:t>dotace</w:t>
      </w:r>
      <w:r>
        <w:t xml:space="preserve"> na projekt s názvem:</w:t>
      </w:r>
    </w:p>
    <w:p w:rsidR="004523BC" w:rsidRPr="00924977" w:rsidRDefault="004523BC" w:rsidP="00C93558">
      <w:pPr>
        <w:spacing w:before="120" w:line="276" w:lineRule="auto"/>
        <w:ind w:left="360"/>
        <w:jc w:val="center"/>
        <w:rPr>
          <w:b/>
        </w:rPr>
      </w:pPr>
      <w:r>
        <w:rPr>
          <w:b/>
        </w:rPr>
        <w:t>„</w:t>
      </w:r>
      <w:r w:rsidRPr="00924977">
        <w:rPr>
          <w:b/>
        </w:rPr>
        <w:t>………………………………………………………………………….“,</w:t>
      </w:r>
    </w:p>
    <w:p w:rsidR="004523BC" w:rsidRPr="000D530F" w:rsidRDefault="004523BC" w:rsidP="00DF4F60">
      <w:pPr>
        <w:spacing w:before="120" w:line="276" w:lineRule="auto"/>
        <w:ind w:left="284"/>
        <w:jc w:val="both"/>
      </w:pPr>
      <w:r w:rsidRPr="00924977">
        <w:t xml:space="preserve">který byl schválen usnesením </w:t>
      </w:r>
      <w:r w:rsidRPr="00924977">
        <w:rPr>
          <w:color w:val="808080" w:themeColor="background1" w:themeShade="80"/>
        </w:rPr>
        <w:t>Zastupitelstva</w:t>
      </w:r>
      <w:r w:rsidR="00DF4F60" w:rsidRPr="00924977">
        <w:t xml:space="preserve"> </w:t>
      </w:r>
      <w:r w:rsidRPr="00924977">
        <w:t xml:space="preserve">Libereckého kraje č. </w:t>
      </w:r>
      <w:proofErr w:type="spellStart"/>
      <w:r w:rsidR="00924977">
        <w:t>xx</w:t>
      </w:r>
      <w:proofErr w:type="spellEnd"/>
      <w:r w:rsidR="00924977">
        <w:t>/18/ZK</w:t>
      </w:r>
      <w:r w:rsidRPr="00924977">
        <w:t xml:space="preserve"> ze dne </w:t>
      </w:r>
      <w:proofErr w:type="gramStart"/>
      <w:r w:rsidR="00924977">
        <w:t>xx</w:t>
      </w:r>
      <w:proofErr w:type="gramEnd"/>
      <w:r w:rsidR="00924977">
        <w:t>.</w:t>
      </w:r>
      <w:proofErr w:type="gramStart"/>
      <w:r w:rsidR="00924977">
        <w:t>xx</w:t>
      </w:r>
      <w:proofErr w:type="gramEnd"/>
      <w:r w:rsidR="00924977">
        <w:t>.2018.</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4D0F1A" w:rsidRDefault="004523BC" w:rsidP="00E1206F">
      <w:pPr>
        <w:numPr>
          <w:ilvl w:val="0"/>
          <w:numId w:val="8"/>
        </w:numPr>
        <w:spacing w:before="120" w:line="276" w:lineRule="auto"/>
        <w:jc w:val="both"/>
        <w:rPr>
          <w:color w:val="A6A6A6"/>
        </w:rPr>
      </w:pPr>
      <w:r w:rsidRPr="004D0F1A">
        <w:rPr>
          <w:color w:val="A6A6A6"/>
        </w:rPr>
        <w:t>pořízení dlouhodobého hmotného majetku do vlastnictví příjemce na projekt uvedený v čl. I. odst. 1</w:t>
      </w:r>
    </w:p>
    <w:p w:rsidR="004523BC" w:rsidRPr="004D0F1A" w:rsidRDefault="004523BC" w:rsidP="00E1206F">
      <w:pPr>
        <w:numPr>
          <w:ilvl w:val="0"/>
          <w:numId w:val="8"/>
        </w:numPr>
        <w:spacing w:before="120" w:line="276" w:lineRule="auto"/>
        <w:jc w:val="both"/>
        <w:rPr>
          <w:color w:val="A6A6A6"/>
        </w:rPr>
      </w:pPr>
      <w:r w:rsidRPr="004D0F1A">
        <w:rPr>
          <w:color w:val="A6A6A6"/>
        </w:rPr>
        <w:t>technické zhodnocení dlouhodobého hmotného majetku ve vlastnictví příjemce na projekt uvedený v čl. I. odst. 1</w:t>
      </w:r>
    </w:p>
    <w:p w:rsidR="004523BC" w:rsidRPr="004D0F1A" w:rsidRDefault="004523BC" w:rsidP="00E1206F">
      <w:pPr>
        <w:numPr>
          <w:ilvl w:val="0"/>
          <w:numId w:val="8"/>
        </w:numPr>
        <w:spacing w:before="120" w:line="276" w:lineRule="auto"/>
        <w:jc w:val="both"/>
        <w:rPr>
          <w:color w:val="A6A6A6"/>
        </w:rPr>
      </w:pPr>
      <w:r w:rsidRPr="004D0F1A">
        <w:rPr>
          <w:color w:val="A6A6A6"/>
        </w:rPr>
        <w:t>nákup drobného dlouhodobého hmotného majetku do vlastnictví příjemce na projekt uvedený v čl. I. odst. 1</w:t>
      </w:r>
    </w:p>
    <w:p w:rsidR="004523BC" w:rsidRPr="004D0F1A" w:rsidRDefault="004523BC" w:rsidP="00E1206F">
      <w:pPr>
        <w:numPr>
          <w:ilvl w:val="0"/>
          <w:numId w:val="8"/>
        </w:numPr>
        <w:spacing w:before="120" w:line="276" w:lineRule="auto"/>
        <w:jc w:val="both"/>
        <w:outlineLvl w:val="0"/>
        <w:rPr>
          <w:color w:val="A6A6A6"/>
        </w:rPr>
      </w:pPr>
      <w:r w:rsidRPr="004D0F1A">
        <w:rPr>
          <w:color w:val="A6A6A6"/>
        </w:rPr>
        <w:t xml:space="preserve">nákup materiálu na projekt uvedený v čl. I. odst. 1 </w:t>
      </w:r>
    </w:p>
    <w:p w:rsidR="004523BC" w:rsidRPr="004D0F1A" w:rsidRDefault="004523BC" w:rsidP="00E1206F">
      <w:pPr>
        <w:numPr>
          <w:ilvl w:val="0"/>
          <w:numId w:val="8"/>
        </w:numPr>
        <w:spacing w:before="120" w:line="276" w:lineRule="auto"/>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E1206F">
      <w:pPr>
        <w:numPr>
          <w:ilvl w:val="0"/>
          <w:numId w:val="8"/>
        </w:numPr>
        <w:spacing w:before="120" w:line="276" w:lineRule="auto"/>
        <w:jc w:val="both"/>
        <w:rPr>
          <w:color w:val="A6A6A6"/>
        </w:rPr>
      </w:pPr>
      <w:r w:rsidRPr="004D0F1A">
        <w:rPr>
          <w:color w:val="A6A6A6"/>
        </w:rPr>
        <w:t xml:space="preserve">výdaje na mzdové náklady, zákonné sociální a zdravotní pojištění, ostatní mzdové a sociální náklady a platby za provedenou práci na projekt uvedený v čl. I. odst. 1 </w:t>
      </w:r>
    </w:p>
    <w:p w:rsidR="004523BC" w:rsidRPr="00FE1E2B" w:rsidRDefault="00A55E6A" w:rsidP="00E1206F">
      <w:pPr>
        <w:numPr>
          <w:ilvl w:val="0"/>
          <w:numId w:val="10"/>
        </w:numPr>
        <w:spacing w:before="120" w:line="276" w:lineRule="auto"/>
        <w:ind w:left="284" w:hanging="284"/>
        <w:jc w:val="both"/>
        <w:outlineLvl w:val="0"/>
      </w:pPr>
      <w:r>
        <w:lastRenderedPageBreak/>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FF4924">
        <w:rPr>
          <w:b/>
        </w:rPr>
        <w:t>………………</w:t>
      </w:r>
      <w:proofErr w:type="gramStart"/>
      <w:r w:rsidRPr="00FF4924">
        <w:rPr>
          <w:b/>
        </w:rPr>
        <w:t>…..</w:t>
      </w:r>
      <w:r w:rsidR="00363914">
        <w:t xml:space="preserve"> </w:t>
      </w:r>
      <w:r>
        <w:t>Kč</w:t>
      </w:r>
      <w:proofErr w:type="gramEnd"/>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5E1EE4">
        <w:t>5</w:t>
      </w:r>
      <w:r w:rsidRPr="00924977">
        <w:t>0</w:t>
      </w:r>
      <w:r w:rsidR="006470DC" w:rsidRPr="00924977">
        <w:t xml:space="preserve"> </w:t>
      </w:r>
      <w:r w:rsidRPr="00924977">
        <w:t>% z celkové přiznané dotace.</w:t>
      </w:r>
      <w:r w:rsidRPr="00924977">
        <w:rPr>
          <w:snapToGrid w:val="0"/>
        </w:rPr>
        <w:t xml:space="preserve"> Finanční prostředky ve výši ………………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791983">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lastRenderedPageBreak/>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895E8B" w:rsidRDefault="004523BC" w:rsidP="00E1206F">
      <w:pPr>
        <w:numPr>
          <w:ilvl w:val="0"/>
          <w:numId w:val="1"/>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proofErr w:type="spellStart"/>
      <w:proofErr w:type="gramStart"/>
      <w:r w:rsidR="007A4BB6" w:rsidRPr="00895E8B">
        <w:t>xx</w:t>
      </w:r>
      <w:proofErr w:type="spellEnd"/>
      <w:r w:rsidR="007A4BB6" w:rsidRPr="00895E8B">
        <w:t>.</w:t>
      </w:r>
      <w:r w:rsidRPr="00895E8B">
        <w:t xml:space="preserve">. </w:t>
      </w:r>
      <w:proofErr w:type="spellStart"/>
      <w:r w:rsidR="007A4BB6" w:rsidRPr="00895E8B">
        <w:t>xx</w:t>
      </w:r>
      <w:proofErr w:type="spellEnd"/>
      <w:proofErr w:type="gramEnd"/>
      <w:r w:rsidRPr="00895E8B">
        <w:t xml:space="preserve">. </w:t>
      </w:r>
      <w:proofErr w:type="spellStart"/>
      <w:r w:rsidR="007A4BB6" w:rsidRPr="00895E8B">
        <w:t>xxxx</w:t>
      </w:r>
      <w:proofErr w:type="spellEnd"/>
      <w:r w:rsidRPr="00895E8B">
        <w:t xml:space="preserve">. </w:t>
      </w:r>
      <w:r w:rsidRPr="007F3B75">
        <w:rPr>
          <w:color w:val="A6A6A6" w:themeColor="background1" w:themeShade="A6"/>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7F3B75">
        <w:rPr>
          <w:color w:val="A6A6A6" w:themeColor="background1" w:themeShade="A6"/>
        </w:rPr>
        <w:t>charge</w:t>
      </w:r>
      <w:proofErr w:type="spellEnd"/>
      <w:r w:rsidRPr="007F3B75">
        <w:rPr>
          <w:color w:val="A6A6A6" w:themeColor="background1" w:themeShade="A6"/>
        </w:rPr>
        <w:t xml:space="preserve"> musí příjemce současně doložit i náležitosti uvedené v čl. III odst. </w:t>
      </w:r>
      <w:r w:rsidR="00496156" w:rsidRPr="007F3B75">
        <w:rPr>
          <w:color w:val="A6A6A6" w:themeColor="background1" w:themeShade="A6"/>
        </w:rPr>
        <w:t>9</w:t>
      </w:r>
      <w:r w:rsidRPr="007F3B75">
        <w:rPr>
          <w:color w:val="A6A6A6" w:themeColor="background1" w:themeShade="A6"/>
        </w:rPr>
        <w:t>.</w:t>
      </w:r>
      <w:r w:rsidR="002410C8" w:rsidRPr="007F3B75">
        <w:rPr>
          <w:color w:val="A6A6A6" w:themeColor="background1" w:themeShade="A6"/>
        </w:rPr>
        <w:t xml:space="preserve"> 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rsidR="00895E8B" w:rsidRPr="00895E8B" w:rsidRDefault="0004229B" w:rsidP="00895E8B">
      <w:pPr>
        <w:numPr>
          <w:ilvl w:val="0"/>
          <w:numId w:val="1"/>
        </w:numPr>
        <w:tabs>
          <w:tab w:val="clear" w:pos="502"/>
        </w:tabs>
        <w:spacing w:before="120" w:line="276" w:lineRule="auto"/>
        <w:ind w:left="284" w:hanging="284"/>
        <w:jc w:val="both"/>
      </w:pPr>
      <w:r w:rsidRPr="00895E8B">
        <w:t>U</w:t>
      </w:r>
      <w:r w:rsidR="004523BC" w:rsidRPr="00895E8B">
        <w:t>končení</w:t>
      </w:r>
      <w:r w:rsidR="008C0EFD" w:rsidRPr="00895E8B">
        <w:t>m</w:t>
      </w:r>
      <w:r w:rsidR="004523BC" w:rsidRPr="00895E8B">
        <w:t xml:space="preserve"> realizace projektu se rozumí </w:t>
      </w:r>
      <w:r w:rsidR="00895E8B" w:rsidRPr="00895E8B">
        <w:t xml:space="preserve">předčasné užívání stavby, které je stvrzeno předáním protokolu k předčasnému užívání stavby. </w:t>
      </w:r>
    </w:p>
    <w:p w:rsidR="004523BC" w:rsidRDefault="004523BC" w:rsidP="00895E8B">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25C5B" w:rsidRDefault="004523BC" w:rsidP="00E1206F">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 xml:space="preserve">(a to ve výši, </w:t>
      </w:r>
      <w:r w:rsidRPr="00851297">
        <w:lastRenderedPageBreak/>
        <w:t>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w:t>
      </w:r>
      <w:r w:rsidR="00A77C9F">
        <w:t>finančních prostředků</w:t>
      </w:r>
      <w:bookmarkStart w:id="0" w:name="_GoBack"/>
      <w:bookmarkEnd w:id="0"/>
      <w:r w:rsidRPr="00604D56">
        <w:t xml:space="preserve">.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rsidR="004523BC" w:rsidRPr="0004229B" w:rsidRDefault="004523BC" w:rsidP="00E1206F">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7F3B75" w:rsidRDefault="007F3B75" w:rsidP="00207737">
      <w:pPr>
        <w:numPr>
          <w:ilvl w:val="0"/>
          <w:numId w:val="4"/>
        </w:numPr>
        <w:spacing w:before="120" w:line="276" w:lineRule="auto"/>
        <w:jc w:val="both"/>
      </w:pPr>
      <w:r>
        <w:t xml:space="preserve">originál závěrečného vyúčtování projektu dle přílohy č. 1 a originál závěrečné zprávy o realizaci projektu dle přílohy č. 2 </w:t>
      </w:r>
      <w:proofErr w:type="gramStart"/>
      <w:r>
        <w:t>této</w:t>
      </w:r>
      <w:proofErr w:type="gramEnd"/>
      <w:r>
        <w:t xml:space="preserve"> smlouvy,</w:t>
      </w:r>
    </w:p>
    <w:p w:rsidR="007F3B75" w:rsidRDefault="007F3B75" w:rsidP="007F3B75">
      <w:pPr>
        <w:numPr>
          <w:ilvl w:val="0"/>
          <w:numId w:val="4"/>
        </w:numPr>
        <w:spacing w:before="120" w:line="276" w:lineRule="auto"/>
        <w:jc w:val="both"/>
      </w:pPr>
      <w:r>
        <w:t>kopii protokolu o předání a převzetí projektu mezi příjemcem a zhotovitelem (doklad o ukončení realizace projektu), ve kterém budou uvedeny parametry, které byly v rámci projektu zhotoveny. (Ukončením realizace projektu se rozumí předčasné užívání stavby, které je stvrzeno předáním protokolu k předčasnému užívání stavby,</w:t>
      </w:r>
    </w:p>
    <w:p w:rsidR="007F3B75" w:rsidRDefault="007F3B75" w:rsidP="007F3B75">
      <w:pPr>
        <w:numPr>
          <w:ilvl w:val="0"/>
          <w:numId w:val="4"/>
        </w:numPr>
        <w:spacing w:before="120" w:line="276" w:lineRule="auto"/>
        <w:jc w:val="both"/>
      </w:pPr>
      <w:r>
        <w:t>dvě fotografie znázorňující místo, kde byl projekt realizován,</w:t>
      </w:r>
    </w:p>
    <w:p w:rsidR="007F3B75" w:rsidRDefault="007F3B75" w:rsidP="007F3B75">
      <w:pPr>
        <w:numPr>
          <w:ilvl w:val="0"/>
          <w:numId w:val="4"/>
        </w:numPr>
        <w:spacing w:before="120" w:line="276" w:lineRule="auto"/>
        <w:jc w:val="both"/>
      </w:pPr>
      <w:r>
        <w:t xml:space="preserve">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w:t>
      </w:r>
    </w:p>
    <w:p w:rsidR="007F3B75" w:rsidRDefault="007F3B75" w:rsidP="007F3B75">
      <w:pPr>
        <w:numPr>
          <w:ilvl w:val="0"/>
          <w:numId w:val="4"/>
        </w:numPr>
        <w:spacing w:before="120" w:line="276" w:lineRule="auto"/>
        <w:jc w:val="both"/>
      </w:pPr>
      <w:r>
        <w:t>výpisy z účtu prokazující úhradu jednotlivých účetních resp. prvotních daňových dokladů nebo zjednodušených daňových dokladů, ze kterých bude zřejmý účel a způsob využití poskytnutých finančních prostředků poskytovatele,</w:t>
      </w:r>
    </w:p>
    <w:p w:rsidR="007F3B75" w:rsidRDefault="007F3B75" w:rsidP="007F3B75">
      <w:pPr>
        <w:numPr>
          <w:ilvl w:val="0"/>
          <w:numId w:val="4"/>
        </w:numPr>
        <w:spacing w:before="120" w:line="276" w:lineRule="auto"/>
        <w:jc w:val="both"/>
      </w:pPr>
      <w:r>
        <w:t>smlouvu o dílo nebo objednávku, pracovní smlouvu nebo dohodu o práci konané mimo pracovní poměr k projektu uvedenému v čl. I. (minimálním obsahem smlouvy o dílo, objednávky, pracovní smlouvy nebo dohody o práci konané mimo pracovní poměr musí být předmět a cena prací a termín realizace),</w:t>
      </w:r>
    </w:p>
    <w:p w:rsidR="004523BC" w:rsidRPr="00C9643A" w:rsidRDefault="007F3B75" w:rsidP="007F3B75">
      <w:pPr>
        <w:numPr>
          <w:ilvl w:val="0"/>
          <w:numId w:val="4"/>
        </w:numPr>
        <w:spacing w:before="120" w:line="276" w:lineRule="auto"/>
        <w:jc w:val="both"/>
      </w:pPr>
      <w:r>
        <w:t xml:space="preserve">kopie dokladu, že realizovaný projekt byl podpořen krajem, (příjemce je povinen informovat veřejnost o skutečnosti, že jím realizovaný projekt byl podpořen z rozpočtu Libereckého kraje např. </w:t>
      </w:r>
      <w:proofErr w:type="spellStart"/>
      <w:r>
        <w:t>print</w:t>
      </w:r>
      <w:proofErr w:type="spellEnd"/>
      <w:r>
        <w:t xml:space="preserve"> </w:t>
      </w:r>
      <w:proofErr w:type="spellStart"/>
      <w:r>
        <w:t>screen</w:t>
      </w:r>
      <w:proofErr w:type="spellEnd"/>
      <w:r>
        <w:t xml:space="preserve"> webových stránek, využití loga LK, tisková zpráva)</w:t>
      </w:r>
      <w:r w:rsidR="00207737">
        <w:t>.</w:t>
      </w:r>
      <w:r>
        <w:t xml:space="preserve"> Tato povinnost se nevztahuje na projekty realizované před nabytím účinnosti smlouvy.</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 xml:space="preserve">na účet </w:t>
      </w:r>
      <w:r w:rsidRPr="00612775">
        <w:lastRenderedPageBreak/>
        <w:t>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7F3B75">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7F3B75">
        <w:t>…</w:t>
      </w:r>
      <w:proofErr w:type="gramStart"/>
      <w:r w:rsidR="009133EC" w:rsidRPr="007F3B75">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007F3B75">
        <w:t>, odbor 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C61D71">
        <w:t>dopravy</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207737">
        <w:t>.</w:t>
      </w:r>
      <w:r w:rsidRPr="00C61D71">
        <w:t xml:space="preserve"> </w:t>
      </w:r>
      <w:r w:rsidR="00BB7057" w:rsidRPr="00C61D71">
        <w:t>Tat</w:t>
      </w:r>
      <w:r w:rsidR="00BB7057">
        <w: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lastRenderedPageBreak/>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E1206F" w:rsidRPr="00D12702"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lastRenderedPageBreak/>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lastRenderedPageBreak/>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DC134A" w:rsidRPr="00DC134A">
        <w:t xml:space="preserve">19-7964250217/0100 </w:t>
      </w:r>
      <w:r w:rsidR="008C0EFD">
        <w:t xml:space="preserve"> s variabilním symb</w:t>
      </w:r>
      <w:r w:rsidR="00DB5C73">
        <w:t>olem č</w:t>
      </w:r>
      <w:r w:rsidR="004B7337">
        <w:t xml:space="preserve">. </w:t>
      </w:r>
      <w:r w:rsidR="004B7337" w:rsidRPr="00DC134A">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lastRenderedPageBreak/>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p>
    <w:p w:rsidR="00E02493" w:rsidRDefault="00E02493" w:rsidP="00AD6763">
      <w:pPr>
        <w:tabs>
          <w:tab w:val="left" w:pos="5580"/>
        </w:tabs>
        <w:ind w:left="5664" w:hanging="5664"/>
        <w:jc w:val="both"/>
      </w:pPr>
      <w:r>
        <w:t xml:space="preserve">        </w:t>
      </w:r>
      <w:r w:rsidRPr="00BF6B84">
        <w:t xml:space="preserve">řízení resortu dopravy, </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E3" w:rsidRDefault="003470E3">
      <w:r>
        <w:separator/>
      </w:r>
    </w:p>
  </w:endnote>
  <w:endnote w:type="continuationSeparator" w:id="0">
    <w:p w:rsidR="003470E3" w:rsidRDefault="0034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A77C9F">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A77C9F">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A77C9F">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A77C9F">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E3" w:rsidRDefault="003470E3">
      <w:r>
        <w:separator/>
      </w:r>
    </w:p>
  </w:footnote>
  <w:footnote w:type="continuationSeparator" w:id="0">
    <w:p w:rsidR="003470E3" w:rsidRDefault="003470E3">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B1" w:rsidRDefault="003B068B">
    <w:pPr>
      <w:pStyle w:val="Zhlav"/>
    </w:pPr>
    <w:r>
      <w:tab/>
    </w:r>
    <w:r>
      <w:tab/>
      <w:t>P0</w:t>
    </w:r>
    <w:r w:rsidR="00FC1274">
      <w:t>4</w:t>
    </w:r>
    <w:r>
      <w:t xml:space="preserve"> - Příloha č. </w:t>
    </w:r>
    <w:r w:rsidR="00FC1274">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07737"/>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0E3"/>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068B"/>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7A9"/>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E1EE4"/>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BE2"/>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882"/>
    <w:rsid w:val="0076597E"/>
    <w:rsid w:val="00765EB8"/>
    <w:rsid w:val="00767182"/>
    <w:rsid w:val="007715B1"/>
    <w:rsid w:val="00771682"/>
    <w:rsid w:val="00771A57"/>
    <w:rsid w:val="00774547"/>
    <w:rsid w:val="007760E8"/>
    <w:rsid w:val="00783017"/>
    <w:rsid w:val="0078775B"/>
    <w:rsid w:val="0079113F"/>
    <w:rsid w:val="00791983"/>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2964"/>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6D9E"/>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77C9F"/>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702"/>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274"/>
    <w:rsid w:val="00FC1C6A"/>
    <w:rsid w:val="00FC66F9"/>
    <w:rsid w:val="00FD18BF"/>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38A13-F482-4F6E-95D0-5414DD80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14</Pages>
  <Words>3639</Words>
  <Characters>21475</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33</cp:revision>
  <cp:lastPrinted>2017-12-18T09:47:00Z</cp:lastPrinted>
  <dcterms:created xsi:type="dcterms:W3CDTF">2017-10-03T08:34:00Z</dcterms:created>
  <dcterms:modified xsi:type="dcterms:W3CDTF">2018-04-18T06:38:00Z</dcterms:modified>
</cp:coreProperties>
</file>