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EFF" w:rsidRDefault="00135FBC" w:rsidP="00C75EFF">
      <w:pPr>
        <w:rPr>
          <w:b/>
        </w:rPr>
      </w:pPr>
      <w:bookmarkStart w:id="0" w:name="_GoBack"/>
      <w:bookmarkEnd w:id="0"/>
      <w:r>
        <w:rPr>
          <w:b/>
        </w:rPr>
        <w:t>P01-</w:t>
      </w:r>
      <w:r w:rsidR="00293F39">
        <w:rPr>
          <w:b/>
        </w:rPr>
        <w:t>p</w:t>
      </w:r>
      <w:r w:rsidR="00C75EFF">
        <w:rPr>
          <w:b/>
        </w:rPr>
        <w:t>říloha:</w:t>
      </w:r>
    </w:p>
    <w:p w:rsidR="00C75EFF" w:rsidRDefault="00C75EFF" w:rsidP="00C75EFF">
      <w:pPr>
        <w:rPr>
          <w:b/>
        </w:rPr>
      </w:pPr>
    </w:p>
    <w:p w:rsidR="00C75EFF" w:rsidRDefault="00C75EFF" w:rsidP="00C75EFF">
      <w:pPr>
        <w:rPr>
          <w:b/>
        </w:rPr>
      </w:pPr>
      <w:r>
        <w:rPr>
          <w:b/>
        </w:rPr>
        <w:t xml:space="preserve">1. </w:t>
      </w:r>
      <w:r w:rsidRPr="0065126E">
        <w:rPr>
          <w:b/>
        </w:rPr>
        <w:t>Střední a vyšší odborné školy</w:t>
      </w:r>
    </w:p>
    <w:p w:rsidR="00C75EFF" w:rsidRDefault="00C75EFF" w:rsidP="00C75EFF">
      <w:pPr>
        <w:ind w:left="720"/>
        <w:jc w:val="both"/>
        <w:rPr>
          <w:b/>
        </w:rPr>
      </w:pPr>
    </w:p>
    <w:p w:rsidR="00C75EFF" w:rsidRDefault="00FA222E" w:rsidP="00C75EFF">
      <w:pPr>
        <w:jc w:val="both"/>
      </w:pPr>
      <w:r>
        <w:t>Ve školním roce 2016/2017</w:t>
      </w:r>
      <w:r w:rsidR="00C75EFF">
        <w:t xml:space="preserve"> zřizoval Liberecký kraj </w:t>
      </w:r>
      <w:r w:rsidR="00C75EFF" w:rsidRPr="00596C17">
        <w:t>37</w:t>
      </w:r>
      <w:r w:rsidR="00C75EFF">
        <w:t xml:space="preserve"> středních škol. Součástí </w:t>
      </w:r>
      <w:r w:rsidR="00C75EFF" w:rsidRPr="00C14B36">
        <w:t>6</w:t>
      </w:r>
      <w:r w:rsidR="00C75EFF" w:rsidRPr="007E6CC1">
        <w:t xml:space="preserve"> subjektů</w:t>
      </w:r>
      <w:r w:rsidR="00C75EFF">
        <w:t xml:space="preserve"> vykonávajících činnost střední školy byla rovněž vyšší odborná škola. </w:t>
      </w:r>
    </w:p>
    <w:p w:rsidR="00C75EFF" w:rsidRDefault="00C75EFF" w:rsidP="00C75EFF">
      <w:pPr>
        <w:jc w:val="both"/>
      </w:pPr>
    </w:p>
    <w:p w:rsidR="00C75EFF" w:rsidRDefault="00C75EFF" w:rsidP="00C75EFF">
      <w:pPr>
        <w:jc w:val="both"/>
      </w:pPr>
      <w:r>
        <w:t>V segmentu středního a vyššího odborného vzdělávání byly sledovány - s ohledem na možnost zobecnění - následující údaje:</w:t>
      </w:r>
    </w:p>
    <w:p w:rsidR="00C75EFF" w:rsidRPr="00084E6D" w:rsidRDefault="00C75EFF" w:rsidP="00C75EFF">
      <w:pPr>
        <w:numPr>
          <w:ilvl w:val="0"/>
          <w:numId w:val="1"/>
        </w:numPr>
        <w:tabs>
          <w:tab w:val="clear" w:pos="720"/>
        </w:tabs>
        <w:ind w:left="284" w:hanging="284"/>
        <w:jc w:val="both"/>
      </w:pPr>
      <w:r w:rsidRPr="00084E6D">
        <w:t>věková skladba pedagogických pracovníků</w:t>
      </w:r>
      <w:r w:rsidR="007B1B5A">
        <w:t>,</w:t>
      </w:r>
    </w:p>
    <w:p w:rsidR="00C75EFF" w:rsidRPr="00084E6D" w:rsidRDefault="00C75EFF" w:rsidP="00C75EFF">
      <w:pPr>
        <w:numPr>
          <w:ilvl w:val="0"/>
          <w:numId w:val="1"/>
        </w:numPr>
        <w:tabs>
          <w:tab w:val="clear" w:pos="720"/>
        </w:tabs>
        <w:ind w:left="284" w:hanging="284"/>
        <w:jc w:val="both"/>
      </w:pPr>
      <w:r w:rsidRPr="00084E6D">
        <w:t>způsobilost pedagogických pracovníků</w:t>
      </w:r>
      <w:r w:rsidR="007B1B5A">
        <w:t>,</w:t>
      </w:r>
    </w:p>
    <w:p w:rsidR="00C75EFF" w:rsidRPr="00084E6D" w:rsidRDefault="00C75EFF" w:rsidP="00C75EFF">
      <w:pPr>
        <w:numPr>
          <w:ilvl w:val="0"/>
          <w:numId w:val="1"/>
        </w:numPr>
        <w:tabs>
          <w:tab w:val="clear" w:pos="720"/>
        </w:tabs>
        <w:ind w:left="284" w:hanging="284"/>
        <w:jc w:val="both"/>
      </w:pPr>
      <w:r w:rsidRPr="00084E6D">
        <w:t>správní rozhodnutí vztahující se k přijímacímu řízení</w:t>
      </w:r>
      <w:r w:rsidR="007B1B5A">
        <w:t>,</w:t>
      </w:r>
    </w:p>
    <w:p w:rsidR="00C75EFF" w:rsidRPr="00084E6D" w:rsidRDefault="00C75EFF" w:rsidP="00C75EFF">
      <w:pPr>
        <w:numPr>
          <w:ilvl w:val="0"/>
          <w:numId w:val="1"/>
        </w:numPr>
        <w:tabs>
          <w:tab w:val="clear" w:pos="720"/>
        </w:tabs>
        <w:ind w:left="284" w:hanging="284"/>
        <w:jc w:val="both"/>
      </w:pPr>
      <w:r w:rsidRPr="00084E6D">
        <w:t>ostatní rozhodnutí vydaná</w:t>
      </w:r>
      <w:r w:rsidR="001A23C7">
        <w:t xml:space="preserve"> ředitelem školy</w:t>
      </w:r>
      <w:r w:rsidR="007B1B5A">
        <w:t>,</w:t>
      </w:r>
    </w:p>
    <w:p w:rsidR="00C75EFF" w:rsidRPr="00084E6D" w:rsidRDefault="00C75EFF" w:rsidP="00C75EFF">
      <w:pPr>
        <w:numPr>
          <w:ilvl w:val="0"/>
          <w:numId w:val="1"/>
        </w:numPr>
        <w:tabs>
          <w:tab w:val="clear" w:pos="720"/>
        </w:tabs>
        <w:ind w:left="284" w:hanging="284"/>
        <w:jc w:val="both"/>
      </w:pPr>
      <w:r w:rsidRPr="00084E6D">
        <w:t>výchovná opatření (pochvala, jiná ocenění, napomenutí, důtka třídního učitele, důtka učitele odborného výcviku, důtka ředitele školy, snížená známka z chování)</w:t>
      </w:r>
      <w:r w:rsidR="007B1B5A">
        <w:t>,</w:t>
      </w:r>
    </w:p>
    <w:p w:rsidR="00C75EFF" w:rsidRPr="00084E6D" w:rsidRDefault="00C75EFF" w:rsidP="00C75EFF">
      <w:pPr>
        <w:numPr>
          <w:ilvl w:val="0"/>
          <w:numId w:val="1"/>
        </w:numPr>
        <w:tabs>
          <w:tab w:val="clear" w:pos="720"/>
        </w:tabs>
        <w:ind w:left="284" w:hanging="284"/>
        <w:jc w:val="both"/>
      </w:pPr>
      <w:r w:rsidRPr="00084E6D">
        <w:t>prospěch žáků</w:t>
      </w:r>
      <w:r w:rsidR="007B1B5A">
        <w:t>,</w:t>
      </w:r>
    </w:p>
    <w:p w:rsidR="00C75EFF" w:rsidRPr="00084E6D" w:rsidRDefault="00C75EFF" w:rsidP="00C75EFF">
      <w:pPr>
        <w:numPr>
          <w:ilvl w:val="0"/>
          <w:numId w:val="1"/>
        </w:numPr>
        <w:tabs>
          <w:tab w:val="clear" w:pos="720"/>
        </w:tabs>
        <w:ind w:left="284" w:hanging="284"/>
        <w:jc w:val="both"/>
      </w:pPr>
      <w:r w:rsidRPr="00084E6D">
        <w:t>úspěšnost žáků při maturitních zkouškách a závěrečných zkouškách</w:t>
      </w:r>
      <w:r w:rsidR="007B1B5A">
        <w:t>,</w:t>
      </w:r>
    </w:p>
    <w:p w:rsidR="00C75EFF" w:rsidRPr="00084E6D" w:rsidRDefault="00C75EFF" w:rsidP="00C75EFF">
      <w:pPr>
        <w:numPr>
          <w:ilvl w:val="0"/>
          <w:numId w:val="1"/>
        </w:numPr>
        <w:tabs>
          <w:tab w:val="clear" w:pos="720"/>
        </w:tabs>
        <w:ind w:left="284" w:hanging="284"/>
        <w:jc w:val="both"/>
      </w:pPr>
      <w:r w:rsidRPr="00084E6D">
        <w:t>úspěšnost stu</w:t>
      </w:r>
      <w:r w:rsidR="008A3692">
        <w:t>dentů při absolutoriích</w:t>
      </w:r>
      <w:r w:rsidR="007B1B5A">
        <w:t>.</w:t>
      </w:r>
    </w:p>
    <w:p w:rsidR="00C75EFF" w:rsidRDefault="00C75EFF" w:rsidP="00C75EFF">
      <w:pPr>
        <w:jc w:val="both"/>
      </w:pPr>
    </w:p>
    <w:p w:rsidR="000354DD" w:rsidRPr="0065126E" w:rsidRDefault="000354DD" w:rsidP="00C75EFF">
      <w:pPr>
        <w:jc w:val="both"/>
      </w:pPr>
    </w:p>
    <w:p w:rsidR="00C75EFF" w:rsidRPr="00322A54" w:rsidRDefault="00C75EFF" w:rsidP="00C75EFF">
      <w:pPr>
        <w:jc w:val="both"/>
        <w:rPr>
          <w:b/>
        </w:rPr>
      </w:pPr>
      <w:r w:rsidRPr="00322A54">
        <w:rPr>
          <w:b/>
        </w:rPr>
        <w:t>Graf</w:t>
      </w:r>
      <w:r w:rsidR="000D26CB">
        <w:rPr>
          <w:b/>
        </w:rPr>
        <w:t xml:space="preserve"> č.</w:t>
      </w:r>
      <w:r w:rsidRPr="00322A54">
        <w:rPr>
          <w:b/>
        </w:rPr>
        <w:t xml:space="preserve"> 1: Věková skladba pedagogick</w:t>
      </w:r>
      <w:r>
        <w:rPr>
          <w:b/>
        </w:rPr>
        <w:t>ých pracovníků (v přepočtených úvazcích)</w:t>
      </w:r>
    </w:p>
    <w:p w:rsidR="00C75EFF" w:rsidRPr="004D5D10" w:rsidRDefault="00AE1A5F" w:rsidP="00C75EFF">
      <w:pPr>
        <w:jc w:val="center"/>
      </w:pPr>
      <w:r>
        <w:rPr>
          <w:noProof/>
        </w:rPr>
        <w:drawing>
          <wp:inline distT="0" distB="0" distL="0" distR="0" wp14:anchorId="7FD37A37">
            <wp:extent cx="5499100" cy="345059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0" cy="3450590"/>
                    </a:xfrm>
                    <a:prstGeom prst="rect">
                      <a:avLst/>
                    </a:prstGeom>
                    <a:noFill/>
                  </pic:spPr>
                </pic:pic>
              </a:graphicData>
            </a:graphic>
          </wp:inline>
        </w:drawing>
      </w:r>
    </w:p>
    <w:p w:rsidR="00C75EFF" w:rsidRPr="00B718A9" w:rsidRDefault="00C75EFF" w:rsidP="00C75EFF">
      <w:pPr>
        <w:jc w:val="center"/>
      </w:pPr>
    </w:p>
    <w:p w:rsidR="00C75EFF" w:rsidRDefault="00C75EFF" w:rsidP="00C75EFF">
      <w:pPr>
        <w:jc w:val="both"/>
      </w:pPr>
      <w:r>
        <w:t xml:space="preserve">Ve školním roce </w:t>
      </w:r>
      <w:r w:rsidR="00AE1A5F">
        <w:t>2016/2017</w:t>
      </w:r>
      <w:r>
        <w:t xml:space="preserve"> bylo ve středních a vyšších odborných školách zastoupeno z hlediska věkové skladby nejvíce pedagogů ve věkové kategor</w:t>
      </w:r>
      <w:r w:rsidR="00E31DCF">
        <w:t>ii 51 let – důchodový věk (40,</w:t>
      </w:r>
      <w:r w:rsidR="00AE1A5F">
        <w:t>37</w:t>
      </w:r>
      <w:r w:rsidR="00596C17">
        <w:t xml:space="preserve"> </w:t>
      </w:r>
      <w:r w:rsidR="00F67A28">
        <w:t>%</w:t>
      </w:r>
      <w:r>
        <w:t>). Naopak nejnižší zastoupení vykazova</w:t>
      </w:r>
      <w:r w:rsidR="00B24F14">
        <w:t xml:space="preserve">la </w:t>
      </w:r>
      <w:r w:rsidR="00023701">
        <w:t>skupina pedagogů do 30 let (5,</w:t>
      </w:r>
      <w:r w:rsidR="00AE1A5F">
        <w:t>28</w:t>
      </w:r>
      <w:r w:rsidR="00F67A28">
        <w:t xml:space="preserve"> %</w:t>
      </w:r>
      <w:r w:rsidR="005F5E85">
        <w:t>). O</w:t>
      </w:r>
      <w:r>
        <w:t>proti předchozím</w:t>
      </w:r>
      <w:r w:rsidR="005F5E85">
        <w:t>u školnímu roku se stav nezměnil</w:t>
      </w:r>
      <w:r w:rsidR="00596C17">
        <w:t xml:space="preserve"> a tento trend je setrvalý již několik let</w:t>
      </w:r>
      <w:r w:rsidR="005F5E85">
        <w:t xml:space="preserve">. V předchozím školním roce </w:t>
      </w:r>
      <w:r>
        <w:t xml:space="preserve">vykazovali </w:t>
      </w:r>
      <w:r w:rsidR="005F5E85">
        <w:t xml:space="preserve">rovněž </w:t>
      </w:r>
      <w:r>
        <w:t>nejnižší za</w:t>
      </w:r>
      <w:r w:rsidR="005F5E85">
        <w:t>stoupení pedagogové do 30 let</w:t>
      </w:r>
      <w:r>
        <w:t xml:space="preserve"> věku, </w:t>
      </w:r>
      <w:r w:rsidR="00023701">
        <w:t>ve školním roce 201</w:t>
      </w:r>
      <w:r w:rsidR="00AE1A5F">
        <w:t>6</w:t>
      </w:r>
      <w:r w:rsidR="00023701">
        <w:t>/201</w:t>
      </w:r>
      <w:r w:rsidR="00AE1A5F">
        <w:t>7</w:t>
      </w:r>
      <w:r w:rsidR="005F5E85">
        <w:t xml:space="preserve"> ovšem došlo ještě </w:t>
      </w:r>
      <w:r w:rsidR="000954C9">
        <w:t xml:space="preserve">k </w:t>
      </w:r>
      <w:r w:rsidR="00AE1A5F">
        <w:t>nepatrnému nárůstu</w:t>
      </w:r>
      <w:r w:rsidR="005F5E85">
        <w:t xml:space="preserve"> v zastoupení pedagogů v této skupině. </w:t>
      </w:r>
      <w:r w:rsidR="00FE59E5">
        <w:t xml:space="preserve">Největší zastoupení i nadále přetrvává v kategorii 51 let – důchodový věk. V této skupině </w:t>
      </w:r>
      <w:r w:rsidR="000954C9">
        <w:t xml:space="preserve">však </w:t>
      </w:r>
      <w:r w:rsidR="00FE59E5">
        <w:t>došlo k</w:t>
      </w:r>
      <w:r w:rsidR="00AE1A5F">
        <w:t> mírnému poklesu</w:t>
      </w:r>
      <w:r w:rsidR="00FE59E5">
        <w:t xml:space="preserve"> oproti předchozímu školnímu roku. </w:t>
      </w:r>
      <w:r w:rsidR="000D26CB">
        <w:br/>
      </w:r>
      <w:r>
        <w:lastRenderedPageBreak/>
        <w:t xml:space="preserve">Z grafu </w:t>
      </w:r>
      <w:r w:rsidR="000D26CB">
        <w:t xml:space="preserve">č. </w:t>
      </w:r>
      <w:r>
        <w:t>1 vyplývá, že věková skladba pedagogických sborů není optimální a i nadále přetrvává trend stárnutí.</w:t>
      </w:r>
    </w:p>
    <w:p w:rsidR="00D42C4E" w:rsidRDefault="00D42C4E" w:rsidP="00C75EFF">
      <w:pPr>
        <w:jc w:val="both"/>
      </w:pPr>
    </w:p>
    <w:p w:rsidR="00720900" w:rsidRDefault="00720900" w:rsidP="00C75EFF">
      <w:pPr>
        <w:jc w:val="both"/>
      </w:pPr>
    </w:p>
    <w:p w:rsidR="00C75EFF" w:rsidRPr="00322A54" w:rsidRDefault="00F67A28" w:rsidP="00C75EFF">
      <w:pPr>
        <w:jc w:val="both"/>
        <w:rPr>
          <w:b/>
        </w:rPr>
      </w:pPr>
      <w:r>
        <w:rPr>
          <w:b/>
        </w:rPr>
        <w:t>Graf</w:t>
      </w:r>
      <w:r w:rsidR="000D26CB">
        <w:rPr>
          <w:b/>
        </w:rPr>
        <w:t xml:space="preserve"> č.</w:t>
      </w:r>
      <w:r>
        <w:rPr>
          <w:b/>
        </w:rPr>
        <w:t xml:space="preserve"> 2: Odborná kvalifikace </w:t>
      </w:r>
      <w:r w:rsidR="00C75EFF" w:rsidRPr="00322A54">
        <w:rPr>
          <w:b/>
        </w:rPr>
        <w:t>pedagogických pracovníků</w:t>
      </w:r>
      <w:r w:rsidR="00C75EFF">
        <w:rPr>
          <w:b/>
        </w:rPr>
        <w:t xml:space="preserve"> (v přepočtených úvazcích)</w:t>
      </w:r>
    </w:p>
    <w:p w:rsidR="00C75EFF" w:rsidRPr="00111186" w:rsidRDefault="00AB762E" w:rsidP="00C75EFF">
      <w:pPr>
        <w:jc w:val="center"/>
      </w:pPr>
      <w:r>
        <w:rPr>
          <w:noProof/>
        </w:rPr>
        <w:drawing>
          <wp:inline distT="0" distB="0" distL="0" distR="0" wp14:anchorId="4EE2E4AE" wp14:editId="716BCA7D">
            <wp:extent cx="3676650" cy="2276475"/>
            <wp:effectExtent l="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75EFF" w:rsidRDefault="00C75EFF" w:rsidP="00C75EFF">
      <w:pPr>
        <w:jc w:val="both"/>
      </w:pPr>
      <w:r>
        <w:rPr>
          <w:noProof/>
        </w:rPr>
        <mc:AlternateContent>
          <mc:Choice Requires="wps">
            <w:drawing>
              <wp:anchor distT="0" distB="0" distL="114300" distR="114300" simplePos="0" relativeHeight="251659264" behindDoc="0" locked="0" layoutInCell="1" allowOverlap="1" wp14:anchorId="6207C10A" wp14:editId="5E858754">
                <wp:simplePos x="0" y="0"/>
                <wp:positionH relativeFrom="column">
                  <wp:posOffset>223520</wp:posOffset>
                </wp:positionH>
                <wp:positionV relativeFrom="paragraph">
                  <wp:posOffset>36195</wp:posOffset>
                </wp:positionV>
                <wp:extent cx="4343400" cy="3228975"/>
                <wp:effectExtent l="0" t="1905" r="0" b="0"/>
                <wp:wrapNone/>
                <wp:docPr id="17" name="Obdélník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4340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7" o:spid="_x0000_s1026" style="position:absolute;margin-left:17.6pt;margin-top:2.85pt;width:342pt;height:2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" filled="f" stroked="f">
                <o:lock v:ext="edit" aspectratio="t"/>
              </v:rect>
            </w:pict>
          </mc:Fallback>
        </mc:AlternateContent>
      </w:r>
    </w:p>
    <w:p w:rsidR="00C75EFF" w:rsidRDefault="00F67A28" w:rsidP="00C75EFF">
      <w:pPr>
        <w:jc w:val="both"/>
      </w:pPr>
      <w:r>
        <w:t>Zastoupení</w:t>
      </w:r>
      <w:r w:rsidR="00BB66E8">
        <w:t xml:space="preserve"> pedagogů </w:t>
      </w:r>
      <w:r>
        <w:t xml:space="preserve">s odbornou kvalifikací </w:t>
      </w:r>
      <w:r w:rsidR="00BB66E8">
        <w:t xml:space="preserve">bylo na </w:t>
      </w:r>
      <w:r w:rsidR="00062160">
        <w:t>vysoké úrovni (9</w:t>
      </w:r>
      <w:r w:rsidR="009E3A80">
        <w:t>5</w:t>
      </w:r>
      <w:r w:rsidR="00062160">
        <w:t>,</w:t>
      </w:r>
      <w:r w:rsidR="00AB762E">
        <w:t>59</w:t>
      </w:r>
      <w:r>
        <w:t xml:space="preserve"> %</w:t>
      </w:r>
      <w:r w:rsidR="00BB66E8">
        <w:t>)</w:t>
      </w:r>
      <w:r w:rsidR="000D26CB">
        <w:t xml:space="preserve">, což je patrné z grafu č. </w:t>
      </w:r>
      <w:r w:rsidR="00E2145E">
        <w:t>2</w:t>
      </w:r>
      <w:r w:rsidR="00BB66E8">
        <w:t>.</w:t>
      </w:r>
      <w:r w:rsidR="00C75EFF">
        <w:t xml:space="preserve"> Tradičně nejvyšší podíly zcela kvalifikovaných pedagogů vykazovala gy</w:t>
      </w:r>
      <w:r w:rsidR="00B0621F">
        <w:t>mnázia. Bez odborné kvalifikace</w:t>
      </w:r>
      <w:r w:rsidR="00C75EFF">
        <w:t xml:space="preserve"> působilo ve středníc</w:t>
      </w:r>
      <w:r w:rsidR="00BB66E8">
        <w:t xml:space="preserve">h a </w:t>
      </w:r>
      <w:r w:rsidR="00062160">
        <w:t xml:space="preserve">vyšších odborných školách </w:t>
      </w:r>
      <w:r w:rsidR="009E3A80">
        <w:t>4</w:t>
      </w:r>
      <w:r w:rsidR="00062160">
        <w:t>,</w:t>
      </w:r>
      <w:r w:rsidR="00AB762E">
        <w:t>41</w:t>
      </w:r>
      <w:r>
        <w:t xml:space="preserve"> %</w:t>
      </w:r>
      <w:r w:rsidR="00C75EFF">
        <w:t xml:space="preserve"> pedagogů</w:t>
      </w:r>
      <w:r w:rsidR="00BB66E8">
        <w:t xml:space="preserve"> (oprot</w:t>
      </w:r>
      <w:r w:rsidR="00CF00C9">
        <w:t>i předchozímu školnímu roku</w:t>
      </w:r>
      <w:r w:rsidR="00BB66E8">
        <w:t xml:space="preserve"> </w:t>
      </w:r>
      <w:r w:rsidR="00AB762E">
        <w:t>však</w:t>
      </w:r>
      <w:r w:rsidR="00285F0E">
        <w:t xml:space="preserve"> </w:t>
      </w:r>
      <w:r w:rsidR="00062160">
        <w:t>došlo k</w:t>
      </w:r>
      <w:r w:rsidR="00AB762E">
        <w:t> mírnému nárůstu</w:t>
      </w:r>
      <w:r w:rsidR="00BB66E8">
        <w:t>)</w:t>
      </w:r>
      <w:r w:rsidR="00C75EFF">
        <w:t xml:space="preserve">. </w:t>
      </w:r>
      <w:r w:rsidR="00BB66E8">
        <w:t xml:space="preserve">Z předložených dat lze </w:t>
      </w:r>
      <w:r w:rsidR="00C75EFF">
        <w:t>konstatovat, že ve srovnání s předchozím školním rokem došlo ve způsobilosti pedagogick</w:t>
      </w:r>
      <w:r w:rsidR="00BB66E8">
        <w:t xml:space="preserve">ých pracovníků k mírnému </w:t>
      </w:r>
      <w:r w:rsidR="00AB762E">
        <w:t>poklesu</w:t>
      </w:r>
      <w:r w:rsidR="001F217A">
        <w:t>.</w:t>
      </w:r>
    </w:p>
    <w:p w:rsidR="00C75EFF" w:rsidRDefault="00C75EFF" w:rsidP="00C75EFF">
      <w:pPr>
        <w:jc w:val="both"/>
      </w:pPr>
    </w:p>
    <w:p w:rsidR="00C75EFF" w:rsidRDefault="00C75EFF" w:rsidP="00C75EFF">
      <w:pPr>
        <w:jc w:val="both"/>
      </w:pPr>
    </w:p>
    <w:p w:rsidR="00C75EFF" w:rsidRPr="007C558E" w:rsidRDefault="00C75EFF" w:rsidP="00C75EFF">
      <w:pPr>
        <w:jc w:val="both"/>
        <w:rPr>
          <w:b/>
        </w:rPr>
      </w:pPr>
      <w:r>
        <w:rPr>
          <w:b/>
        </w:rPr>
        <w:t>Graf</w:t>
      </w:r>
      <w:r w:rsidR="000D26CB">
        <w:rPr>
          <w:b/>
        </w:rPr>
        <w:t xml:space="preserve"> č.</w:t>
      </w:r>
      <w:r>
        <w:rPr>
          <w:b/>
        </w:rPr>
        <w:t xml:space="preserve"> 3: Kvalifikovanost pedagogických pracovníků vykonávající specializované činnosti</w:t>
      </w:r>
    </w:p>
    <w:p w:rsidR="00C75EFF" w:rsidRPr="003A54A1" w:rsidRDefault="00A06FDB" w:rsidP="00C75EFF">
      <w:pPr>
        <w:jc w:val="center"/>
      </w:pPr>
      <w:r>
        <w:rPr>
          <w:noProof/>
        </w:rPr>
        <w:drawing>
          <wp:inline distT="0" distB="0" distL="0" distR="0" wp14:anchorId="611160A9" wp14:editId="513FB944">
            <wp:extent cx="5759450" cy="3076891"/>
            <wp:effectExtent l="0" t="0" r="0" b="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5EFF" w:rsidRDefault="00C75EFF" w:rsidP="00C75EFF">
      <w:pPr>
        <w:jc w:val="both"/>
        <w:rPr>
          <w:highlight w:val="yellow"/>
        </w:rPr>
      </w:pPr>
    </w:p>
    <w:p w:rsidR="00A3303C" w:rsidRDefault="00C75EFF" w:rsidP="00C75EFF">
      <w:pPr>
        <w:jc w:val="both"/>
      </w:pPr>
      <w:r>
        <w:t>Přehled kvalifikovanosti pedagogů, kteří vykonávají specializované činnosti na základě vyhlášky č</w:t>
      </w:r>
      <w:r w:rsidRPr="004B32FC">
        <w:t>. 317/2005 Sb., o dalším vz</w:t>
      </w:r>
      <w:r w:rsidRPr="00A71FC6">
        <w:t>dělávání pedagogických pracovníků</w:t>
      </w:r>
      <w:r w:rsidR="004B32FC">
        <w:t xml:space="preserve">, </w:t>
      </w:r>
      <w:r w:rsidR="004B32FC" w:rsidRPr="004B32FC">
        <w:t>akreditační komisi a kariérním systému pedagogických pracovníků</w:t>
      </w:r>
      <w:r w:rsidRPr="00A71FC6">
        <w:t xml:space="preserve">, </w:t>
      </w:r>
      <w:r w:rsidR="00927386">
        <w:t xml:space="preserve">ve znění pozdějších předpisů, </w:t>
      </w:r>
      <w:r>
        <w:t>uvádí graf č. 3. Je patrné, že nejvyšší</w:t>
      </w:r>
      <w:r w:rsidR="002513F1">
        <w:t>ho %</w:t>
      </w:r>
      <w:r>
        <w:t xml:space="preserve"> kvalifikovano</w:t>
      </w:r>
      <w:r w:rsidR="007F0810">
        <w:t xml:space="preserve">sti dosáhli ve školním roce </w:t>
      </w:r>
      <w:r w:rsidR="00831A04">
        <w:t>201</w:t>
      </w:r>
      <w:r w:rsidR="00A06FDB">
        <w:t>6/2017</w:t>
      </w:r>
      <w:r w:rsidR="007F0810">
        <w:t xml:space="preserve"> </w:t>
      </w:r>
      <w:r w:rsidR="003F4B62">
        <w:t xml:space="preserve">školní </w:t>
      </w:r>
      <w:r w:rsidR="003F4B62">
        <w:lastRenderedPageBreak/>
        <w:t>psychologové</w:t>
      </w:r>
      <w:r w:rsidR="00A3303C">
        <w:t xml:space="preserve"> a školní speciální pedagogové</w:t>
      </w:r>
      <w:r w:rsidR="003F4B62">
        <w:t>, a to 100,00</w:t>
      </w:r>
      <w:r w:rsidR="00F67A28">
        <w:t xml:space="preserve"> %</w:t>
      </w:r>
      <w:r>
        <w:t xml:space="preserve">. Oproti předchozímu školnímu roku došlo ke </w:t>
      </w:r>
      <w:r w:rsidR="00831A04">
        <w:t>snížení</w:t>
      </w:r>
      <w:r>
        <w:t xml:space="preserve"> k</w:t>
      </w:r>
      <w:r w:rsidR="006A071B">
        <w:t xml:space="preserve">valifikovanosti </w:t>
      </w:r>
      <w:r w:rsidR="006251C5">
        <w:t>ve</w:t>
      </w:r>
      <w:r w:rsidR="00A3303C">
        <w:t xml:space="preserve"> </w:t>
      </w:r>
      <w:r w:rsidR="00831A04">
        <w:t>všech ostatních sledov</w:t>
      </w:r>
      <w:r w:rsidR="004733FA">
        <w:t>aných specializovaných činnost</w:t>
      </w:r>
      <w:r w:rsidR="007F0B0D">
        <w:t>ech</w:t>
      </w:r>
      <w:r w:rsidR="004733FA">
        <w:t xml:space="preserve"> vyjma kategorie školní metodik prevence.</w:t>
      </w:r>
    </w:p>
    <w:p w:rsidR="00A3303C" w:rsidRDefault="00A3303C" w:rsidP="00C75EFF">
      <w:pPr>
        <w:jc w:val="both"/>
      </w:pPr>
    </w:p>
    <w:p w:rsidR="00C75EFF" w:rsidRPr="00A71FC6" w:rsidRDefault="00A3303C" w:rsidP="00C75EFF">
      <w:pPr>
        <w:jc w:val="both"/>
      </w:pPr>
      <w:r>
        <w:t>N</w:t>
      </w:r>
      <w:r w:rsidR="00C75EFF">
        <w:t>ejnižší kvalifikovanosti dosahovali, tak jako v předchozím školním roce, koordi</w:t>
      </w:r>
      <w:r w:rsidR="006A071B">
        <w:t xml:space="preserve">nátoři environmentální výchovy. Nízká kvalifikovanost v této skupině je dlouhodobá. </w:t>
      </w:r>
      <w:r w:rsidR="002D6063">
        <w:t>T</w:t>
      </w:r>
      <w:r w:rsidR="006A071B">
        <w:t>ato kategorie</w:t>
      </w:r>
      <w:r w:rsidR="00C75EFF">
        <w:t xml:space="preserve"> zaznamenal</w:t>
      </w:r>
      <w:r w:rsidR="006A071B">
        <w:t>a</w:t>
      </w:r>
      <w:r w:rsidR="00C75EFF">
        <w:t xml:space="preserve"> oproti předcho</w:t>
      </w:r>
      <w:r w:rsidR="006A071B">
        <w:t>zímu školn</w:t>
      </w:r>
      <w:r w:rsidR="002D6063">
        <w:t xml:space="preserve">ímu roku mírný </w:t>
      </w:r>
      <w:r w:rsidR="000D44CD">
        <w:t>nárůst kvalifikace.</w:t>
      </w:r>
    </w:p>
    <w:p w:rsidR="00C75EFF" w:rsidRDefault="00C75EFF" w:rsidP="00C75EFF">
      <w:pPr>
        <w:jc w:val="both"/>
      </w:pPr>
    </w:p>
    <w:p w:rsidR="00C75EFF" w:rsidRPr="003D7A75" w:rsidRDefault="00C75EFF" w:rsidP="00C75EFF">
      <w:pPr>
        <w:jc w:val="both"/>
      </w:pPr>
      <w:r w:rsidRPr="003D7A75">
        <w:t>Vydávání správních rozhodnutí v oblasti vzdělávání patří k významným a rozsáhlým agendám</w:t>
      </w:r>
      <w:r>
        <w:t xml:space="preserve"> ředitelů škol</w:t>
      </w:r>
      <w:r w:rsidRPr="003D7A75">
        <w:t>.</w:t>
      </w:r>
      <w:r>
        <w:t xml:space="preserve"> </w:t>
      </w:r>
      <w:r w:rsidRPr="003D7A75">
        <w:t xml:space="preserve">Největší podíl na </w:t>
      </w:r>
      <w:r>
        <w:t xml:space="preserve">všech </w:t>
      </w:r>
      <w:r w:rsidR="00A04F55">
        <w:t xml:space="preserve">téměř </w:t>
      </w:r>
      <w:r w:rsidR="00E02699">
        <w:t>10</w:t>
      </w:r>
      <w:r w:rsidR="00133EE4">
        <w:t xml:space="preserve"> tis. rozhodnutí</w:t>
      </w:r>
      <w:r w:rsidR="00756135">
        <w:t>ch</w:t>
      </w:r>
      <w:r w:rsidRPr="003D7A75">
        <w:t xml:space="preserve"> vydaných řediteli středních a vyšších odb</w:t>
      </w:r>
      <w:r w:rsidR="00133EE4">
        <w:t>orných škol ve š</w:t>
      </w:r>
      <w:r w:rsidR="00E02699">
        <w:t>kolním roce 2016/2017</w:t>
      </w:r>
      <w:r w:rsidR="00E473BA">
        <w:t> </w:t>
      </w:r>
      <w:r w:rsidRPr="003D7A75">
        <w:t>tvořila rozhodnutí o přijetí</w:t>
      </w:r>
      <w:r>
        <w:t xml:space="preserve"> </w:t>
      </w:r>
      <w:r>
        <w:br/>
        <w:t>a nepřijetí</w:t>
      </w:r>
      <w:r w:rsidRPr="003D7A75">
        <w:t xml:space="preserve"> do 1. roční</w:t>
      </w:r>
      <w:r>
        <w:t>ků</w:t>
      </w:r>
      <w:r w:rsidRPr="003D7A75">
        <w:t xml:space="preserve"> středních škol</w:t>
      </w:r>
      <w:r w:rsidR="009F7112">
        <w:t xml:space="preserve"> (graf č. 4)</w:t>
      </w:r>
      <w:r>
        <w:t>.</w:t>
      </w:r>
      <w:r w:rsidRPr="003D7A75">
        <w:t xml:space="preserve"> </w:t>
      </w:r>
    </w:p>
    <w:p w:rsidR="00C75EFF" w:rsidRDefault="00C75EFF" w:rsidP="00C75EFF">
      <w:pPr>
        <w:jc w:val="both"/>
      </w:pPr>
    </w:p>
    <w:p w:rsidR="00BE00D6" w:rsidRDefault="00BE00D6" w:rsidP="00C75EFF">
      <w:pPr>
        <w:jc w:val="both"/>
      </w:pPr>
    </w:p>
    <w:p w:rsidR="00C75EFF" w:rsidRPr="007C558E" w:rsidRDefault="00C75EFF" w:rsidP="00C75EFF">
      <w:pPr>
        <w:jc w:val="both"/>
        <w:rPr>
          <w:b/>
        </w:rPr>
      </w:pPr>
      <w:r>
        <w:rPr>
          <w:b/>
        </w:rPr>
        <w:t>Graf</w:t>
      </w:r>
      <w:r w:rsidR="000D26CB">
        <w:rPr>
          <w:b/>
        </w:rPr>
        <w:t xml:space="preserve"> č.</w:t>
      </w:r>
      <w:r>
        <w:rPr>
          <w:b/>
        </w:rPr>
        <w:t xml:space="preserve"> 4: </w:t>
      </w:r>
      <w:r w:rsidRPr="00A55B2F">
        <w:rPr>
          <w:b/>
        </w:rPr>
        <w:t>Správní</w:t>
      </w:r>
      <w:r w:rsidRPr="007C558E">
        <w:rPr>
          <w:b/>
        </w:rPr>
        <w:t xml:space="preserve"> rozhodnutí </w:t>
      </w:r>
      <w:r>
        <w:rPr>
          <w:b/>
        </w:rPr>
        <w:t>vztahující se k přijímacímu řízení</w:t>
      </w:r>
    </w:p>
    <w:p w:rsidR="00C75EFF" w:rsidRDefault="00C75EFF" w:rsidP="00C75EFF">
      <w:pPr>
        <w:jc w:val="both"/>
      </w:pPr>
    </w:p>
    <w:p w:rsidR="00C75EFF" w:rsidRDefault="00AD42F4" w:rsidP="00C75EFF">
      <w:pPr>
        <w:jc w:val="center"/>
      </w:pPr>
      <w:r>
        <w:rPr>
          <w:noProof/>
        </w:rPr>
        <w:drawing>
          <wp:inline distT="0" distB="0" distL="0" distR="0" wp14:anchorId="62C6F584" wp14:editId="05C5B959">
            <wp:extent cx="4657725" cy="4333875"/>
            <wp:effectExtent l="0" t="0" r="0" b="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5EFF" w:rsidRPr="005F454D" w:rsidRDefault="00C75EFF" w:rsidP="00C75EFF">
      <w:pPr>
        <w:jc w:val="center"/>
      </w:pPr>
    </w:p>
    <w:p w:rsidR="004018AE" w:rsidRDefault="00D55B03" w:rsidP="00C75EFF">
      <w:pPr>
        <w:jc w:val="both"/>
      </w:pPr>
      <w:r>
        <w:t xml:space="preserve">Rozhodování </w:t>
      </w:r>
      <w:r w:rsidR="005A5FA0">
        <w:t xml:space="preserve">ředitelů středních škol </w:t>
      </w:r>
      <w:r w:rsidR="00C75EFF" w:rsidRPr="00E865CD">
        <w:t>v oblasti přijímacího ří</w:t>
      </w:r>
      <w:r w:rsidR="00C75EFF">
        <w:t>zení ke vzdělávání do 1. ročníků</w:t>
      </w:r>
      <w:r w:rsidR="00C75EFF" w:rsidRPr="00E865CD">
        <w:t xml:space="preserve"> </w:t>
      </w:r>
      <w:r w:rsidR="00C75EFF">
        <w:t>středních š</w:t>
      </w:r>
      <w:r w:rsidR="009F7112">
        <w:t>kol tvoří nejrozsáhlejší agendu. Z</w:t>
      </w:r>
      <w:r w:rsidR="00C75EFF">
        <w:t>ejména roz</w:t>
      </w:r>
      <w:r>
        <w:t xml:space="preserve">hodnutí vydaná ředitelem školy </w:t>
      </w:r>
      <w:r w:rsidR="00C75EFF">
        <w:t>po prvním kole přijímacího řízení</w:t>
      </w:r>
      <w:r w:rsidR="005A5FA0">
        <w:t xml:space="preserve"> zaujímají</w:t>
      </w:r>
      <w:r w:rsidR="009F7112">
        <w:t xml:space="preserve"> největší podíl</w:t>
      </w:r>
      <w:r w:rsidR="00C75EFF">
        <w:t xml:space="preserve">. </w:t>
      </w:r>
      <w:r w:rsidR="004F4F2E">
        <w:t>Ředi</w:t>
      </w:r>
      <w:r w:rsidR="00360524">
        <w:t xml:space="preserve">telé středních škol vydali </w:t>
      </w:r>
      <w:r w:rsidR="00AD42F4">
        <w:t>ve školním roce 2016/2017</w:t>
      </w:r>
      <w:r w:rsidR="004018AE">
        <w:t xml:space="preserve"> </w:t>
      </w:r>
      <w:r w:rsidR="00AD42F4">
        <w:t>5</w:t>
      </w:r>
      <w:r w:rsidR="00360524">
        <w:t xml:space="preserve"> </w:t>
      </w:r>
      <w:r w:rsidR="00AD42F4">
        <w:t>223</w:t>
      </w:r>
      <w:r>
        <w:t xml:space="preserve"> rozhodnutí o přijetí </w:t>
      </w:r>
      <w:r w:rsidR="00C75EFF">
        <w:t xml:space="preserve">po prvním kole přijímacího řízení </w:t>
      </w:r>
      <w:r w:rsidR="00360524">
        <w:t xml:space="preserve">(z toho </w:t>
      </w:r>
      <w:r w:rsidR="00AD42F4">
        <w:t>595</w:t>
      </w:r>
      <w:r w:rsidR="00C75EFF">
        <w:t xml:space="preserve"> autoremedur</w:t>
      </w:r>
      <w:r w:rsidR="004F4F2E">
        <w:t>)</w:t>
      </w:r>
      <w:r w:rsidR="00C75EFF" w:rsidRPr="003D7A75">
        <w:t xml:space="preserve">, </w:t>
      </w:r>
      <w:r w:rsidR="00360524">
        <w:t>což představuje 6</w:t>
      </w:r>
      <w:r w:rsidR="004018AE">
        <w:t>5</w:t>
      </w:r>
      <w:r w:rsidR="00360524">
        <w:t>,</w:t>
      </w:r>
      <w:r w:rsidR="00C63A59">
        <w:t>10</w:t>
      </w:r>
      <w:r w:rsidR="00F67A28">
        <w:t xml:space="preserve"> %</w:t>
      </w:r>
      <w:r w:rsidR="00C75EFF">
        <w:t xml:space="preserve"> z celkového počtu rozhodnutí, která se týkala přijí</w:t>
      </w:r>
      <w:r w:rsidR="00620F15">
        <w:t xml:space="preserve">macího řízení. Bylo vydáno </w:t>
      </w:r>
      <w:r w:rsidR="00C63A59">
        <w:t>2</w:t>
      </w:r>
      <w:r w:rsidR="00620F15">
        <w:t xml:space="preserve"> </w:t>
      </w:r>
      <w:r w:rsidR="00C63A59">
        <w:t>019</w:t>
      </w:r>
      <w:r w:rsidR="00C75EFF">
        <w:t xml:space="preserve"> rozhodnutí o nepřijetí po prvním kole přijímacího řízení, což představuj</w:t>
      </w:r>
      <w:r w:rsidR="00620F15">
        <w:t>e podíl 2</w:t>
      </w:r>
      <w:r w:rsidR="004018AE">
        <w:t>2,</w:t>
      </w:r>
      <w:r w:rsidR="00C63A59">
        <w:t>59</w:t>
      </w:r>
      <w:r w:rsidR="00F67A28">
        <w:t xml:space="preserve"> %</w:t>
      </w:r>
      <w:r w:rsidR="00C75EFF" w:rsidRPr="00E865CD">
        <w:t xml:space="preserve">. </w:t>
      </w:r>
      <w:r w:rsidR="00C63A59">
        <w:t>Ve srovnání s</w:t>
      </w:r>
      <w:r w:rsidR="00C75EFF">
        <w:t xml:space="preserve"> předchozím školním </w:t>
      </w:r>
      <w:r w:rsidR="00C63A59">
        <w:t>rokem</w:t>
      </w:r>
      <w:r w:rsidR="0077597A">
        <w:t xml:space="preserve"> te</w:t>
      </w:r>
      <w:r w:rsidR="00C75EFF">
        <w:t xml:space="preserve">dy ředitelé středních škol vydali </w:t>
      </w:r>
      <w:r w:rsidR="004018AE">
        <w:t>téměř shodný počet rozhodnutí o přijetí a nepřijetí ke vzdělávání ve střední škole.</w:t>
      </w:r>
    </w:p>
    <w:p w:rsidR="004018AE" w:rsidRDefault="004018AE" w:rsidP="00C75EFF">
      <w:pPr>
        <w:jc w:val="both"/>
      </w:pPr>
    </w:p>
    <w:p w:rsidR="004F4F2E" w:rsidRDefault="009D7274" w:rsidP="00C75EFF">
      <w:pPr>
        <w:jc w:val="both"/>
      </w:pPr>
      <w:r>
        <w:lastRenderedPageBreak/>
        <w:t>Mno</w:t>
      </w:r>
      <w:r w:rsidR="00E87FB7">
        <w:t>žství, resp. hodnota představující</w:t>
      </w:r>
      <w:r>
        <w:t xml:space="preserve"> vydaná</w:t>
      </w:r>
      <w:r w:rsidR="006B6089">
        <w:t xml:space="preserve"> rozhodnutí </w:t>
      </w:r>
      <w:r>
        <w:t>je dána zákonným postupem v rámci přijímacího řízení ke vzdělávání ve středních školách, tedy tím, že si uchazeči moh</w:t>
      </w:r>
      <w:r w:rsidR="00940E14">
        <w:t>ou</w:t>
      </w:r>
      <w:r>
        <w:t xml:space="preserve"> podat až 2 přihlášky </w:t>
      </w:r>
      <w:r w:rsidR="00940E14">
        <w:t xml:space="preserve">do prvního kola </w:t>
      </w:r>
      <w:r>
        <w:t xml:space="preserve">(tzn., že ředitelé škol vydají každému uchazeči až </w:t>
      </w:r>
      <w:r w:rsidR="001F1341">
        <w:br/>
      </w:r>
      <w:r>
        <w:t xml:space="preserve">2 rozhodnutí). </w:t>
      </w:r>
    </w:p>
    <w:p w:rsidR="004F4F2E" w:rsidRDefault="004F4F2E" w:rsidP="00C75EFF">
      <w:pPr>
        <w:jc w:val="both"/>
      </w:pPr>
    </w:p>
    <w:p w:rsidR="00720900" w:rsidRPr="00E865CD" w:rsidRDefault="00720900" w:rsidP="00C75EFF">
      <w:pPr>
        <w:jc w:val="both"/>
      </w:pPr>
    </w:p>
    <w:p w:rsidR="00C75EFF" w:rsidRPr="007C558E" w:rsidRDefault="00C75EFF" w:rsidP="00C75EFF">
      <w:pPr>
        <w:jc w:val="both"/>
        <w:rPr>
          <w:b/>
        </w:rPr>
      </w:pPr>
      <w:r>
        <w:rPr>
          <w:b/>
        </w:rPr>
        <w:t>Graf</w:t>
      </w:r>
      <w:r w:rsidR="000D26CB">
        <w:rPr>
          <w:b/>
        </w:rPr>
        <w:t xml:space="preserve"> č.</w:t>
      </w:r>
      <w:r>
        <w:rPr>
          <w:b/>
        </w:rPr>
        <w:t xml:space="preserve"> 5</w:t>
      </w:r>
      <w:r w:rsidRPr="00A058AC">
        <w:rPr>
          <w:b/>
        </w:rPr>
        <w:t>: Ostatní rozhodnutí</w:t>
      </w:r>
      <w:r w:rsidRPr="007C558E">
        <w:rPr>
          <w:b/>
        </w:rPr>
        <w:t xml:space="preserve"> vydaná </w:t>
      </w:r>
      <w:r w:rsidR="00762589">
        <w:rPr>
          <w:b/>
        </w:rPr>
        <w:t>ředitelem školy</w:t>
      </w:r>
    </w:p>
    <w:p w:rsidR="00C75EFF" w:rsidRPr="00166011" w:rsidRDefault="008F450B" w:rsidP="00C75EFF">
      <w:pPr>
        <w:jc w:val="center"/>
      </w:pPr>
      <w:r>
        <w:rPr>
          <w:noProof/>
        </w:rPr>
        <w:drawing>
          <wp:inline distT="0" distB="0" distL="0" distR="0" wp14:anchorId="400C88AC" wp14:editId="3BE412D0">
            <wp:extent cx="4495800" cy="3914775"/>
            <wp:effectExtent l="0" t="0" r="0" b="0"/>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5EFF" w:rsidRPr="00D7178A" w:rsidRDefault="00C75EFF" w:rsidP="00C75EFF">
      <w:pPr>
        <w:jc w:val="center"/>
      </w:pPr>
    </w:p>
    <w:p w:rsidR="00C75EFF" w:rsidRDefault="00C75EFF" w:rsidP="00C75EFF">
      <w:pPr>
        <w:jc w:val="both"/>
      </w:pPr>
      <w:r w:rsidRPr="00A058AC">
        <w:t xml:space="preserve">Počet ostatních rozhodnutí ani zdaleka netvoří </w:t>
      </w:r>
      <w:r>
        <w:t>takovou část správních činností, jakou představuje přijímací řízení</w:t>
      </w:r>
      <w:r w:rsidR="00762589">
        <w:t>. Přehled vydaných rozhodnutí zachycuje graf č. 5</w:t>
      </w:r>
      <w:r>
        <w:t>. Největší podíl na ostatních rozhodnutích zaujímá rozhod</w:t>
      </w:r>
      <w:r w:rsidR="00A76271">
        <w:t xml:space="preserve">ování o </w:t>
      </w:r>
      <w:r w:rsidR="008F450B">
        <w:t>přestupu do jiné školy</w:t>
      </w:r>
      <w:r w:rsidR="00A76271">
        <w:t xml:space="preserve"> (2</w:t>
      </w:r>
      <w:r w:rsidR="00FA126E">
        <w:t>5</w:t>
      </w:r>
      <w:r w:rsidR="00A76271">
        <w:t>,</w:t>
      </w:r>
      <w:r w:rsidR="008F450B">
        <w:t>90</w:t>
      </w:r>
      <w:r w:rsidR="00F67A28">
        <w:t>%</w:t>
      </w:r>
      <w:r w:rsidR="00FF620E">
        <w:t xml:space="preserve">), což </w:t>
      </w:r>
      <w:r w:rsidR="00A76271">
        <w:t xml:space="preserve">představuje </w:t>
      </w:r>
      <w:r w:rsidR="008F450B">
        <w:t>v této kategorii vyšší</w:t>
      </w:r>
      <w:r w:rsidR="00A76271">
        <w:t xml:space="preserve"> hodnotu</w:t>
      </w:r>
      <w:r w:rsidR="00FF620E">
        <w:t xml:space="preserve"> </w:t>
      </w:r>
      <w:r w:rsidR="00A76271">
        <w:t>než</w:t>
      </w:r>
      <w:r>
        <w:t xml:space="preserve"> v předchozím školním roce. Druh</w:t>
      </w:r>
      <w:r w:rsidR="00FF620E">
        <w:t xml:space="preserve">ou nejvíce zastoupenou kategorii </w:t>
      </w:r>
      <w:r w:rsidR="00E95113">
        <w:t xml:space="preserve">pak </w:t>
      </w:r>
      <w:r w:rsidR="00FF620E">
        <w:t xml:space="preserve">představují </w:t>
      </w:r>
      <w:r>
        <w:t xml:space="preserve">rozhodnutí o </w:t>
      </w:r>
      <w:r w:rsidR="008F450B">
        <w:t>opakování ročníku</w:t>
      </w:r>
      <w:r w:rsidR="00A76271">
        <w:t xml:space="preserve">, a to </w:t>
      </w:r>
      <w:r w:rsidR="00FA126E">
        <w:t>24,</w:t>
      </w:r>
      <w:r w:rsidR="008F450B">
        <w:t>91</w:t>
      </w:r>
      <w:r w:rsidR="00F67A28">
        <w:t xml:space="preserve"> %</w:t>
      </w:r>
      <w:r>
        <w:t>.</w:t>
      </w:r>
      <w:r w:rsidR="00FF620E">
        <w:t xml:space="preserve"> </w:t>
      </w:r>
      <w:r w:rsidR="008F450B">
        <w:t>Tyto dvě kategorie vykazovaly nejvyšší zastoupení i v předchozích letech.</w:t>
      </w:r>
    </w:p>
    <w:p w:rsidR="00E33819" w:rsidRDefault="00E33819" w:rsidP="00C75EFF">
      <w:pPr>
        <w:jc w:val="both"/>
      </w:pPr>
    </w:p>
    <w:p w:rsidR="00C75EFF" w:rsidRDefault="000815B6" w:rsidP="00C75EFF">
      <w:pPr>
        <w:jc w:val="both"/>
      </w:pPr>
      <w:r>
        <w:t>Ch</w:t>
      </w:r>
      <w:r w:rsidR="00C75EFF" w:rsidRPr="0066183F">
        <w:t>ování žáků významně ovlivňuje proces vzdělávání a je jeho nedílnou součástí. Z výročních zpráv vyplývá, že především školy poskytující střední vzdělání s výučním listem mají s žáky častější výchovné problémy.</w:t>
      </w:r>
      <w:r w:rsidR="00C75EFF">
        <w:t xml:space="preserve"> </w:t>
      </w:r>
      <w:r>
        <w:t>Přehled výchovných opatření v členění podle pololetí je znázorněn v grafu č. 6.</w:t>
      </w:r>
    </w:p>
    <w:p w:rsidR="00C75EFF" w:rsidRPr="00A058AC" w:rsidRDefault="00C75EFF" w:rsidP="00C75EFF">
      <w:pPr>
        <w:jc w:val="both"/>
      </w:pPr>
    </w:p>
    <w:p w:rsidR="00017934" w:rsidRDefault="00017934" w:rsidP="00C75EFF">
      <w:pPr>
        <w:jc w:val="both"/>
        <w:rPr>
          <w:b/>
        </w:rPr>
      </w:pPr>
    </w:p>
    <w:p w:rsidR="000815B6" w:rsidRDefault="000815B6" w:rsidP="00C75EFF">
      <w:pPr>
        <w:jc w:val="both"/>
        <w:rPr>
          <w:b/>
        </w:rPr>
      </w:pPr>
    </w:p>
    <w:p w:rsidR="000815B6" w:rsidRDefault="000815B6" w:rsidP="00C75EFF">
      <w:pPr>
        <w:jc w:val="both"/>
        <w:rPr>
          <w:b/>
        </w:rPr>
      </w:pPr>
    </w:p>
    <w:p w:rsidR="000815B6" w:rsidRDefault="000815B6" w:rsidP="00C75EFF">
      <w:pPr>
        <w:jc w:val="both"/>
        <w:rPr>
          <w:b/>
        </w:rPr>
      </w:pPr>
    </w:p>
    <w:p w:rsidR="000815B6" w:rsidRDefault="000815B6" w:rsidP="00C75EFF">
      <w:pPr>
        <w:jc w:val="both"/>
        <w:rPr>
          <w:b/>
        </w:rPr>
      </w:pPr>
    </w:p>
    <w:p w:rsidR="006A5455" w:rsidRDefault="006A5455" w:rsidP="00C75EFF">
      <w:pPr>
        <w:jc w:val="both"/>
        <w:rPr>
          <w:b/>
        </w:rPr>
      </w:pPr>
    </w:p>
    <w:p w:rsidR="006A5455" w:rsidRDefault="006A5455" w:rsidP="00C75EFF">
      <w:pPr>
        <w:jc w:val="both"/>
        <w:rPr>
          <w:b/>
        </w:rPr>
      </w:pPr>
    </w:p>
    <w:p w:rsidR="006A5455" w:rsidRDefault="006A5455" w:rsidP="00C75EFF">
      <w:pPr>
        <w:jc w:val="both"/>
        <w:rPr>
          <w:b/>
        </w:rPr>
      </w:pPr>
    </w:p>
    <w:p w:rsidR="006A5455" w:rsidRDefault="006A5455" w:rsidP="00C75EFF">
      <w:pPr>
        <w:jc w:val="both"/>
        <w:rPr>
          <w:b/>
        </w:rPr>
      </w:pPr>
    </w:p>
    <w:p w:rsidR="00C75EFF" w:rsidRDefault="00C75EFF" w:rsidP="00C75EFF">
      <w:pPr>
        <w:jc w:val="both"/>
        <w:rPr>
          <w:b/>
        </w:rPr>
      </w:pPr>
      <w:r>
        <w:rPr>
          <w:b/>
        </w:rPr>
        <w:lastRenderedPageBreak/>
        <w:t>Graf</w:t>
      </w:r>
      <w:r w:rsidR="000D26CB">
        <w:rPr>
          <w:b/>
        </w:rPr>
        <w:t xml:space="preserve"> č.</w:t>
      </w:r>
      <w:r>
        <w:rPr>
          <w:b/>
        </w:rPr>
        <w:t xml:space="preserve"> 6: Výchovná opatření </w:t>
      </w:r>
    </w:p>
    <w:p w:rsidR="00C75EFF" w:rsidRDefault="00C75EFF" w:rsidP="00C75EFF">
      <w:pPr>
        <w:jc w:val="both"/>
        <w:rPr>
          <w:b/>
        </w:rPr>
      </w:pPr>
    </w:p>
    <w:tbl>
      <w:tblPr>
        <w:tblW w:w="9360" w:type="dxa"/>
        <w:tblInd w:w="70" w:type="dxa"/>
        <w:tblLayout w:type="fixed"/>
        <w:tblCellMar>
          <w:left w:w="70" w:type="dxa"/>
          <w:right w:w="70" w:type="dxa"/>
        </w:tblCellMar>
        <w:tblLook w:val="01E0" w:firstRow="1" w:lastRow="1" w:firstColumn="1" w:lastColumn="1" w:noHBand="0" w:noVBand="0"/>
      </w:tblPr>
      <w:tblGrid>
        <w:gridCol w:w="4860"/>
        <w:gridCol w:w="4500"/>
      </w:tblGrid>
      <w:tr w:rsidR="00C75EFF" w:rsidRPr="0078762D" w:rsidTr="00592377">
        <w:tc>
          <w:tcPr>
            <w:tcW w:w="4860" w:type="dxa"/>
            <w:shd w:val="clear" w:color="auto" w:fill="auto"/>
          </w:tcPr>
          <w:p w:rsidR="00C75EFF" w:rsidRPr="0078762D" w:rsidRDefault="00C75EFF" w:rsidP="006B6089">
            <w:pPr>
              <w:rPr>
                <w:b/>
              </w:rPr>
            </w:pPr>
            <w:r w:rsidRPr="0078762D">
              <w:rPr>
                <w:b/>
              </w:rPr>
              <w:t>a) 1. pololetí</w:t>
            </w:r>
          </w:p>
          <w:p w:rsidR="00C75EFF" w:rsidRPr="0078762D" w:rsidRDefault="00592377" w:rsidP="006B6089">
            <w:pPr>
              <w:rPr>
                <w:b/>
              </w:rPr>
            </w:pPr>
            <w:r>
              <w:rPr>
                <w:noProof/>
              </w:rPr>
              <w:drawing>
                <wp:inline distT="0" distB="0" distL="0" distR="0" wp14:anchorId="3ABBB545" wp14:editId="4E25F234">
                  <wp:extent cx="3019425" cy="4210050"/>
                  <wp:effectExtent l="0" t="0" r="0" b="0"/>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500" w:type="dxa"/>
            <w:shd w:val="clear" w:color="auto" w:fill="auto"/>
          </w:tcPr>
          <w:p w:rsidR="00C75EFF" w:rsidRPr="0078762D" w:rsidRDefault="00C75EFF" w:rsidP="006B6089">
            <w:pPr>
              <w:rPr>
                <w:b/>
              </w:rPr>
            </w:pPr>
            <w:r w:rsidRPr="0078762D">
              <w:rPr>
                <w:b/>
              </w:rPr>
              <w:t>b) 2. pololetí</w:t>
            </w:r>
          </w:p>
          <w:p w:rsidR="00C75EFF" w:rsidRPr="0078762D" w:rsidRDefault="00592377" w:rsidP="006B6089">
            <w:pPr>
              <w:rPr>
                <w:b/>
              </w:rPr>
            </w:pPr>
            <w:r>
              <w:rPr>
                <w:noProof/>
              </w:rPr>
              <w:drawing>
                <wp:inline distT="0" distB="0" distL="0" distR="0" wp14:anchorId="4058E0B0" wp14:editId="2CB098F4">
                  <wp:extent cx="2847975" cy="4210050"/>
                  <wp:effectExtent l="0" t="0" r="0" b="0"/>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C75EFF" w:rsidTr="006B6089">
        <w:tblPrEx>
          <w:tblCellMar>
            <w:left w:w="108" w:type="dxa"/>
            <w:right w:w="108" w:type="dxa"/>
          </w:tblCellMar>
        </w:tblPrEx>
        <w:tc>
          <w:tcPr>
            <w:tcW w:w="4860" w:type="dxa"/>
            <w:shd w:val="clear" w:color="auto" w:fill="auto"/>
          </w:tcPr>
          <w:p w:rsidR="00C75EFF" w:rsidRPr="00B747DF" w:rsidRDefault="00C75EFF" w:rsidP="006B6089">
            <w:pPr>
              <w:jc w:val="center"/>
            </w:pPr>
          </w:p>
        </w:tc>
        <w:tc>
          <w:tcPr>
            <w:tcW w:w="4500" w:type="dxa"/>
            <w:shd w:val="clear" w:color="auto" w:fill="auto"/>
          </w:tcPr>
          <w:p w:rsidR="00C75EFF" w:rsidRPr="00B747DF" w:rsidRDefault="00C75EFF" w:rsidP="006B6089">
            <w:pPr>
              <w:jc w:val="center"/>
            </w:pPr>
          </w:p>
        </w:tc>
      </w:tr>
    </w:tbl>
    <w:p w:rsidR="00C75EFF" w:rsidRDefault="00C75EFF" w:rsidP="00C75EFF">
      <w:pPr>
        <w:jc w:val="both"/>
      </w:pPr>
    </w:p>
    <w:p w:rsidR="001A541A" w:rsidRDefault="00C75EFF" w:rsidP="00C75EFF">
      <w:pPr>
        <w:jc w:val="both"/>
      </w:pPr>
      <w:r>
        <w:t>Z grafu č. 6 je</w:t>
      </w:r>
      <w:r w:rsidR="001A541A">
        <w:t xml:space="preserve"> patrné, že ve školním roce 201</w:t>
      </w:r>
      <w:r w:rsidR="00FF5DBE">
        <w:t>6/2017</w:t>
      </w:r>
      <w:r>
        <w:t xml:space="preserve"> bylo uděleno více kázeňských opatření (od napomenutí po sníženou známku z chování) než pochval a jiných ocenění. Za obě p</w:t>
      </w:r>
      <w:r w:rsidR="00FF5DBE">
        <w:t>ololetí školního roku 2016/2017</w:t>
      </w:r>
      <w:r>
        <w:t xml:space="preserve"> bylo uděleno celkem</w:t>
      </w:r>
      <w:r w:rsidR="00B110A5">
        <w:t xml:space="preserve"> </w:t>
      </w:r>
      <w:r w:rsidR="006A7CC2">
        <w:t>10</w:t>
      </w:r>
      <w:r w:rsidR="001A541A">
        <w:t xml:space="preserve"> </w:t>
      </w:r>
      <w:r w:rsidR="006A7CC2">
        <w:t>796</w:t>
      </w:r>
      <w:r>
        <w:t xml:space="preserve"> výcho</w:t>
      </w:r>
      <w:r w:rsidR="006A7CC2">
        <w:t>vných opatření, z toho 4 628 pochval a jiných ocenění a 6 165 kázeňských opatření.</w:t>
      </w:r>
    </w:p>
    <w:p w:rsidR="00BE00D6" w:rsidRDefault="00BE00D6" w:rsidP="00C75EFF">
      <w:pPr>
        <w:jc w:val="both"/>
      </w:pPr>
    </w:p>
    <w:p w:rsidR="00C75EFF" w:rsidRDefault="00C75EFF" w:rsidP="00C75EFF">
      <w:pPr>
        <w:jc w:val="both"/>
        <w:rPr>
          <w:b/>
        </w:rPr>
      </w:pPr>
      <w:r>
        <w:rPr>
          <w:b/>
        </w:rPr>
        <w:t>Graf</w:t>
      </w:r>
      <w:r w:rsidR="000D26CB">
        <w:rPr>
          <w:b/>
        </w:rPr>
        <w:t xml:space="preserve"> č.</w:t>
      </w:r>
      <w:r>
        <w:rPr>
          <w:b/>
        </w:rPr>
        <w:t xml:space="preserve"> 7: Prospěch žáků </w:t>
      </w:r>
    </w:p>
    <w:p w:rsidR="00C75EFF" w:rsidRDefault="00C75EFF" w:rsidP="00C75EFF">
      <w:pPr>
        <w:jc w:val="both"/>
        <w:rPr>
          <w:b/>
        </w:rPr>
      </w:pPr>
    </w:p>
    <w:tbl>
      <w:tblPr>
        <w:tblW w:w="9480" w:type="dxa"/>
        <w:tblInd w:w="108" w:type="dxa"/>
        <w:tblLayout w:type="fixed"/>
        <w:tblLook w:val="01E0" w:firstRow="1" w:lastRow="1" w:firstColumn="1" w:lastColumn="1" w:noHBand="0" w:noVBand="0"/>
      </w:tblPr>
      <w:tblGrid>
        <w:gridCol w:w="4922"/>
        <w:gridCol w:w="4558"/>
      </w:tblGrid>
      <w:tr w:rsidR="00C75EFF" w:rsidRPr="0078762D" w:rsidTr="00181F30">
        <w:trPr>
          <w:trHeight w:val="297"/>
        </w:trPr>
        <w:tc>
          <w:tcPr>
            <w:tcW w:w="4922" w:type="dxa"/>
            <w:shd w:val="clear" w:color="auto" w:fill="auto"/>
          </w:tcPr>
          <w:p w:rsidR="00C75EFF" w:rsidRPr="0078762D" w:rsidRDefault="00C75EFF" w:rsidP="006B6089">
            <w:pPr>
              <w:rPr>
                <w:b/>
              </w:rPr>
            </w:pPr>
            <w:r w:rsidRPr="0078762D">
              <w:rPr>
                <w:b/>
              </w:rPr>
              <w:t>a) 1. pololetí</w:t>
            </w:r>
          </w:p>
        </w:tc>
        <w:tc>
          <w:tcPr>
            <w:tcW w:w="4558" w:type="dxa"/>
            <w:shd w:val="clear" w:color="auto" w:fill="auto"/>
          </w:tcPr>
          <w:p w:rsidR="00C75EFF" w:rsidRPr="0078762D" w:rsidRDefault="00C75EFF" w:rsidP="006B6089">
            <w:pPr>
              <w:rPr>
                <w:b/>
              </w:rPr>
            </w:pPr>
            <w:r w:rsidRPr="0078762D">
              <w:rPr>
                <w:b/>
              </w:rPr>
              <w:t>b) 2. pololetí</w:t>
            </w:r>
          </w:p>
        </w:tc>
      </w:tr>
      <w:tr w:rsidR="00C75EFF" w:rsidTr="00814599">
        <w:tblPrEx>
          <w:tblCellMar>
            <w:left w:w="70" w:type="dxa"/>
            <w:right w:w="70" w:type="dxa"/>
          </w:tblCellMar>
        </w:tblPrEx>
        <w:trPr>
          <w:trHeight w:val="3154"/>
        </w:trPr>
        <w:tc>
          <w:tcPr>
            <w:tcW w:w="4922" w:type="dxa"/>
            <w:shd w:val="clear" w:color="auto" w:fill="auto"/>
          </w:tcPr>
          <w:p w:rsidR="00C75EFF" w:rsidRPr="00F30087" w:rsidRDefault="00814599" w:rsidP="006B6089">
            <w:pPr>
              <w:jc w:val="center"/>
            </w:pPr>
            <w:r>
              <w:rPr>
                <w:noProof/>
              </w:rPr>
              <w:drawing>
                <wp:inline distT="0" distB="0" distL="0" distR="0" wp14:anchorId="7375E06D" wp14:editId="0C2FAC23">
                  <wp:extent cx="2895600" cy="2257425"/>
                  <wp:effectExtent l="0" t="0" r="0" b="0"/>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58" w:type="dxa"/>
            <w:shd w:val="clear" w:color="auto" w:fill="auto"/>
          </w:tcPr>
          <w:p w:rsidR="00C75EFF" w:rsidRPr="00F30087" w:rsidRDefault="00814599" w:rsidP="006B6089">
            <w:pPr>
              <w:jc w:val="center"/>
            </w:pPr>
            <w:r>
              <w:rPr>
                <w:noProof/>
              </w:rPr>
              <w:drawing>
                <wp:inline distT="0" distB="0" distL="0" distR="0" wp14:anchorId="1BEB7BD4" wp14:editId="33FA47F0">
                  <wp:extent cx="2838450" cy="2257425"/>
                  <wp:effectExtent l="0" t="0" r="0" b="0"/>
                  <wp:docPr id="23" name="Graf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C75EFF" w:rsidRDefault="00C75EFF" w:rsidP="00C75EFF">
      <w:pPr>
        <w:jc w:val="both"/>
      </w:pPr>
    </w:p>
    <w:p w:rsidR="00A61CB5" w:rsidRDefault="00C75EFF" w:rsidP="00C75EFF">
      <w:pPr>
        <w:jc w:val="both"/>
      </w:pPr>
      <w:r>
        <w:lastRenderedPageBreak/>
        <w:t>Prospěch žáků za</w:t>
      </w:r>
      <w:r w:rsidR="00A61CB5">
        <w:t xml:space="preserve"> obě pololetí školního roku 201</w:t>
      </w:r>
      <w:r w:rsidR="009D1C65">
        <w:t>6/2017</w:t>
      </w:r>
      <w:r>
        <w:t xml:space="preserve"> uvádí graf č.</w:t>
      </w:r>
      <w:r w:rsidR="0040431E">
        <w:t xml:space="preserve"> </w:t>
      </w:r>
      <w:r>
        <w:t xml:space="preserve">7. Z uvedených údajů je patrné, že ve 2. pololetí školního roku došlo ke zlepšení prospěchu žáků oproti pololetí </w:t>
      </w:r>
      <w:r w:rsidR="00A61CB5">
        <w:t>prvnímu. Prospěch</w:t>
      </w:r>
      <w:r w:rsidR="001D7B44">
        <w:t xml:space="preserve"> ve druhém pololetí</w:t>
      </w:r>
      <w:r w:rsidR="00A61CB5">
        <w:t xml:space="preserve"> byl lepší než v pololetí prvním</w:t>
      </w:r>
      <w:r w:rsidR="001D7B44">
        <w:t xml:space="preserve">. </w:t>
      </w:r>
      <w:r w:rsidR="00A61CB5">
        <w:t>Tento stav je totožný s loňským školním rokem.</w:t>
      </w:r>
    </w:p>
    <w:p w:rsidR="00A61CB5" w:rsidRDefault="00A61CB5" w:rsidP="00C75EFF">
      <w:pPr>
        <w:jc w:val="both"/>
      </w:pPr>
    </w:p>
    <w:p w:rsidR="00C75EFF" w:rsidRDefault="00A61CB5" w:rsidP="00C75EFF">
      <w:pPr>
        <w:jc w:val="both"/>
      </w:pPr>
      <w:r>
        <w:t>Na konci školního roku 201</w:t>
      </w:r>
      <w:r w:rsidR="009D1C65">
        <w:t>6</w:t>
      </w:r>
      <w:r w:rsidR="00731F2C">
        <w:t>/20</w:t>
      </w:r>
      <w:r>
        <w:t>1</w:t>
      </w:r>
      <w:r w:rsidR="009D1C65">
        <w:t>7</w:t>
      </w:r>
      <w:r w:rsidR="00731F2C">
        <w:t xml:space="preserve"> neprospělo </w:t>
      </w:r>
      <w:r w:rsidR="009D1C65">
        <w:t>794</w:t>
      </w:r>
      <w:r w:rsidR="00C75EFF">
        <w:t xml:space="preserve"> žáků</w:t>
      </w:r>
      <w:r w:rsidR="001D7B44">
        <w:t xml:space="preserve">, tj. </w:t>
      </w:r>
      <w:r>
        <w:t>6,</w:t>
      </w:r>
      <w:r w:rsidR="009D1C65">
        <w:t>17</w:t>
      </w:r>
      <w:r w:rsidR="00F67A28">
        <w:t xml:space="preserve"> %</w:t>
      </w:r>
      <w:r w:rsidR="00C75EFF">
        <w:t xml:space="preserve">. To oproti předchozímu </w:t>
      </w:r>
      <w:r w:rsidR="002C57A2">
        <w:t xml:space="preserve">školnímu roku představuje </w:t>
      </w:r>
      <w:r w:rsidR="00731F2C">
        <w:t>pokles</w:t>
      </w:r>
      <w:r w:rsidR="002C57A2">
        <w:t xml:space="preserve"> o </w:t>
      </w:r>
      <w:r w:rsidR="009D1C65">
        <w:t>69</w:t>
      </w:r>
      <w:r w:rsidR="002C57A2">
        <w:t xml:space="preserve"> žáků, kteří úspěšně ned</w:t>
      </w:r>
      <w:r w:rsidR="009D1C65">
        <w:t>okončili daný ročník vzdělávání</w:t>
      </w:r>
      <w:r w:rsidR="001D7B44">
        <w:t>.</w:t>
      </w:r>
      <w:r>
        <w:t xml:space="preserve"> Naopak </w:t>
      </w:r>
      <w:r w:rsidR="009D1C65">
        <w:t>11</w:t>
      </w:r>
      <w:r>
        <w:t> </w:t>
      </w:r>
      <w:r w:rsidR="009D1C65">
        <w:t>673</w:t>
      </w:r>
      <w:r>
        <w:t xml:space="preserve"> žáků prospělo nebo prospělo s vyznamenáním.</w:t>
      </w:r>
    </w:p>
    <w:p w:rsidR="00C75EFF" w:rsidRDefault="00C75EFF" w:rsidP="00C75EFF">
      <w:pPr>
        <w:jc w:val="both"/>
      </w:pPr>
    </w:p>
    <w:p w:rsidR="00C75EFF" w:rsidRDefault="00C75EFF" w:rsidP="00C75EFF">
      <w:pPr>
        <w:jc w:val="both"/>
      </w:pPr>
      <w:r>
        <w:t>Další oblastí hodnocení vzdělávací činnosti středních a vyšších odborných škol je úspěšnost žáků při ukončování vzdělávání, ať již se jedná o maturitní zkoušky</w:t>
      </w:r>
      <w:r w:rsidR="00285FFD">
        <w:t xml:space="preserve"> (graf č. 8)</w:t>
      </w:r>
      <w:r>
        <w:t>, o závěrečné zkoušky</w:t>
      </w:r>
      <w:r w:rsidR="00285FFD">
        <w:t xml:space="preserve"> (graf č. 9)</w:t>
      </w:r>
      <w:r>
        <w:t xml:space="preserve"> nebo absolutoria</w:t>
      </w:r>
      <w:r w:rsidR="00285FFD">
        <w:t xml:space="preserve"> (graf č. 10)</w:t>
      </w:r>
      <w:r>
        <w:t>.</w:t>
      </w:r>
    </w:p>
    <w:p w:rsidR="00C75EFF" w:rsidRDefault="00C75EFF" w:rsidP="00C75EFF">
      <w:pPr>
        <w:jc w:val="both"/>
        <w:rPr>
          <w:b/>
        </w:rPr>
      </w:pPr>
    </w:p>
    <w:p w:rsidR="007136CF" w:rsidRDefault="007136CF" w:rsidP="00C75EFF">
      <w:pPr>
        <w:jc w:val="both"/>
        <w:rPr>
          <w:b/>
        </w:rPr>
      </w:pPr>
    </w:p>
    <w:p w:rsidR="00C75EFF" w:rsidRDefault="00C75EFF" w:rsidP="00C75EFF">
      <w:pPr>
        <w:jc w:val="both"/>
        <w:rPr>
          <w:b/>
        </w:rPr>
      </w:pPr>
      <w:r>
        <w:rPr>
          <w:b/>
        </w:rPr>
        <w:t>Graf</w:t>
      </w:r>
      <w:r w:rsidR="000D26CB">
        <w:rPr>
          <w:b/>
        </w:rPr>
        <w:t xml:space="preserve"> č.</w:t>
      </w:r>
      <w:r>
        <w:rPr>
          <w:b/>
        </w:rPr>
        <w:t xml:space="preserve"> 8</w:t>
      </w:r>
      <w:r w:rsidRPr="00AF7A76">
        <w:rPr>
          <w:b/>
        </w:rPr>
        <w:t>: Úspěšnost žá</w:t>
      </w:r>
      <w:r>
        <w:rPr>
          <w:b/>
        </w:rPr>
        <w:t>ků při maturitních</w:t>
      </w:r>
      <w:r w:rsidRPr="00AF7A76">
        <w:rPr>
          <w:b/>
        </w:rPr>
        <w:t xml:space="preserve"> zkouškách</w:t>
      </w:r>
    </w:p>
    <w:p w:rsidR="00C75EFF" w:rsidRDefault="00C75EFF" w:rsidP="00C75EFF">
      <w:pPr>
        <w:jc w:val="both"/>
        <w:rPr>
          <w:b/>
        </w:rPr>
      </w:pPr>
    </w:p>
    <w:p w:rsidR="001511DF" w:rsidRDefault="00E1193E" w:rsidP="00C75EFF">
      <w:pPr>
        <w:jc w:val="both"/>
      </w:pPr>
      <w:r>
        <w:rPr>
          <w:noProof/>
        </w:rPr>
        <w:drawing>
          <wp:inline distT="0" distB="0" distL="0" distR="0" wp14:anchorId="6E837258" wp14:editId="43C68C29">
            <wp:extent cx="5514975" cy="3467100"/>
            <wp:effectExtent l="0" t="0" r="0" b="0"/>
            <wp:docPr id="24" name="Graf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363C7" w:rsidRDefault="005363C7" w:rsidP="00C75EFF">
      <w:pPr>
        <w:jc w:val="both"/>
      </w:pPr>
    </w:p>
    <w:p w:rsidR="00C75EFF" w:rsidRDefault="00BE41DC" w:rsidP="00C75EFF">
      <w:pPr>
        <w:jc w:val="both"/>
      </w:pPr>
      <w:r>
        <w:t>Jedním ze způsobů ukončování</w:t>
      </w:r>
      <w:r w:rsidR="00C75EFF">
        <w:t xml:space="preserve"> vzdělávání </w:t>
      </w:r>
      <w:r>
        <w:t xml:space="preserve">je </w:t>
      </w:r>
      <w:r w:rsidR="00841E6D">
        <w:t>maturitní zkouška</w:t>
      </w:r>
      <w:r w:rsidR="00C75EFF">
        <w:t xml:space="preserve">. V řádném termínu úspěšně </w:t>
      </w:r>
      <w:r w:rsidR="00841E6D">
        <w:t>vykonalo maturitní zkoušku</w:t>
      </w:r>
      <w:r w:rsidR="00330C6A">
        <w:t xml:space="preserve"> 7</w:t>
      </w:r>
      <w:r w:rsidR="00E1193E">
        <w:t>0</w:t>
      </w:r>
      <w:r w:rsidR="00841E6D">
        <w:t>,</w:t>
      </w:r>
      <w:r w:rsidR="00E1193E">
        <w:t xml:space="preserve">96 </w:t>
      </w:r>
      <w:r w:rsidR="00F67A28">
        <w:t>%</w:t>
      </w:r>
      <w:r w:rsidR="00C75EFF">
        <w:t xml:space="preserve"> žáků, což </w:t>
      </w:r>
      <w:r w:rsidR="00E1193E">
        <w:t xml:space="preserve">představuje pokles úspěšnosti </w:t>
      </w:r>
      <w:r w:rsidR="002B1AAD">
        <w:t>oproti</w:t>
      </w:r>
      <w:r w:rsidR="001511DF">
        <w:t> předchozím</w:t>
      </w:r>
      <w:r w:rsidR="002B1AAD">
        <w:t>u</w:t>
      </w:r>
      <w:r w:rsidR="001511DF">
        <w:t xml:space="preserve"> školním</w:t>
      </w:r>
      <w:r w:rsidR="002B1AAD">
        <w:t>u roku</w:t>
      </w:r>
      <w:r w:rsidR="00C75EFF">
        <w:t>.</w:t>
      </w:r>
      <w:r w:rsidR="001511DF">
        <w:t xml:space="preserve"> </w:t>
      </w:r>
      <w:r w:rsidR="00C75EFF">
        <w:t>V náhradním termínu vykon</w:t>
      </w:r>
      <w:r w:rsidR="00841E6D">
        <w:t xml:space="preserve">alo úspěšně maturitní zkoušku </w:t>
      </w:r>
      <w:r w:rsidR="00E1193E">
        <w:t>48</w:t>
      </w:r>
      <w:r w:rsidR="00841E6D">
        <w:t>,</w:t>
      </w:r>
      <w:r w:rsidR="00E1193E">
        <w:t>91</w:t>
      </w:r>
      <w:r w:rsidR="00F67A28">
        <w:t xml:space="preserve"> %</w:t>
      </w:r>
      <w:r w:rsidR="00C75EFF">
        <w:t xml:space="preserve"> žáků</w:t>
      </w:r>
      <w:r w:rsidR="001511DF">
        <w:t xml:space="preserve"> (oproti předchozímu ško</w:t>
      </w:r>
      <w:r w:rsidR="00841E6D">
        <w:t xml:space="preserve">lnímu roku </w:t>
      </w:r>
      <w:r w:rsidR="00E1193E">
        <w:t>došlo v této kategorii ke zhoršení</w:t>
      </w:r>
      <w:r w:rsidR="001511DF">
        <w:t>)</w:t>
      </w:r>
      <w:r w:rsidR="00C75EFF">
        <w:t>. U opr</w:t>
      </w:r>
      <w:r w:rsidR="002B1AAD">
        <w:t xml:space="preserve">avných zkoušek bylo úspěšných </w:t>
      </w:r>
      <w:r w:rsidR="00E1193E">
        <w:t>60</w:t>
      </w:r>
      <w:r w:rsidR="002B1AAD">
        <w:t>,</w:t>
      </w:r>
      <w:r w:rsidR="00E1193E">
        <w:t>03</w:t>
      </w:r>
      <w:r w:rsidR="00F67A28">
        <w:t xml:space="preserve"> %</w:t>
      </w:r>
      <w:r w:rsidR="001511DF">
        <w:t xml:space="preserve"> žáků.</w:t>
      </w:r>
      <w:r w:rsidR="00841E6D">
        <w:t xml:space="preserve"> To představuje </w:t>
      </w:r>
      <w:r w:rsidR="001511DF">
        <w:t xml:space="preserve">ve srovnání s rokem předchozím </w:t>
      </w:r>
      <w:r w:rsidR="00330C6A">
        <w:t xml:space="preserve">mírný </w:t>
      </w:r>
      <w:r w:rsidR="00E1193E">
        <w:t>nárůst úspěšnosti</w:t>
      </w:r>
      <w:r w:rsidR="001511DF">
        <w:t>.</w:t>
      </w:r>
    </w:p>
    <w:p w:rsidR="0079779D" w:rsidRDefault="0079779D" w:rsidP="00C75EFF">
      <w:pPr>
        <w:jc w:val="both"/>
        <w:rPr>
          <w:b/>
        </w:rPr>
      </w:pPr>
    </w:p>
    <w:p w:rsidR="00330C6A" w:rsidRDefault="00330C6A" w:rsidP="00C75EFF">
      <w:pPr>
        <w:jc w:val="both"/>
        <w:rPr>
          <w:b/>
        </w:rPr>
      </w:pPr>
    </w:p>
    <w:p w:rsidR="005363C7" w:rsidRDefault="005363C7" w:rsidP="00C75EFF">
      <w:pPr>
        <w:jc w:val="both"/>
        <w:rPr>
          <w:b/>
        </w:rPr>
      </w:pPr>
    </w:p>
    <w:p w:rsidR="005363C7" w:rsidRDefault="005363C7" w:rsidP="00C75EFF">
      <w:pPr>
        <w:jc w:val="both"/>
        <w:rPr>
          <w:b/>
        </w:rPr>
      </w:pPr>
    </w:p>
    <w:p w:rsidR="005363C7" w:rsidRDefault="005363C7" w:rsidP="00C75EFF">
      <w:pPr>
        <w:jc w:val="both"/>
        <w:rPr>
          <w:b/>
        </w:rPr>
      </w:pPr>
    </w:p>
    <w:p w:rsidR="005363C7" w:rsidRDefault="005363C7" w:rsidP="00C75EFF">
      <w:pPr>
        <w:jc w:val="both"/>
        <w:rPr>
          <w:b/>
        </w:rPr>
      </w:pPr>
    </w:p>
    <w:p w:rsidR="005363C7" w:rsidRDefault="005363C7" w:rsidP="00C75EFF">
      <w:pPr>
        <w:jc w:val="both"/>
        <w:rPr>
          <w:b/>
        </w:rPr>
      </w:pPr>
    </w:p>
    <w:p w:rsidR="005363C7" w:rsidRDefault="005363C7" w:rsidP="00C75EFF">
      <w:pPr>
        <w:jc w:val="both"/>
        <w:rPr>
          <w:b/>
        </w:rPr>
      </w:pPr>
    </w:p>
    <w:p w:rsidR="005363C7" w:rsidRDefault="005363C7" w:rsidP="00C75EFF">
      <w:pPr>
        <w:jc w:val="both"/>
        <w:rPr>
          <w:b/>
        </w:rPr>
      </w:pPr>
    </w:p>
    <w:p w:rsidR="00C75EFF" w:rsidRDefault="00C75EFF" w:rsidP="00C75EFF">
      <w:pPr>
        <w:jc w:val="both"/>
        <w:rPr>
          <w:b/>
        </w:rPr>
      </w:pPr>
      <w:r>
        <w:rPr>
          <w:b/>
        </w:rPr>
        <w:lastRenderedPageBreak/>
        <w:t>Graf</w:t>
      </w:r>
      <w:r w:rsidR="000D26CB">
        <w:rPr>
          <w:b/>
        </w:rPr>
        <w:t xml:space="preserve"> č.</w:t>
      </w:r>
      <w:r>
        <w:rPr>
          <w:b/>
        </w:rPr>
        <w:t xml:space="preserve"> 9</w:t>
      </w:r>
      <w:r w:rsidRPr="00AF7A76">
        <w:rPr>
          <w:b/>
        </w:rPr>
        <w:t>: Úspěšnost žá</w:t>
      </w:r>
      <w:r>
        <w:rPr>
          <w:b/>
        </w:rPr>
        <w:t>ků při závěrečných</w:t>
      </w:r>
      <w:r w:rsidRPr="00AF7A76">
        <w:rPr>
          <w:b/>
        </w:rPr>
        <w:t xml:space="preserve"> zkouškách</w:t>
      </w:r>
    </w:p>
    <w:p w:rsidR="00C75EFF" w:rsidRDefault="00C75EFF" w:rsidP="00C75EFF">
      <w:pPr>
        <w:jc w:val="both"/>
      </w:pPr>
    </w:p>
    <w:p w:rsidR="009D0744" w:rsidRDefault="00BB4AFF" w:rsidP="00077470">
      <w:pPr>
        <w:jc w:val="center"/>
      </w:pPr>
      <w:r>
        <w:rPr>
          <w:noProof/>
        </w:rPr>
        <w:drawing>
          <wp:inline distT="0" distB="0" distL="0" distR="0" wp14:anchorId="58314AC5" wp14:editId="760E49A5">
            <wp:extent cx="5524500" cy="3476625"/>
            <wp:effectExtent l="0" t="0" r="0" b="0"/>
            <wp:docPr id="25" name="Graf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363C7" w:rsidRDefault="005363C7" w:rsidP="00C75EFF">
      <w:pPr>
        <w:jc w:val="both"/>
      </w:pPr>
    </w:p>
    <w:p w:rsidR="00C75EFF" w:rsidRDefault="00C75EFF" w:rsidP="00C75EFF">
      <w:pPr>
        <w:jc w:val="both"/>
      </w:pPr>
      <w:r>
        <w:t>V případě závěrečných z</w:t>
      </w:r>
      <w:r w:rsidR="0079779D">
        <w:t>koušek byl stav následující – 8</w:t>
      </w:r>
      <w:r w:rsidR="00BB4AFF">
        <w:t>4</w:t>
      </w:r>
      <w:r w:rsidR="0079779D">
        <w:t>,</w:t>
      </w:r>
      <w:r w:rsidR="00BB4AFF">
        <w:t>08</w:t>
      </w:r>
      <w:r w:rsidR="00F67A28">
        <w:t xml:space="preserve"> %</w:t>
      </w:r>
      <w:r>
        <w:t xml:space="preserve"> žáků vykonalo závěrečnou zkoušku v řádném termínu</w:t>
      </w:r>
      <w:r w:rsidR="009D0744">
        <w:t xml:space="preserve"> (</w:t>
      </w:r>
      <w:r w:rsidR="00BB4AFF">
        <w:t>zhoršení oproti předchozímu roku</w:t>
      </w:r>
      <w:r w:rsidR="009D0744">
        <w:t>), v náhradn</w:t>
      </w:r>
      <w:r w:rsidR="00D03FBC">
        <w:t>ím termínu</w:t>
      </w:r>
      <w:r w:rsidR="00015800">
        <w:t xml:space="preserve"> </w:t>
      </w:r>
      <w:r w:rsidR="00BB4AFF">
        <w:t>54</w:t>
      </w:r>
      <w:r w:rsidR="00AB2FB0">
        <w:t>,</w:t>
      </w:r>
      <w:r w:rsidR="00BB4AFF">
        <w:t>88</w:t>
      </w:r>
      <w:r w:rsidR="00F67A28">
        <w:t xml:space="preserve"> %</w:t>
      </w:r>
      <w:r>
        <w:t xml:space="preserve"> žáků. U opravn</w:t>
      </w:r>
      <w:r w:rsidR="00D03FBC">
        <w:t xml:space="preserve">ých zkoušek bylo úspěšných </w:t>
      </w:r>
      <w:r w:rsidR="00015800">
        <w:t>6</w:t>
      </w:r>
      <w:r w:rsidR="00BB4AFF">
        <w:t>9</w:t>
      </w:r>
      <w:r w:rsidR="00015800">
        <w:t>,</w:t>
      </w:r>
      <w:r w:rsidR="00BB4AFF">
        <w:t>44</w:t>
      </w:r>
      <w:r w:rsidR="00F67A28">
        <w:t xml:space="preserve"> %</w:t>
      </w:r>
      <w:r w:rsidR="009D0744">
        <w:t xml:space="preserve"> žáků, což </w:t>
      </w:r>
      <w:r w:rsidR="00D03FBC">
        <w:t>představuje z</w:t>
      </w:r>
      <w:r w:rsidR="00AB2FB0">
        <w:t>lepšení</w:t>
      </w:r>
      <w:r w:rsidR="00D03FBC">
        <w:t xml:space="preserve"> oproti předchozímu roku.</w:t>
      </w:r>
      <w:r w:rsidR="009D0744">
        <w:t xml:space="preserve"> </w:t>
      </w:r>
    </w:p>
    <w:p w:rsidR="00F01028" w:rsidRDefault="00F01028" w:rsidP="00C75EFF">
      <w:pPr>
        <w:jc w:val="both"/>
      </w:pPr>
    </w:p>
    <w:p w:rsidR="005363C7" w:rsidRDefault="005363C7" w:rsidP="00C75EFF">
      <w:pPr>
        <w:jc w:val="both"/>
        <w:rPr>
          <w:b/>
        </w:rPr>
      </w:pPr>
    </w:p>
    <w:p w:rsidR="00C75EFF" w:rsidRDefault="00C75EFF" w:rsidP="00C75EFF">
      <w:pPr>
        <w:jc w:val="both"/>
        <w:rPr>
          <w:b/>
        </w:rPr>
      </w:pPr>
      <w:r>
        <w:rPr>
          <w:b/>
        </w:rPr>
        <w:t>Graf</w:t>
      </w:r>
      <w:r w:rsidR="000D26CB">
        <w:rPr>
          <w:b/>
        </w:rPr>
        <w:t xml:space="preserve"> č.</w:t>
      </w:r>
      <w:r>
        <w:rPr>
          <w:b/>
        </w:rPr>
        <w:t xml:space="preserve"> 10</w:t>
      </w:r>
      <w:r w:rsidRPr="00AF7A76">
        <w:rPr>
          <w:b/>
        </w:rPr>
        <w:t>: Úspěšn</w:t>
      </w:r>
      <w:r>
        <w:rPr>
          <w:b/>
        </w:rPr>
        <w:t>ost studentů při absolutoriu</w:t>
      </w:r>
    </w:p>
    <w:p w:rsidR="00C75EFF" w:rsidRPr="005F60A4" w:rsidRDefault="0043388C" w:rsidP="00C75EFF">
      <w:pPr>
        <w:jc w:val="center"/>
        <w:rPr>
          <w:b/>
        </w:rPr>
      </w:pPr>
      <w:r>
        <w:rPr>
          <w:noProof/>
        </w:rPr>
        <w:drawing>
          <wp:inline distT="0" distB="0" distL="0" distR="0" wp14:anchorId="7A922F04" wp14:editId="5522A8C2">
            <wp:extent cx="5524500" cy="3476625"/>
            <wp:effectExtent l="0" t="0" r="0" b="0"/>
            <wp:docPr id="27" name="Graf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75EFF" w:rsidRDefault="00C75EFF" w:rsidP="00C75EFF">
      <w:pPr>
        <w:jc w:val="both"/>
      </w:pPr>
      <w:r>
        <w:t>Vyšší odborné vzdělávání ukončují studenti ab</w:t>
      </w:r>
      <w:r w:rsidR="00C34A2E">
        <w:t>solutoriem. Ve školním roce 201</w:t>
      </w:r>
      <w:r w:rsidR="0043388C">
        <w:t>6</w:t>
      </w:r>
      <w:r w:rsidR="00C34A2E">
        <w:t>/201</w:t>
      </w:r>
      <w:r w:rsidR="0043388C">
        <w:t>7</w:t>
      </w:r>
      <w:r>
        <w:t xml:space="preserve"> úspěšně ukončilo v řádném</w:t>
      </w:r>
      <w:r w:rsidR="00BF5ABF">
        <w:t xml:space="preserve"> termínu vyšší odbornou školu </w:t>
      </w:r>
      <w:r w:rsidR="0043388C">
        <w:t>75</w:t>
      </w:r>
      <w:r w:rsidR="00BF5ABF">
        <w:t>,</w:t>
      </w:r>
      <w:r w:rsidR="0043388C">
        <w:t>00</w:t>
      </w:r>
      <w:r w:rsidR="00F67A28">
        <w:t xml:space="preserve"> %</w:t>
      </w:r>
      <w:r>
        <w:t xml:space="preserve"> studentů</w:t>
      </w:r>
      <w:r w:rsidR="00600973">
        <w:t xml:space="preserve">, v náhradním </w:t>
      </w:r>
      <w:r w:rsidR="005A1C15">
        <w:lastRenderedPageBreak/>
        <w:t xml:space="preserve">termínu pak </w:t>
      </w:r>
      <w:r w:rsidR="0043388C">
        <w:t>33</w:t>
      </w:r>
      <w:r w:rsidR="00BF5ABF">
        <w:t>,</w:t>
      </w:r>
      <w:r w:rsidR="0043388C">
        <w:t>33</w:t>
      </w:r>
      <w:r w:rsidR="00F67A28">
        <w:t xml:space="preserve"> %</w:t>
      </w:r>
      <w:r w:rsidR="00600973">
        <w:t xml:space="preserve">. U </w:t>
      </w:r>
      <w:r>
        <w:t>opravných zkoušek</w:t>
      </w:r>
      <w:r w:rsidR="00BF5ABF">
        <w:t xml:space="preserve"> uspělo </w:t>
      </w:r>
      <w:r w:rsidR="0043388C">
        <w:t>100</w:t>
      </w:r>
      <w:r w:rsidR="00BF5ABF">
        <w:t>,</w:t>
      </w:r>
      <w:r w:rsidR="0043388C">
        <w:t>00</w:t>
      </w:r>
      <w:r w:rsidR="00F67A28">
        <w:t xml:space="preserve"> %</w:t>
      </w:r>
      <w:r>
        <w:t xml:space="preserve"> studentů. Oproti předchozímu školnímu roku se úsp</w:t>
      </w:r>
      <w:r w:rsidR="00600973">
        <w:t xml:space="preserve">ěšnost při řádném termínu </w:t>
      </w:r>
      <w:r w:rsidR="0043388C">
        <w:t>snížila</w:t>
      </w:r>
      <w:r w:rsidR="00C34A2E">
        <w:t xml:space="preserve"> </w:t>
      </w:r>
      <w:r w:rsidR="0043388C">
        <w:t>oproti roku předešlému</w:t>
      </w:r>
      <w:r w:rsidR="00D51CBE">
        <w:t>,</w:t>
      </w:r>
      <w:r>
        <w:t xml:space="preserve"> u zkoušek v náhradním termínu </w:t>
      </w:r>
      <w:r w:rsidR="00D51CBE">
        <w:t xml:space="preserve">došlo </w:t>
      </w:r>
      <w:r w:rsidR="00C34A2E">
        <w:t xml:space="preserve">k výraznému </w:t>
      </w:r>
      <w:r w:rsidR="0043388C">
        <w:t>poklesu úspěšnosti</w:t>
      </w:r>
      <w:r w:rsidR="00600973">
        <w:t xml:space="preserve">. Naopak </w:t>
      </w:r>
      <w:r w:rsidR="0043388C">
        <w:t>lépe</w:t>
      </w:r>
      <w:r w:rsidR="00600973">
        <w:t xml:space="preserve"> než v předchozím školním roce si vedli studenti </w:t>
      </w:r>
      <w:r>
        <w:t>při opr</w:t>
      </w:r>
      <w:r w:rsidR="00D51CBE">
        <w:t>avných zkouškách</w:t>
      </w:r>
      <w:r w:rsidR="00C34A2E">
        <w:t>.</w:t>
      </w:r>
    </w:p>
    <w:p w:rsidR="00C75EFF" w:rsidRDefault="00C75EFF" w:rsidP="00C75EFF">
      <w:pPr>
        <w:rPr>
          <w:b/>
        </w:rPr>
      </w:pPr>
    </w:p>
    <w:p w:rsidR="00C75EFF" w:rsidRDefault="00C75EFF" w:rsidP="00C75EFF">
      <w:pPr>
        <w:rPr>
          <w:b/>
        </w:rPr>
      </w:pPr>
    </w:p>
    <w:p w:rsidR="00C75EFF" w:rsidRDefault="00C75EFF" w:rsidP="00C75EFF">
      <w:pPr>
        <w:rPr>
          <w:b/>
        </w:rPr>
      </w:pPr>
      <w:r>
        <w:rPr>
          <w:b/>
        </w:rPr>
        <w:t>2</w:t>
      </w:r>
      <w:r w:rsidRPr="00766D27">
        <w:rPr>
          <w:b/>
        </w:rPr>
        <w:t xml:space="preserve">. </w:t>
      </w:r>
      <w:smartTag w:uri="urn:schemas-microsoft-com:office:smarttags" w:element="PersonName">
        <w:smartTagPr>
          <w:attr w:name="ProductID" w:val="Domovy mládeže"/>
        </w:smartTagPr>
        <w:r w:rsidRPr="00766D27">
          <w:rPr>
            <w:b/>
          </w:rPr>
          <w:t>Domovy mládeže</w:t>
        </w:r>
      </w:smartTag>
      <w:r>
        <w:rPr>
          <w:b/>
        </w:rPr>
        <w:t xml:space="preserve"> a internáty</w:t>
      </w:r>
    </w:p>
    <w:p w:rsidR="00C75EFF" w:rsidRDefault="00C75EFF" w:rsidP="00C75EFF">
      <w:pPr>
        <w:rPr>
          <w:b/>
        </w:rPr>
      </w:pPr>
    </w:p>
    <w:p w:rsidR="000760BF" w:rsidRPr="009D79A2" w:rsidRDefault="000760BF" w:rsidP="000760BF">
      <w:pPr>
        <w:spacing w:after="120"/>
        <w:jc w:val="both"/>
      </w:pPr>
      <w:r w:rsidRPr="00F6617D">
        <w:t>Na území Libereckého</w:t>
      </w:r>
      <w:r>
        <w:t xml:space="preserve"> kraje bylo ve školním roce 2016/2017 provozováno </w:t>
      </w:r>
      <w:r w:rsidRPr="00681917">
        <w:t xml:space="preserve">18 </w:t>
      </w:r>
      <w:r>
        <w:t>školských výchovných a ubytovacích</w:t>
      </w:r>
      <w:r w:rsidRPr="00681917">
        <w:t xml:space="preserve"> zařízení, z toho 16 domovů mládeže a 2 internáty.</w:t>
      </w:r>
      <w:r w:rsidRPr="00F6617D">
        <w:t xml:space="preserve"> </w:t>
      </w:r>
      <w:r>
        <w:t xml:space="preserve">Pouze jeden domov mládeže byl samostatný, a to v </w:t>
      </w:r>
      <w:r w:rsidRPr="00F11E6D">
        <w:t xml:space="preserve">Liberci. V ostatních případech byla tato </w:t>
      </w:r>
      <w:r>
        <w:t xml:space="preserve">školská </w:t>
      </w:r>
      <w:r w:rsidRPr="00F11E6D">
        <w:t xml:space="preserve">výchovná a ubytovací zařízení součástí škol. </w:t>
      </w:r>
      <w:r>
        <w:t>15 domovů mládeže zřizoval Liberecký kraj, j</w:t>
      </w:r>
      <w:r w:rsidRPr="00E1465E">
        <w:t>eden domov mládeže byl součástí střední školy</w:t>
      </w:r>
      <w:r>
        <w:t xml:space="preserve"> soukromého zřizovatele</w:t>
      </w:r>
      <w:r w:rsidRPr="00E1465E">
        <w:t>.</w:t>
      </w:r>
    </w:p>
    <w:p w:rsidR="000760BF" w:rsidRDefault="000760BF" w:rsidP="000760BF">
      <w:pPr>
        <w:spacing w:after="120"/>
        <w:jc w:val="both"/>
      </w:pPr>
      <w:r>
        <w:t xml:space="preserve">Kraj provozoval 17 těchto zařízení. </w:t>
      </w:r>
      <w:r w:rsidRPr="009D79A2">
        <w:t xml:space="preserve">Celková </w:t>
      </w:r>
      <w:r>
        <w:t xml:space="preserve">lůžková </w:t>
      </w:r>
      <w:r w:rsidRPr="009D79A2">
        <w:t>kapacita</w:t>
      </w:r>
      <w:r>
        <w:t xml:space="preserve"> domovů mládeže </w:t>
      </w:r>
      <w:r w:rsidRPr="009D79A2">
        <w:t xml:space="preserve">činila </w:t>
      </w:r>
      <w:r>
        <w:br/>
      </w:r>
      <w:r w:rsidRPr="008335E3">
        <w:t>2</w:t>
      </w:r>
      <w:r>
        <w:t xml:space="preserve"> 017</w:t>
      </w:r>
      <w:r w:rsidRPr="00F6617D">
        <w:t xml:space="preserve"> </w:t>
      </w:r>
      <w:r>
        <w:t xml:space="preserve">lůžek </w:t>
      </w:r>
      <w:r w:rsidRPr="00F6617D">
        <w:t xml:space="preserve">a internátů </w:t>
      </w:r>
      <w:r w:rsidRPr="00286A5F">
        <w:t>168 lůžek.</w:t>
      </w:r>
      <w:r>
        <w:t xml:space="preserve"> U</w:t>
      </w:r>
      <w:r w:rsidRPr="009D79A2">
        <w:t>bytovaní žáci a studenti</w:t>
      </w:r>
      <w:r>
        <w:t xml:space="preserve"> obsadili 1 302</w:t>
      </w:r>
      <w:r w:rsidRPr="009D79A2">
        <w:t xml:space="preserve"> lůžek, jin</w:t>
      </w:r>
      <w:r>
        <w:t>é</w:t>
      </w:r>
      <w:r w:rsidRPr="009D79A2">
        <w:t xml:space="preserve"> osob</w:t>
      </w:r>
      <w:r>
        <w:t>y byly ubytovány 3</w:t>
      </w:r>
      <w:r w:rsidRPr="009D79A2">
        <w:t xml:space="preserve">. </w:t>
      </w:r>
    </w:p>
    <w:p w:rsidR="00C75EFF" w:rsidRDefault="00C75EFF" w:rsidP="00124060">
      <w:pPr>
        <w:jc w:val="both"/>
      </w:pPr>
      <w:r>
        <w:t>Hlavním úkolem domovů mládeže je poskytovat žákům a studentům ubytování, zajistit podmínky pro přípravu na vyučování a náplně volného času. Mezi jednu z hlavních oblastí, která se výrazně promítá do výchovného působení, náleží preventivní aktivity při předcházení zneužívání návykových látek (týká se zejména konzumace alkoholu, užívání tabákových výrobků, v menší míře pak záležitosti spojené s nelegálními návykovými látkami). Mezi další oblasti patří aktivity vzdělávací, převážně zaměřené na výuku jazyků, kulturní a sportovní.</w:t>
      </w:r>
    </w:p>
    <w:p w:rsidR="003D5DEC" w:rsidRDefault="003D5DEC" w:rsidP="00124060">
      <w:pPr>
        <w:jc w:val="both"/>
      </w:pPr>
    </w:p>
    <w:p w:rsidR="00C75EFF" w:rsidRDefault="00C75EFF" w:rsidP="00124060">
      <w:pPr>
        <w:jc w:val="both"/>
      </w:pPr>
      <w:r w:rsidRPr="00B41650">
        <w:t xml:space="preserve">V tomto segmentu </w:t>
      </w:r>
      <w:r>
        <w:t>jsme sledovali přehled pracovníků domovů mládeže</w:t>
      </w:r>
      <w:r w:rsidR="00EA4697">
        <w:t xml:space="preserve"> (graf č. 11)</w:t>
      </w:r>
      <w:r>
        <w:t>.</w:t>
      </w:r>
    </w:p>
    <w:p w:rsidR="005F7A1B" w:rsidRDefault="005F7A1B" w:rsidP="00C75EFF">
      <w:pPr>
        <w:jc w:val="both"/>
      </w:pPr>
    </w:p>
    <w:p w:rsidR="00BE00D6" w:rsidRDefault="00BE00D6" w:rsidP="00C75EFF">
      <w:pPr>
        <w:jc w:val="both"/>
      </w:pPr>
    </w:p>
    <w:p w:rsidR="00C75EFF" w:rsidRDefault="00C75EFF" w:rsidP="00C75EFF">
      <w:pPr>
        <w:jc w:val="both"/>
        <w:rPr>
          <w:b/>
        </w:rPr>
      </w:pPr>
      <w:r>
        <w:rPr>
          <w:b/>
        </w:rPr>
        <w:t>Graf</w:t>
      </w:r>
      <w:r w:rsidR="000D26CB">
        <w:rPr>
          <w:b/>
        </w:rPr>
        <w:t xml:space="preserve"> č.</w:t>
      </w:r>
      <w:r>
        <w:rPr>
          <w:b/>
        </w:rPr>
        <w:t xml:space="preserve"> 11: Přehled pracovníků domovů mládeže a internátů (v přepočtených úvazcích)</w:t>
      </w:r>
    </w:p>
    <w:p w:rsidR="00C75EFF" w:rsidRPr="00EE0787" w:rsidRDefault="00D81D81" w:rsidP="00C75EFF">
      <w:pPr>
        <w:jc w:val="center"/>
      </w:pPr>
      <w:r>
        <w:rPr>
          <w:noProof/>
        </w:rPr>
        <w:drawing>
          <wp:inline distT="0" distB="0" distL="0" distR="0" wp14:anchorId="17CBCB6D" wp14:editId="0047CAA0">
            <wp:extent cx="3657600" cy="2438400"/>
            <wp:effectExtent l="0" t="0" r="0" b="0"/>
            <wp:docPr id="29" name="Graf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75EFF" w:rsidRPr="001F4190" w:rsidRDefault="00C75EFF" w:rsidP="00C75EFF">
      <w:pPr>
        <w:jc w:val="center"/>
      </w:pPr>
    </w:p>
    <w:p w:rsidR="00D732F7" w:rsidRDefault="009D69BC" w:rsidP="00C75EFF">
      <w:pPr>
        <w:jc w:val="both"/>
      </w:pPr>
      <w:r>
        <w:t>Ve školním roce 2016/2017</w:t>
      </w:r>
      <w:r w:rsidR="00C75EFF">
        <w:t xml:space="preserve"> působilo v d</w:t>
      </w:r>
      <w:r w:rsidR="008E3A8C">
        <w:t xml:space="preserve">omovech mládeže a internátech </w:t>
      </w:r>
      <w:r>
        <w:t>59</w:t>
      </w:r>
      <w:r w:rsidR="008E3A8C">
        <w:t>,</w:t>
      </w:r>
      <w:r>
        <w:t xml:space="preserve">53 </w:t>
      </w:r>
      <w:r w:rsidR="00F67A28">
        <w:t>%</w:t>
      </w:r>
      <w:r w:rsidR="00D321AA">
        <w:t xml:space="preserve"> vychovatelů, 3</w:t>
      </w:r>
      <w:r>
        <w:t>2</w:t>
      </w:r>
      <w:r w:rsidR="00074346">
        <w:t>,</w:t>
      </w:r>
      <w:r>
        <w:t>25</w:t>
      </w:r>
      <w:r w:rsidR="00F67A28">
        <w:t xml:space="preserve"> %</w:t>
      </w:r>
      <w:r w:rsidR="00C75EFF">
        <w:t xml:space="preserve"> předs</w:t>
      </w:r>
      <w:r w:rsidR="00274FD0">
        <w:t>tavovali</w:t>
      </w:r>
      <w:r w:rsidR="00D732F7">
        <w:t xml:space="preserve"> ostatní pracovníci a </w:t>
      </w:r>
      <w:r>
        <w:t>8</w:t>
      </w:r>
      <w:r w:rsidR="00D732F7">
        <w:t>,</w:t>
      </w:r>
      <w:r>
        <w:t>21</w:t>
      </w:r>
      <w:r w:rsidR="00F67A28">
        <w:t xml:space="preserve"> %</w:t>
      </w:r>
      <w:r w:rsidR="00C75EFF">
        <w:t xml:space="preserve"> asistenti pedagoga. Oproti předchozímu školnímu roku se </w:t>
      </w:r>
      <w:r w:rsidR="00074346">
        <w:t>sníži</w:t>
      </w:r>
      <w:r w:rsidR="00D732F7">
        <w:t xml:space="preserve">l počet </w:t>
      </w:r>
      <w:r>
        <w:t>vychovatelů</w:t>
      </w:r>
      <w:r w:rsidR="00C75EFF">
        <w:t>. Naop</w:t>
      </w:r>
      <w:r w:rsidR="00274FD0">
        <w:t xml:space="preserve">ak </w:t>
      </w:r>
      <w:r w:rsidR="00074346">
        <w:t>nárůst</w:t>
      </w:r>
      <w:r w:rsidR="00274FD0">
        <w:t xml:space="preserve"> pracovníků zaznamenala </w:t>
      </w:r>
      <w:r w:rsidR="00C75EFF">
        <w:t>kategorie</w:t>
      </w:r>
      <w:r w:rsidR="0033516C">
        <w:t xml:space="preserve"> </w:t>
      </w:r>
      <w:r>
        <w:t>ostatních pracovníků</w:t>
      </w:r>
      <w:r w:rsidR="0033516C">
        <w:t xml:space="preserve"> a kategorie asistenti pedagoga.</w:t>
      </w:r>
    </w:p>
    <w:p w:rsidR="00074346" w:rsidRDefault="00074346" w:rsidP="00C75EFF">
      <w:pPr>
        <w:jc w:val="both"/>
      </w:pPr>
    </w:p>
    <w:p w:rsidR="00C75EFF" w:rsidRDefault="00074346" w:rsidP="00C75EFF">
      <w:pPr>
        <w:jc w:val="both"/>
      </w:pPr>
      <w:r>
        <w:t>Z</w:t>
      </w:r>
      <w:r w:rsidR="00C75EFF">
        <w:t xml:space="preserve">měny, které doléhají </w:t>
      </w:r>
      <w:r w:rsidR="00D732F7">
        <w:t>na segment</w:t>
      </w:r>
      <w:r w:rsidR="00C75EFF">
        <w:t xml:space="preserve"> domovů mládeže a internátů</w:t>
      </w:r>
      <w:r w:rsidR="00274FD0">
        <w:t>,</w:t>
      </w:r>
      <w:r w:rsidR="00C75EFF">
        <w:t xml:space="preserve"> jsou způsobeny </w:t>
      </w:r>
      <w:r w:rsidR="00274FD0">
        <w:t>trvalým poklesem zájmu o</w:t>
      </w:r>
      <w:r w:rsidR="00C75EFF">
        <w:t xml:space="preserve"> školské služby a odráží t</w:t>
      </w:r>
      <w:r w:rsidR="00274FD0">
        <w:t xml:space="preserve">ak přirozeně demografický vývoj a situaci v segmentu středního a vyššího odborného školství, se kterým jsou domovy mládeže </w:t>
      </w:r>
      <w:r w:rsidR="004D3B3E">
        <w:br/>
      </w:r>
      <w:r w:rsidR="00274FD0">
        <w:t>a internáty sp</w:t>
      </w:r>
      <w:r w:rsidR="0052547F">
        <w:t>jaty</w:t>
      </w:r>
      <w:r w:rsidR="00274FD0">
        <w:t>.</w:t>
      </w:r>
    </w:p>
    <w:p w:rsidR="006C000A" w:rsidRDefault="006C000A" w:rsidP="006C000A">
      <w:pPr>
        <w:rPr>
          <w:b/>
        </w:rPr>
      </w:pPr>
      <w:r>
        <w:rPr>
          <w:b/>
        </w:rPr>
        <w:lastRenderedPageBreak/>
        <w:t>3. Školy zřízené pro žáky se speciálními vzdělávacími potřebami</w:t>
      </w:r>
    </w:p>
    <w:p w:rsidR="006C000A" w:rsidRDefault="006C000A" w:rsidP="006C000A">
      <w:pPr>
        <w:rPr>
          <w:b/>
        </w:rPr>
      </w:pPr>
    </w:p>
    <w:p w:rsidR="006C000A" w:rsidRDefault="006C000A" w:rsidP="006C000A">
      <w:pPr>
        <w:pStyle w:val="Bezmezer"/>
        <w:jc w:val="both"/>
      </w:pPr>
      <w:r>
        <w:t xml:space="preserve">Liberecký kraj byl ve školním roce 2016/2017 zřizovatelem deseti základních škol, ve kterých byli vzděláváni děti a žáci se speciálními vzdělávacími potřebami (dále jen „žáci“), dále pro stejné žáky zřizoval jednu střední školu. </w:t>
      </w:r>
    </w:p>
    <w:p w:rsidR="006C000A" w:rsidRDefault="006C000A" w:rsidP="006C000A">
      <w:pPr>
        <w:pStyle w:val="Bezmezer"/>
        <w:jc w:val="both"/>
      </w:pPr>
      <w:r>
        <w:t>Podmínky vzdělávacího procesu v těchto školách se řídí zákonem č. 561/2004 Sb., o předškolním, základním, středním, vyšším odborném a jiném vzdělávání (školský zákon), ve znění pozdějších předpisů a vyhláškou č. 27/2016 Sb., o vzdělávání žáků se speciálními vzdělávacími potřebami a žáků nadaných, ve znění pozdějších předpisů.</w:t>
      </w:r>
    </w:p>
    <w:p w:rsidR="006C000A" w:rsidRPr="00274C22" w:rsidRDefault="006C000A" w:rsidP="006C000A">
      <w:pPr>
        <w:pStyle w:val="Bezmezer"/>
        <w:jc w:val="both"/>
      </w:pPr>
      <w:r w:rsidRPr="00274C22">
        <w:t xml:space="preserve">Forma </w:t>
      </w:r>
      <w:r>
        <w:t xml:space="preserve">speciálního </w:t>
      </w:r>
      <w:r w:rsidRPr="00274C22">
        <w:t xml:space="preserve">vzdělávání </w:t>
      </w:r>
      <w:r>
        <w:t xml:space="preserve">jednotlivého žáka </w:t>
      </w:r>
      <w:r w:rsidRPr="00274C22">
        <w:t xml:space="preserve">je </w:t>
      </w:r>
      <w:r>
        <w:t xml:space="preserve">i nadále </w:t>
      </w:r>
      <w:r w:rsidRPr="00274C22">
        <w:t xml:space="preserve">zvolena na základě </w:t>
      </w:r>
      <w:r>
        <w:t>zprávy a doporuč</w:t>
      </w:r>
      <w:r w:rsidRPr="00274C22">
        <w:t>ení pracovník</w:t>
      </w:r>
      <w:r>
        <w:t>a</w:t>
      </w:r>
      <w:r w:rsidRPr="00274C22">
        <w:t xml:space="preserve"> školsk</w:t>
      </w:r>
      <w:r>
        <w:t>ého</w:t>
      </w:r>
      <w:r w:rsidRPr="00274C22">
        <w:t xml:space="preserve"> poradensk</w:t>
      </w:r>
      <w:r>
        <w:t>ého</w:t>
      </w:r>
      <w:r w:rsidRPr="00274C22">
        <w:t xml:space="preserve"> zařízení.</w:t>
      </w:r>
    </w:p>
    <w:p w:rsidR="006C000A" w:rsidRPr="00274C22" w:rsidRDefault="006C000A" w:rsidP="006C000A">
      <w:pPr>
        <w:pStyle w:val="Bezmezer"/>
        <w:jc w:val="both"/>
      </w:pPr>
      <w:r w:rsidRPr="00274C22">
        <w:t xml:space="preserve">V Libereckém kraji </w:t>
      </w:r>
      <w:r>
        <w:t xml:space="preserve">působí </w:t>
      </w:r>
      <w:r w:rsidRPr="00274C22">
        <w:t>školy pro žáky s vadami řeči, sluchu, tělesným i mentálním postižením, kombinovanými vadami či autismem. Specifikem tříd je výuka se sníženým počtem žáků a trvalá součinnost s</w:t>
      </w:r>
      <w:r>
        <w:t>e</w:t>
      </w:r>
      <w:r w:rsidRPr="00274C22">
        <w:t> </w:t>
      </w:r>
      <w:r>
        <w:t>školsk</w:t>
      </w:r>
      <w:r w:rsidRPr="00274C22">
        <w:t>ým</w:t>
      </w:r>
      <w:r>
        <w:t>i</w:t>
      </w:r>
      <w:r w:rsidRPr="00274C22">
        <w:t xml:space="preserve"> poradenským</w:t>
      </w:r>
      <w:r>
        <w:t>i zařízeními,</w:t>
      </w:r>
      <w:r w:rsidRPr="00274C22">
        <w:t xml:space="preserve"> či využívání asistent</w:t>
      </w:r>
      <w:r>
        <w:t>a</w:t>
      </w:r>
      <w:r w:rsidRPr="00274C22">
        <w:t xml:space="preserve"> pedagoga</w:t>
      </w:r>
      <w:r>
        <w:t xml:space="preserve"> nebo druhého pedagoga</w:t>
      </w:r>
      <w:r w:rsidRPr="00274C22">
        <w:t xml:space="preserve"> při výuce. </w:t>
      </w:r>
    </w:p>
    <w:p w:rsidR="006C000A" w:rsidRPr="00274C22" w:rsidRDefault="006C000A" w:rsidP="006C000A">
      <w:pPr>
        <w:pStyle w:val="Bezmezer"/>
        <w:jc w:val="both"/>
      </w:pPr>
      <w:r w:rsidRPr="00274C22">
        <w:t xml:space="preserve">Postupně dochází k integraci žáků se speciálními </w:t>
      </w:r>
      <w:r>
        <w:t xml:space="preserve">vzdělávacími </w:t>
      </w:r>
      <w:r w:rsidRPr="00274C22">
        <w:t>potřebami do hlavního vzdělávacího proudu</w:t>
      </w:r>
      <w:r>
        <w:t>. Během integrace</w:t>
      </w:r>
      <w:r w:rsidRPr="00274C22">
        <w:t xml:space="preserve"> je</w:t>
      </w:r>
      <w:r>
        <w:t xml:space="preserve"> žákovi, rodičům i</w:t>
      </w:r>
      <w:r w:rsidRPr="00274C22">
        <w:t xml:space="preserve"> pedagogům poskytována odborná péče peda</w:t>
      </w:r>
      <w:r>
        <w:t>gogicko-psychologických poraden a speciálně pedagogických center. Ve školách je možné využít poradenských služeb</w:t>
      </w:r>
      <w:r w:rsidRPr="00274C22">
        <w:t xml:space="preserve"> výchovn</w:t>
      </w:r>
      <w:r>
        <w:t>ého</w:t>
      </w:r>
      <w:r w:rsidRPr="00274C22">
        <w:t xml:space="preserve"> poradc</w:t>
      </w:r>
      <w:r>
        <w:t>e, školního speciálního pedagoga, případně školního psychologa.</w:t>
      </w:r>
      <w:r w:rsidRPr="00274C22">
        <w:t xml:space="preserve"> </w:t>
      </w:r>
    </w:p>
    <w:p w:rsidR="006C000A" w:rsidRDefault="006C000A" w:rsidP="006C000A">
      <w:pPr>
        <w:pStyle w:val="Bezmezer"/>
        <w:jc w:val="both"/>
      </w:pPr>
      <w:r>
        <w:t>Součástí základních škol jsou v některých případech základní školy speciální, přípravné stupně základních škol speciálních či přípravné třídy základní školy. Dva subjekty jsou samostatnou základní a mateřskou školou při zdravotnickém zařízení:</w:t>
      </w:r>
    </w:p>
    <w:p w:rsidR="006C000A" w:rsidRDefault="006C000A" w:rsidP="006C000A">
      <w:pPr>
        <w:pStyle w:val="Bezmezer"/>
        <w:jc w:val="both"/>
      </w:pPr>
    </w:p>
    <w:p w:rsidR="006C000A" w:rsidRDefault="006C000A" w:rsidP="006C000A">
      <w:pPr>
        <w:numPr>
          <w:ilvl w:val="0"/>
          <w:numId w:val="3"/>
        </w:numPr>
        <w:jc w:val="both"/>
      </w:pPr>
      <w:r>
        <w:t>Základní škola a Mateřská škola při nemocnici, Liberec, Husova 357/10, příspěvková organizace,</w:t>
      </w:r>
    </w:p>
    <w:p w:rsidR="006C000A" w:rsidRDefault="006C000A" w:rsidP="006C000A">
      <w:pPr>
        <w:ind w:left="360"/>
        <w:jc w:val="both"/>
      </w:pPr>
    </w:p>
    <w:p w:rsidR="006C000A" w:rsidRDefault="006C000A" w:rsidP="006C000A">
      <w:pPr>
        <w:numPr>
          <w:ilvl w:val="0"/>
          <w:numId w:val="3"/>
        </w:numPr>
        <w:jc w:val="both"/>
      </w:pPr>
      <w:r>
        <w:t xml:space="preserve">Základní škola a Mateřská škola při dětské léčebně, Cvikov, Ústavní 531, příspěvková organizace. </w:t>
      </w:r>
    </w:p>
    <w:p w:rsidR="006C000A" w:rsidRDefault="006C000A" w:rsidP="006C000A">
      <w:pPr>
        <w:pStyle w:val="Odstavecseseznamem"/>
      </w:pPr>
    </w:p>
    <w:p w:rsidR="006C000A" w:rsidRDefault="006C000A" w:rsidP="006C000A">
      <w:pPr>
        <w:jc w:val="both"/>
      </w:pPr>
      <w:r>
        <w:t xml:space="preserve">Jedna příspěvková organizace zahrnuje kromě dětského domova i mateřskou a základní školu. Zde se vzdělávají také žáci s nařízenou ústavní výchovou: </w:t>
      </w:r>
    </w:p>
    <w:p w:rsidR="006C000A" w:rsidRDefault="006C000A" w:rsidP="006C000A">
      <w:pPr>
        <w:pStyle w:val="Odstavecseseznamem"/>
      </w:pPr>
    </w:p>
    <w:p w:rsidR="006C000A" w:rsidRDefault="006C000A" w:rsidP="006C000A">
      <w:pPr>
        <w:numPr>
          <w:ilvl w:val="0"/>
          <w:numId w:val="3"/>
        </w:numPr>
        <w:jc w:val="both"/>
      </w:pPr>
      <w:r>
        <w:t xml:space="preserve"> </w:t>
      </w:r>
      <w:r w:rsidRPr="00EF03ED">
        <w:t>Dětský domov, Základní škola a Mateřská škola, Krompach 47, příspěvková organizace</w:t>
      </w:r>
      <w:r>
        <w:t>.</w:t>
      </w:r>
    </w:p>
    <w:p w:rsidR="006C000A" w:rsidRDefault="006C000A" w:rsidP="006C000A">
      <w:pPr>
        <w:ind w:left="720"/>
        <w:jc w:val="both"/>
      </w:pPr>
    </w:p>
    <w:p w:rsidR="006C000A" w:rsidRDefault="006C000A" w:rsidP="006C000A">
      <w:pPr>
        <w:jc w:val="both"/>
      </w:pPr>
      <w:r>
        <w:t xml:space="preserve">Významnou změnu do vzdělávání dětí, žáků a studentů se speciálními vzdělávacími potřebami přinesla novela č. 82/2015 Sb., zákona č. 561/2004, školský zákon s účinností od 1. 9. 2016, kterou došlo ke změně § 16 </w:t>
      </w:r>
      <w:r w:rsidRPr="007327A6">
        <w:t>Podpora vzdělávání dětí, žáků a studentů se</w:t>
      </w:r>
      <w:r>
        <w:t> </w:t>
      </w:r>
      <w:r w:rsidRPr="007327A6">
        <w:t>speciálními vzdělávacími potřebami</w:t>
      </w:r>
      <w:r>
        <w:t xml:space="preserve">. </w:t>
      </w:r>
    </w:p>
    <w:p w:rsidR="006C000A" w:rsidRDefault="006C000A" w:rsidP="006C000A">
      <w:pPr>
        <w:pStyle w:val="Bezmezer"/>
        <w:jc w:val="both"/>
      </w:pPr>
      <w:r>
        <w:t xml:space="preserve">Ustanovení tohoto paragrafu školského zákona nově vymezilo děti, žáky a studenty se speciálně vzdělávacími potřebami na základě jejich potřeb. Byly stanoveny stupně podpory, kterou potřebují k tomu, aby mohli být vzděláváni na rovnoprávném základě s ostatními. Bylo zavedeno pět stupňů podpůrných opatření, které lze různě kombinovat. Podpůrná opatření odpovídají zdravotnímu stavu, kulturnímu prostředí, nebo jiným životním podmínkám dítěte či žáka.  </w:t>
      </w:r>
    </w:p>
    <w:p w:rsidR="006C000A" w:rsidRDefault="006C000A" w:rsidP="006C000A">
      <w:pPr>
        <w:jc w:val="both"/>
      </w:pPr>
    </w:p>
    <w:p w:rsidR="000A3ED1" w:rsidRDefault="006C000A" w:rsidP="006C000A">
      <w:pPr>
        <w:jc w:val="both"/>
      </w:pPr>
      <w:r>
        <w:t xml:space="preserve">K této změně byla vydaná vyhláška č. 27/2016 Sb., o vzdělávání žáků se speciálními vzdělávacími potřebami a žáků nadaných, </w:t>
      </w:r>
      <w:r w:rsidR="000A3ED1">
        <w:t xml:space="preserve">ve znění pozdějších předpisů, </w:t>
      </w:r>
      <w:r>
        <w:t xml:space="preserve">rovněž s platností od 1. 9. 2016. Zároveň došlo Opatřením ministryně školství, mládeže a tělovýchovy </w:t>
      </w:r>
      <w:r w:rsidR="00B81294">
        <w:br/>
      </w:r>
      <w:r>
        <w:t>č. j.: MŠMT-28603/2016 s účinností od 1. 9. 2016 ke změně Rámcového vzdělávacího programu pro základní vzdělávání – zrušení Přílohy upravující vzdělávání žáků s lehkým mentálním postižením.</w:t>
      </w:r>
    </w:p>
    <w:p w:rsidR="006C000A" w:rsidRDefault="006C000A" w:rsidP="006C000A">
      <w:pPr>
        <w:jc w:val="both"/>
      </w:pPr>
      <w:r>
        <w:t xml:space="preserve"> </w:t>
      </w:r>
    </w:p>
    <w:p w:rsidR="006C000A" w:rsidRPr="00544469" w:rsidRDefault="00D345B5" w:rsidP="006C000A">
      <w:pPr>
        <w:spacing w:line="360" w:lineRule="auto"/>
        <w:jc w:val="both"/>
        <w:rPr>
          <w:b/>
        </w:rPr>
      </w:pPr>
      <w:r>
        <w:rPr>
          <w:b/>
        </w:rPr>
        <w:t>Tabulka č. 1:</w:t>
      </w:r>
      <w:r w:rsidR="006C000A" w:rsidRPr="00544469">
        <w:rPr>
          <w:b/>
        </w:rPr>
        <w:t>Vývoj počtu dětí a žá</w:t>
      </w:r>
      <w:r w:rsidR="006C000A">
        <w:rPr>
          <w:b/>
        </w:rPr>
        <w:t xml:space="preserve">ků ve školních letech 2014/2015 </w:t>
      </w:r>
      <w:r w:rsidR="006C000A" w:rsidRPr="00544469">
        <w:rPr>
          <w:b/>
        </w:rPr>
        <w:t>−</w:t>
      </w:r>
      <w:r w:rsidR="006C000A">
        <w:rPr>
          <w:b/>
        </w:rPr>
        <w:t xml:space="preserve"> </w:t>
      </w:r>
      <w:r w:rsidR="006C000A" w:rsidRPr="00544469">
        <w:rPr>
          <w:b/>
        </w:rPr>
        <w:t>2016/2017</w:t>
      </w:r>
    </w:p>
    <w:tbl>
      <w:tblPr>
        <w:tblStyle w:val="Mkatabulky"/>
        <w:tblW w:w="0" w:type="auto"/>
        <w:tblInd w:w="108" w:type="dxa"/>
        <w:tblLook w:val="04A0" w:firstRow="1" w:lastRow="0" w:firstColumn="1" w:lastColumn="0" w:noHBand="0" w:noVBand="1"/>
      </w:tblPr>
      <w:tblGrid>
        <w:gridCol w:w="4253"/>
        <w:gridCol w:w="1559"/>
        <w:gridCol w:w="1701"/>
        <w:gridCol w:w="1591"/>
      </w:tblGrid>
      <w:tr w:rsidR="006C000A" w:rsidTr="00246D9C">
        <w:trPr>
          <w:trHeight w:val="210"/>
        </w:trPr>
        <w:tc>
          <w:tcPr>
            <w:tcW w:w="4253" w:type="dxa"/>
            <w:vMerge w:val="restart"/>
            <w:vAlign w:val="center"/>
          </w:tcPr>
          <w:p w:rsidR="006C000A" w:rsidRPr="00D345B5" w:rsidRDefault="006C000A" w:rsidP="006B2C88">
            <w:pPr>
              <w:spacing w:line="360" w:lineRule="auto"/>
              <w:jc w:val="center"/>
              <w:rPr>
                <w:rFonts w:ascii="Times New Roman" w:hAnsi="Times New Roman" w:cs="Times New Roman"/>
                <w:b/>
              </w:rPr>
            </w:pPr>
            <w:r w:rsidRPr="00D345B5">
              <w:rPr>
                <w:rFonts w:ascii="Times New Roman" w:hAnsi="Times New Roman" w:cs="Times New Roman"/>
                <w:b/>
              </w:rPr>
              <w:t>POČET DĚTÍ / ŽÁKŮ</w:t>
            </w:r>
          </w:p>
        </w:tc>
        <w:tc>
          <w:tcPr>
            <w:tcW w:w="4851" w:type="dxa"/>
            <w:gridSpan w:val="3"/>
            <w:vAlign w:val="center"/>
          </w:tcPr>
          <w:p w:rsidR="006C000A" w:rsidRPr="00D345B5" w:rsidRDefault="006C000A" w:rsidP="006B2C88">
            <w:pPr>
              <w:spacing w:line="360" w:lineRule="auto"/>
              <w:jc w:val="center"/>
              <w:rPr>
                <w:rFonts w:ascii="Times New Roman" w:hAnsi="Times New Roman" w:cs="Times New Roman"/>
                <w:b/>
              </w:rPr>
            </w:pPr>
            <w:r w:rsidRPr="00D345B5">
              <w:rPr>
                <w:rFonts w:ascii="Times New Roman" w:hAnsi="Times New Roman" w:cs="Times New Roman"/>
                <w:b/>
              </w:rPr>
              <w:t>ŠKOLNÍ ROK</w:t>
            </w:r>
          </w:p>
        </w:tc>
      </w:tr>
      <w:tr w:rsidR="006C000A" w:rsidTr="00246D9C">
        <w:trPr>
          <w:trHeight w:val="210"/>
        </w:trPr>
        <w:tc>
          <w:tcPr>
            <w:tcW w:w="4253" w:type="dxa"/>
            <w:vMerge/>
          </w:tcPr>
          <w:p w:rsidR="006C000A" w:rsidRDefault="006C000A" w:rsidP="006B2C88">
            <w:pPr>
              <w:spacing w:line="360" w:lineRule="auto"/>
              <w:jc w:val="both"/>
              <w:rPr>
                <w:b/>
              </w:rPr>
            </w:pPr>
          </w:p>
        </w:tc>
        <w:tc>
          <w:tcPr>
            <w:tcW w:w="1559" w:type="dxa"/>
            <w:vAlign w:val="center"/>
          </w:tcPr>
          <w:p w:rsidR="006C000A" w:rsidRPr="00D345B5" w:rsidRDefault="006C000A" w:rsidP="006B2C88">
            <w:pPr>
              <w:spacing w:line="360" w:lineRule="auto"/>
              <w:jc w:val="center"/>
              <w:rPr>
                <w:rFonts w:ascii="Times New Roman" w:hAnsi="Times New Roman" w:cs="Times New Roman"/>
                <w:b/>
              </w:rPr>
            </w:pPr>
            <w:r w:rsidRPr="00D345B5">
              <w:rPr>
                <w:rFonts w:ascii="Times New Roman" w:hAnsi="Times New Roman" w:cs="Times New Roman"/>
                <w:b/>
              </w:rPr>
              <w:t>2014/2015</w:t>
            </w:r>
          </w:p>
        </w:tc>
        <w:tc>
          <w:tcPr>
            <w:tcW w:w="1701" w:type="dxa"/>
          </w:tcPr>
          <w:p w:rsidR="006C000A" w:rsidRPr="00D345B5" w:rsidRDefault="006C000A" w:rsidP="006B2C88">
            <w:pPr>
              <w:spacing w:line="360" w:lineRule="auto"/>
              <w:jc w:val="both"/>
              <w:rPr>
                <w:rFonts w:ascii="Times New Roman" w:hAnsi="Times New Roman" w:cs="Times New Roman"/>
                <w:b/>
              </w:rPr>
            </w:pPr>
            <w:r w:rsidRPr="00D345B5">
              <w:rPr>
                <w:rFonts w:ascii="Times New Roman" w:hAnsi="Times New Roman" w:cs="Times New Roman"/>
                <w:b/>
              </w:rPr>
              <w:t>2015/2016</w:t>
            </w:r>
          </w:p>
        </w:tc>
        <w:tc>
          <w:tcPr>
            <w:tcW w:w="1591" w:type="dxa"/>
          </w:tcPr>
          <w:p w:rsidR="006C000A" w:rsidRPr="00D345B5" w:rsidRDefault="006C000A" w:rsidP="006B2C88">
            <w:pPr>
              <w:spacing w:line="360" w:lineRule="auto"/>
              <w:jc w:val="both"/>
              <w:rPr>
                <w:rFonts w:ascii="Times New Roman" w:hAnsi="Times New Roman" w:cs="Times New Roman"/>
                <w:b/>
              </w:rPr>
            </w:pPr>
            <w:r w:rsidRPr="00D345B5">
              <w:rPr>
                <w:rFonts w:ascii="Times New Roman" w:hAnsi="Times New Roman" w:cs="Times New Roman"/>
                <w:b/>
              </w:rPr>
              <w:t>2016/2017</w:t>
            </w:r>
          </w:p>
        </w:tc>
      </w:tr>
      <w:tr w:rsidR="006C000A" w:rsidTr="00246D9C">
        <w:tc>
          <w:tcPr>
            <w:tcW w:w="4253" w:type="dxa"/>
            <w:vAlign w:val="center"/>
          </w:tcPr>
          <w:p w:rsidR="006C000A" w:rsidRPr="00D345B5" w:rsidRDefault="006C000A" w:rsidP="006B2C88">
            <w:pPr>
              <w:spacing w:line="360" w:lineRule="auto"/>
              <w:rPr>
                <w:rFonts w:ascii="Times New Roman" w:hAnsi="Times New Roman" w:cs="Times New Roman"/>
                <w:b/>
              </w:rPr>
            </w:pPr>
            <w:r w:rsidRPr="00D345B5">
              <w:rPr>
                <w:rFonts w:ascii="Times New Roman" w:hAnsi="Times New Roman" w:cs="Times New Roman"/>
              </w:rPr>
              <w:t>v předškolním vzdělávání</w:t>
            </w:r>
          </w:p>
        </w:tc>
        <w:tc>
          <w:tcPr>
            <w:tcW w:w="1559"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15 745</w:t>
            </w:r>
          </w:p>
        </w:tc>
        <w:tc>
          <w:tcPr>
            <w:tcW w:w="170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15 510</w:t>
            </w:r>
          </w:p>
        </w:tc>
        <w:tc>
          <w:tcPr>
            <w:tcW w:w="159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15 178</w:t>
            </w:r>
          </w:p>
        </w:tc>
      </w:tr>
      <w:tr w:rsidR="006C000A" w:rsidTr="00246D9C">
        <w:tc>
          <w:tcPr>
            <w:tcW w:w="4253" w:type="dxa"/>
            <w:vAlign w:val="bottom"/>
          </w:tcPr>
          <w:p w:rsidR="006C000A" w:rsidRPr="00D345B5" w:rsidRDefault="006C000A" w:rsidP="006B2C88">
            <w:pPr>
              <w:spacing w:line="360" w:lineRule="auto"/>
              <w:rPr>
                <w:rFonts w:ascii="Times New Roman" w:hAnsi="Times New Roman" w:cs="Times New Roman"/>
                <w:b/>
              </w:rPr>
            </w:pPr>
            <w:r w:rsidRPr="00D345B5">
              <w:rPr>
                <w:rFonts w:ascii="Times New Roman" w:hAnsi="Times New Roman" w:cs="Times New Roman"/>
              </w:rPr>
              <w:t>v základním vzdělávání</w:t>
            </w:r>
          </w:p>
        </w:tc>
        <w:tc>
          <w:tcPr>
            <w:tcW w:w="1559"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37 511</w:t>
            </w:r>
          </w:p>
        </w:tc>
        <w:tc>
          <w:tcPr>
            <w:tcW w:w="170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38 755</w:t>
            </w:r>
          </w:p>
        </w:tc>
        <w:tc>
          <w:tcPr>
            <w:tcW w:w="159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39 831</w:t>
            </w:r>
          </w:p>
        </w:tc>
      </w:tr>
      <w:tr w:rsidR="006C000A" w:rsidTr="00246D9C">
        <w:tc>
          <w:tcPr>
            <w:tcW w:w="4253" w:type="dxa"/>
          </w:tcPr>
          <w:p w:rsidR="006C000A" w:rsidRPr="00D345B5" w:rsidRDefault="006C000A" w:rsidP="006B2C88">
            <w:pPr>
              <w:spacing w:line="360" w:lineRule="auto"/>
              <w:jc w:val="both"/>
              <w:rPr>
                <w:rFonts w:ascii="Times New Roman" w:hAnsi="Times New Roman" w:cs="Times New Roman"/>
                <w:b/>
              </w:rPr>
            </w:pPr>
            <w:r w:rsidRPr="00D345B5">
              <w:rPr>
                <w:rFonts w:ascii="Times New Roman" w:hAnsi="Times New Roman" w:cs="Times New Roman"/>
              </w:rPr>
              <w:t>ve středním vzdělávání (v denní formě)</w:t>
            </w:r>
          </w:p>
        </w:tc>
        <w:tc>
          <w:tcPr>
            <w:tcW w:w="1559"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15 794</w:t>
            </w:r>
          </w:p>
        </w:tc>
        <w:tc>
          <w:tcPr>
            <w:tcW w:w="170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15 395</w:t>
            </w:r>
          </w:p>
        </w:tc>
        <w:tc>
          <w:tcPr>
            <w:tcW w:w="159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15 184</w:t>
            </w:r>
          </w:p>
        </w:tc>
      </w:tr>
      <w:tr w:rsidR="006C000A" w:rsidTr="00246D9C">
        <w:tc>
          <w:tcPr>
            <w:tcW w:w="4253" w:type="dxa"/>
          </w:tcPr>
          <w:p w:rsidR="006C000A" w:rsidRPr="00D345B5" w:rsidRDefault="006C000A" w:rsidP="006B2C88">
            <w:pPr>
              <w:spacing w:line="360" w:lineRule="auto"/>
              <w:jc w:val="both"/>
              <w:rPr>
                <w:rFonts w:ascii="Times New Roman" w:hAnsi="Times New Roman" w:cs="Times New Roman"/>
                <w:b/>
              </w:rPr>
            </w:pPr>
            <w:r w:rsidRPr="00D345B5">
              <w:rPr>
                <w:rFonts w:ascii="Times New Roman" w:hAnsi="Times New Roman" w:cs="Times New Roman"/>
              </w:rPr>
              <w:t>celkem</w:t>
            </w:r>
          </w:p>
        </w:tc>
        <w:tc>
          <w:tcPr>
            <w:tcW w:w="1559"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69 050</w:t>
            </w:r>
          </w:p>
        </w:tc>
        <w:tc>
          <w:tcPr>
            <w:tcW w:w="170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69 660</w:t>
            </w:r>
          </w:p>
        </w:tc>
        <w:tc>
          <w:tcPr>
            <w:tcW w:w="159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70 193</w:t>
            </w:r>
          </w:p>
        </w:tc>
      </w:tr>
      <w:tr w:rsidR="006C000A" w:rsidTr="00246D9C">
        <w:tc>
          <w:tcPr>
            <w:tcW w:w="4253" w:type="dxa"/>
          </w:tcPr>
          <w:p w:rsidR="006C000A" w:rsidRPr="00D345B5" w:rsidRDefault="006C000A" w:rsidP="006B2C88">
            <w:pPr>
              <w:spacing w:line="360" w:lineRule="auto"/>
              <w:jc w:val="both"/>
              <w:rPr>
                <w:rFonts w:ascii="Times New Roman" w:hAnsi="Times New Roman" w:cs="Times New Roman"/>
                <w:b/>
              </w:rPr>
            </w:pPr>
            <w:r w:rsidRPr="00D345B5">
              <w:rPr>
                <w:rFonts w:ascii="Times New Roman" w:hAnsi="Times New Roman" w:cs="Times New Roman"/>
              </w:rPr>
              <w:t>z toho ve speciálních třídách</w:t>
            </w:r>
          </w:p>
        </w:tc>
        <w:tc>
          <w:tcPr>
            <w:tcW w:w="1559"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2 621</w:t>
            </w:r>
          </w:p>
        </w:tc>
        <w:tc>
          <w:tcPr>
            <w:tcW w:w="170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2 600</w:t>
            </w:r>
          </w:p>
        </w:tc>
        <w:tc>
          <w:tcPr>
            <w:tcW w:w="159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2 536</w:t>
            </w:r>
          </w:p>
        </w:tc>
      </w:tr>
      <w:tr w:rsidR="006C000A" w:rsidTr="00246D9C">
        <w:tc>
          <w:tcPr>
            <w:tcW w:w="4253" w:type="dxa"/>
          </w:tcPr>
          <w:p w:rsidR="006C000A" w:rsidRPr="00D345B5" w:rsidRDefault="006C000A" w:rsidP="006B2C88">
            <w:pPr>
              <w:spacing w:line="360" w:lineRule="auto"/>
              <w:jc w:val="both"/>
              <w:rPr>
                <w:rFonts w:ascii="Times New Roman" w:hAnsi="Times New Roman" w:cs="Times New Roman"/>
                <w:b/>
              </w:rPr>
            </w:pPr>
            <w:r w:rsidRPr="00D345B5">
              <w:rPr>
                <w:rFonts w:ascii="Times New Roman" w:hAnsi="Times New Roman" w:cs="Times New Roman"/>
              </w:rPr>
              <w:t>individuálně integrovaní</w:t>
            </w:r>
          </w:p>
        </w:tc>
        <w:tc>
          <w:tcPr>
            <w:tcW w:w="1559"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1 951</w:t>
            </w:r>
          </w:p>
        </w:tc>
        <w:tc>
          <w:tcPr>
            <w:tcW w:w="170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2 202</w:t>
            </w:r>
          </w:p>
        </w:tc>
        <w:tc>
          <w:tcPr>
            <w:tcW w:w="159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2 283</w:t>
            </w:r>
          </w:p>
        </w:tc>
      </w:tr>
      <w:tr w:rsidR="006C000A" w:rsidTr="00246D9C">
        <w:tc>
          <w:tcPr>
            <w:tcW w:w="4253" w:type="dxa"/>
          </w:tcPr>
          <w:p w:rsidR="006C000A" w:rsidRPr="00D345B5" w:rsidRDefault="006C000A" w:rsidP="006B2C88">
            <w:pPr>
              <w:spacing w:line="360" w:lineRule="auto"/>
              <w:jc w:val="both"/>
              <w:rPr>
                <w:rFonts w:ascii="Times New Roman" w:hAnsi="Times New Roman" w:cs="Times New Roman"/>
                <w:b/>
              </w:rPr>
            </w:pPr>
            <w:r w:rsidRPr="00D345B5">
              <w:rPr>
                <w:rFonts w:ascii="Times New Roman" w:hAnsi="Times New Roman" w:cs="Times New Roman"/>
              </w:rPr>
              <w:t>bez SVP</w:t>
            </w:r>
          </w:p>
        </w:tc>
        <w:tc>
          <w:tcPr>
            <w:tcW w:w="1559"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64 478</w:t>
            </w:r>
          </w:p>
        </w:tc>
        <w:tc>
          <w:tcPr>
            <w:tcW w:w="170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64 858</w:t>
            </w:r>
          </w:p>
        </w:tc>
        <w:tc>
          <w:tcPr>
            <w:tcW w:w="1591" w:type="dxa"/>
          </w:tcPr>
          <w:p w:rsidR="006C000A" w:rsidRPr="00D345B5" w:rsidRDefault="006C000A" w:rsidP="006B2C88">
            <w:pPr>
              <w:spacing w:line="360" w:lineRule="auto"/>
              <w:jc w:val="center"/>
              <w:rPr>
                <w:rFonts w:ascii="Times New Roman" w:hAnsi="Times New Roman" w:cs="Times New Roman"/>
              </w:rPr>
            </w:pPr>
            <w:r w:rsidRPr="00D345B5">
              <w:rPr>
                <w:rFonts w:ascii="Times New Roman" w:hAnsi="Times New Roman" w:cs="Times New Roman"/>
              </w:rPr>
              <w:t>65 374</w:t>
            </w:r>
          </w:p>
        </w:tc>
      </w:tr>
    </w:tbl>
    <w:p w:rsidR="006C000A" w:rsidRPr="00246D9C" w:rsidRDefault="006C000A" w:rsidP="006C000A">
      <w:pPr>
        <w:spacing w:line="360" w:lineRule="auto"/>
        <w:jc w:val="both"/>
        <w:rPr>
          <w:b/>
          <w:i/>
        </w:rPr>
      </w:pPr>
      <w:r w:rsidRPr="00246D9C">
        <w:rPr>
          <w:i/>
        </w:rPr>
        <w:t>Zdroj: MŠMT - Výkazy k 30. 9. daného školního roku</w:t>
      </w:r>
    </w:p>
    <w:p w:rsidR="006C000A" w:rsidRDefault="006C000A" w:rsidP="006C000A">
      <w:pPr>
        <w:spacing w:line="360" w:lineRule="auto"/>
        <w:jc w:val="both"/>
        <w:rPr>
          <w:b/>
        </w:rPr>
      </w:pPr>
    </w:p>
    <w:p w:rsidR="006C000A" w:rsidRDefault="006C000A" w:rsidP="006C000A">
      <w:pPr>
        <w:jc w:val="both"/>
      </w:pPr>
      <w:r w:rsidRPr="007C6808">
        <w:t>Ve školním roce 201</w:t>
      </w:r>
      <w:r>
        <w:t>6</w:t>
      </w:r>
      <w:r w:rsidRPr="007C6808">
        <w:t>/201</w:t>
      </w:r>
      <w:r>
        <w:t>7</w:t>
      </w:r>
      <w:r w:rsidRPr="007C6808">
        <w:t xml:space="preserve"> bylo v</w:t>
      </w:r>
      <w:r>
        <w:t>e</w:t>
      </w:r>
      <w:r w:rsidRPr="007C6808">
        <w:t> </w:t>
      </w:r>
      <w:r>
        <w:t>vše</w:t>
      </w:r>
      <w:r w:rsidRPr="007C6808">
        <w:t xml:space="preserve">ch školách celkem </w:t>
      </w:r>
      <w:r>
        <w:t>70 193</w:t>
      </w:r>
      <w:r w:rsidRPr="007C6808">
        <w:t xml:space="preserve"> </w:t>
      </w:r>
      <w:r>
        <w:t xml:space="preserve">dětí, </w:t>
      </w:r>
      <w:r w:rsidRPr="007C6808">
        <w:t>žáků</w:t>
      </w:r>
      <w:r>
        <w:t xml:space="preserve"> a studentů</w:t>
      </w:r>
      <w:r w:rsidRPr="007C6808">
        <w:t xml:space="preserve">. Z toho </w:t>
      </w:r>
      <w:r>
        <w:t xml:space="preserve">se </w:t>
      </w:r>
      <w:r w:rsidRPr="007C6808">
        <w:t>celkem</w:t>
      </w:r>
      <w:r>
        <w:t xml:space="preserve"> 2 536</w:t>
      </w:r>
      <w:r w:rsidRPr="007C6808">
        <w:t xml:space="preserve"> </w:t>
      </w:r>
      <w:r>
        <w:t>dětí, žáků a studentů</w:t>
      </w:r>
      <w:r w:rsidRPr="007C6808">
        <w:t xml:space="preserve"> </w:t>
      </w:r>
      <w:r>
        <w:t xml:space="preserve">vzdělávalo </w:t>
      </w:r>
      <w:r w:rsidRPr="007C6808">
        <w:t xml:space="preserve">ve speciálních třídách. Individuálně integrovaných </w:t>
      </w:r>
      <w:r>
        <w:t xml:space="preserve">dětí, </w:t>
      </w:r>
      <w:r w:rsidRPr="007C6808">
        <w:t xml:space="preserve">žáků </w:t>
      </w:r>
      <w:r>
        <w:t xml:space="preserve">a studentů </w:t>
      </w:r>
      <w:r w:rsidRPr="007C6808">
        <w:t xml:space="preserve">bylo </w:t>
      </w:r>
      <w:r>
        <w:t>2 283</w:t>
      </w:r>
      <w:r w:rsidRPr="007C6808">
        <w:t>.</w:t>
      </w:r>
    </w:p>
    <w:p w:rsidR="006C000A" w:rsidRDefault="006C000A" w:rsidP="006C000A">
      <w:pPr>
        <w:jc w:val="both"/>
      </w:pPr>
    </w:p>
    <w:p w:rsidR="006C000A" w:rsidRDefault="006C000A" w:rsidP="006C000A">
      <w:pPr>
        <w:jc w:val="both"/>
      </w:pPr>
      <w:r>
        <w:t xml:space="preserve">Ve školách pro děti, žáky a studenty zřízených podle § 16 odst. 9 zákona č. 561/2004 Sb., </w:t>
      </w:r>
      <w:r w:rsidR="002D6758">
        <w:br/>
        <w:t>o předškolním, základním, středním, vyšším odborném a jiném vzdělávání (školský zákon)</w:t>
      </w:r>
      <w:r>
        <w:t>, ve znění pozdějších předpisů (pro děti, žáky a studenty s mentálním, tělesným, zrakovým nebo sluchovým postižením, závažnými vadami řeči, závažnými vývojovými poruchami učení, závažnými vývojovými poruchami chování, souběžným postižením více vadami nebo autismem), jejichž zřizovatelem je Liberecký kraj bylo celkem 1 139 dětí a žáků se speciálními vzdělávacími potřebami. Z tohoto počtu jich bylo 124 v mateřských školách, 758 v základních školách a 257 ve střední škole. Ve třídě přípravného stupně základní školy speciální byly 4 děti, při školách zřizovaných Libereckým krajem byly 3 přípravné třídy základní školy.</w:t>
      </w:r>
    </w:p>
    <w:p w:rsidR="006C000A" w:rsidRDefault="006C000A" w:rsidP="006C000A">
      <w:pPr>
        <w:jc w:val="both"/>
      </w:pPr>
      <w:r>
        <w:t>Ve středních školách zřizovaných Libereckým krajem, které ne</w:t>
      </w:r>
      <w:r w:rsidR="00FE50E6">
        <w:t>jsou zřízeny podle § 16 odst. 9</w:t>
      </w:r>
      <w:r>
        <w:t xml:space="preserve"> </w:t>
      </w:r>
      <w:r w:rsidR="00FE50E6">
        <w:t xml:space="preserve">o předškolním, základním, středním, vyšším odborném a jiném vzdělávání (školský zákon), ve znění pozdějších předpisů </w:t>
      </w:r>
      <w:r>
        <w:t xml:space="preserve">(celkem 36 škol) studuje 420 žáků se speciálními vzdělávacími potřebami. </w:t>
      </w:r>
    </w:p>
    <w:p w:rsidR="006C000A" w:rsidRDefault="006C000A" w:rsidP="006C000A">
      <w:pPr>
        <w:jc w:val="both"/>
        <w:rPr>
          <w:b/>
        </w:rPr>
      </w:pPr>
    </w:p>
    <w:p w:rsidR="006C000A" w:rsidRDefault="006C000A" w:rsidP="006C000A">
      <w:pPr>
        <w:jc w:val="both"/>
        <w:rPr>
          <w:b/>
        </w:rPr>
      </w:pPr>
    </w:p>
    <w:p w:rsidR="006C000A" w:rsidRDefault="006C000A" w:rsidP="006C000A">
      <w:pPr>
        <w:jc w:val="both"/>
        <w:rPr>
          <w:b/>
        </w:rPr>
      </w:pPr>
      <w:r w:rsidRPr="00AC65BD">
        <w:rPr>
          <w:b/>
        </w:rPr>
        <w:t xml:space="preserve">4. Poradenské služby </w:t>
      </w:r>
    </w:p>
    <w:p w:rsidR="006C000A" w:rsidRPr="00AC65BD" w:rsidRDefault="006C000A" w:rsidP="006C000A">
      <w:pPr>
        <w:jc w:val="both"/>
        <w:rPr>
          <w:b/>
        </w:rPr>
      </w:pPr>
    </w:p>
    <w:p w:rsidR="006C000A" w:rsidRDefault="006C000A" w:rsidP="006C000A">
      <w:pPr>
        <w:jc w:val="both"/>
      </w:pPr>
      <w:r>
        <w:t xml:space="preserve">Systém </w:t>
      </w:r>
      <w:r w:rsidRPr="003B46EA">
        <w:t>poradenských</w:t>
      </w:r>
      <w:r>
        <w:t> </w:t>
      </w:r>
      <w:r w:rsidRPr="003B46EA">
        <w:t>služeb</w:t>
      </w:r>
      <w:r w:rsidRPr="00AC65BD">
        <w:t xml:space="preserve"> v Libereckém kraji je zajištěn pedagogicko-psychologickými poradnami, speciálně pedagogickými </w:t>
      </w:r>
      <w:r>
        <w:t xml:space="preserve">centry, výchovnými poradci, </w:t>
      </w:r>
      <w:r w:rsidRPr="00AC65BD">
        <w:t>metodiky primární prevence</w:t>
      </w:r>
      <w:r>
        <w:t xml:space="preserve"> na školách, případně i školním psychologem nebo školním speciálním pedagogem.</w:t>
      </w:r>
    </w:p>
    <w:p w:rsidR="006C000A" w:rsidRDefault="006C000A" w:rsidP="006C000A">
      <w:pPr>
        <w:jc w:val="both"/>
        <w:rPr>
          <w:b/>
        </w:rPr>
      </w:pPr>
    </w:p>
    <w:p w:rsidR="00246D9C" w:rsidRDefault="00246D9C" w:rsidP="006C000A">
      <w:pPr>
        <w:jc w:val="both"/>
        <w:rPr>
          <w:b/>
        </w:rPr>
      </w:pPr>
    </w:p>
    <w:p w:rsidR="000A3ED1" w:rsidRDefault="000A3ED1" w:rsidP="006C000A">
      <w:pPr>
        <w:jc w:val="both"/>
        <w:rPr>
          <w:b/>
        </w:rPr>
      </w:pPr>
    </w:p>
    <w:p w:rsidR="000A3ED1" w:rsidRDefault="000A3ED1" w:rsidP="006C000A">
      <w:pPr>
        <w:jc w:val="both"/>
        <w:rPr>
          <w:b/>
        </w:rPr>
      </w:pPr>
    </w:p>
    <w:p w:rsidR="000A3ED1" w:rsidRDefault="000A3ED1" w:rsidP="006C000A">
      <w:pPr>
        <w:jc w:val="both"/>
        <w:rPr>
          <w:b/>
        </w:rPr>
      </w:pPr>
    </w:p>
    <w:p w:rsidR="006C000A" w:rsidRDefault="006C000A" w:rsidP="006C000A">
      <w:pPr>
        <w:jc w:val="both"/>
        <w:rPr>
          <w:b/>
        </w:rPr>
      </w:pPr>
      <w:r>
        <w:rPr>
          <w:b/>
        </w:rPr>
        <w:t xml:space="preserve">4.1 </w:t>
      </w:r>
      <w:r w:rsidRPr="007777BE">
        <w:rPr>
          <w:b/>
        </w:rPr>
        <w:t>Pedagogicko-psychologické poradny</w:t>
      </w:r>
      <w:r w:rsidRPr="00AC65BD">
        <w:rPr>
          <w:b/>
        </w:rPr>
        <w:t xml:space="preserve"> </w:t>
      </w:r>
    </w:p>
    <w:p w:rsidR="006C000A" w:rsidRPr="00AC65BD" w:rsidRDefault="006C000A" w:rsidP="006C000A">
      <w:pPr>
        <w:jc w:val="both"/>
        <w:rPr>
          <w:b/>
        </w:rPr>
      </w:pPr>
    </w:p>
    <w:p w:rsidR="006C000A" w:rsidRDefault="006C000A" w:rsidP="006C000A">
      <w:pPr>
        <w:pStyle w:val="Bezmezer"/>
        <w:jc w:val="both"/>
      </w:pPr>
      <w:r w:rsidRPr="00274C22">
        <w:t>Pedagogicko-psychologické poradny</w:t>
      </w:r>
      <w:r>
        <w:t xml:space="preserve"> zajišťují spektrum psychologických a speciálně-pedagogických služeb, které jsou vymezeny zákonem č. 561/2004 Sb., o předškolním, základním, středním, vyšším odborném a jiném vzdělávání (školský zákon), ve znění pozdějších předpisů, vyhláškou č. 72/2005 Sb., o poskytování poradenských služeb ve  školách a školských poradenských zařízeních a vyhláškou č. 27/2016 Sb., o vzdělávání žáků se speciálními vzdělávacími potřebami a žáků nadaných, ve znění pozdějších předpisů. Poradenské služby jsou poskytovány dětem od tří let, dětem navštěvujícím mateřské školy, žákům základních škol, žákům středních škol a studentům vyšších odborných škol až do věku dokončení studia, výjimečně i studentům vysokých škol. Dále zákonným zástupcům žáků a  pedagogickým pracovníkům škol. Poradny zajišťují pro klienty informační, diagnostickou, poradenskou a metodickou činnost, poskytují odborné speciálně-pedagogické a pedagogicko-psychologické služby, preventivně výchovnou péči a napomáhají při volbě vzdělávání žáků v přípravě na budoucí povolání. Standardní poradenské služby poskytují bezplatně. Podmínkou poskytnutí poradenské služby je souhlas zákonného zástupce nebo zletilého žáka. Služby poraden jsou zajišťovány týmem psychologů, speciálních pedagogů </w:t>
      </w:r>
      <w:r>
        <w:br/>
        <w:t xml:space="preserve">a sociálních pracovnic. Všichni odborní pracovníci splňují kvalifikační předpoklady a dbají </w:t>
      </w:r>
      <w:r>
        <w:br/>
        <w:t>o vysokou profesionální úroveň své práce.</w:t>
      </w:r>
    </w:p>
    <w:p w:rsidR="006C000A" w:rsidRPr="006617F2" w:rsidRDefault="006C000A" w:rsidP="006C000A">
      <w:pPr>
        <w:jc w:val="both"/>
        <w:rPr>
          <w:b/>
        </w:rPr>
      </w:pPr>
    </w:p>
    <w:p w:rsidR="006C000A" w:rsidRPr="006617F2" w:rsidRDefault="006C000A" w:rsidP="006C000A">
      <w:pPr>
        <w:spacing w:line="360" w:lineRule="auto"/>
        <w:jc w:val="both"/>
        <w:rPr>
          <w:b/>
        </w:rPr>
      </w:pPr>
      <w:r w:rsidRPr="006617F2">
        <w:rPr>
          <w:b/>
        </w:rPr>
        <w:t xml:space="preserve">V Libereckém kraji působí čtyři poradny: </w:t>
      </w:r>
    </w:p>
    <w:p w:rsidR="006C000A" w:rsidRDefault="006C000A" w:rsidP="006C000A">
      <w:pPr>
        <w:spacing w:after="120"/>
        <w:jc w:val="both"/>
      </w:pPr>
      <w:r w:rsidRPr="003D5340">
        <w:t>Pedagogicko-psychologická poradna, Liberec 2, Truhlářská 3, příspěvková organizace</w:t>
      </w:r>
      <w:r>
        <w:t>, ředitelka Mgr. Jana Hlavová,</w:t>
      </w:r>
    </w:p>
    <w:p w:rsidR="006C000A" w:rsidRDefault="006C000A" w:rsidP="006C000A">
      <w:pPr>
        <w:spacing w:after="120"/>
        <w:jc w:val="both"/>
      </w:pPr>
      <w:r w:rsidRPr="00851C01">
        <w:t>Pedagogicko-psychologická poradna, Jablonec nad Nisou, příspěvková organizace</w:t>
      </w:r>
      <w:r>
        <w:t>, ředitelka Mgr. Ivana Ullmannová,</w:t>
      </w:r>
    </w:p>
    <w:p w:rsidR="006C000A" w:rsidRDefault="006C000A" w:rsidP="006C000A">
      <w:pPr>
        <w:spacing w:after="120"/>
        <w:jc w:val="both"/>
      </w:pPr>
      <w:r w:rsidRPr="003D5340">
        <w:t>Pedagogicko-psychologická poradna a speciálně pedagogické centrum, Semily, příspěvková organizace</w:t>
      </w:r>
      <w:r>
        <w:t>, ředitelka Mgr. Věra Provazníková,</w:t>
      </w:r>
    </w:p>
    <w:p w:rsidR="006C000A" w:rsidRPr="00697EEE" w:rsidRDefault="006C000A" w:rsidP="006C000A">
      <w:pPr>
        <w:spacing w:after="120"/>
        <w:jc w:val="both"/>
      </w:pPr>
      <w:r w:rsidRPr="00851C01">
        <w:t>Pedagogicko-psychologická poradna, Česká Lípa, Havlíčkova 443, příspěvková organizace</w:t>
      </w:r>
      <w:r>
        <w:t>, ředitelka Mgr. Pavla Šimánková.</w:t>
      </w:r>
    </w:p>
    <w:p w:rsidR="008041A8" w:rsidRDefault="008041A8" w:rsidP="00464158">
      <w:pPr>
        <w:spacing w:line="360" w:lineRule="auto"/>
        <w:jc w:val="both"/>
        <w:rPr>
          <w:b/>
        </w:rPr>
      </w:pPr>
    </w:p>
    <w:p w:rsidR="006C000A" w:rsidRPr="006617F2" w:rsidRDefault="00627EDD" w:rsidP="00464158">
      <w:pPr>
        <w:spacing w:line="360" w:lineRule="auto"/>
        <w:jc w:val="both"/>
        <w:rPr>
          <w:b/>
        </w:rPr>
      </w:pPr>
      <w:r>
        <w:rPr>
          <w:b/>
        </w:rPr>
        <w:t>Tabulka č. 2</w:t>
      </w:r>
      <w:r w:rsidR="006C000A">
        <w:rPr>
          <w:b/>
        </w:rPr>
        <w:t xml:space="preserve">: </w:t>
      </w:r>
      <w:r w:rsidR="006C000A" w:rsidRPr="006617F2">
        <w:rPr>
          <w:b/>
        </w:rPr>
        <w:t>Přehled klientů pedagogicko–psychologických poraden</w:t>
      </w:r>
    </w:p>
    <w:tbl>
      <w:tblPr>
        <w:tblW w:w="9031" w:type="dxa"/>
        <w:tblInd w:w="55" w:type="dxa"/>
        <w:tblCellMar>
          <w:left w:w="70" w:type="dxa"/>
          <w:right w:w="70" w:type="dxa"/>
        </w:tblCellMar>
        <w:tblLook w:val="04A0" w:firstRow="1" w:lastRow="0" w:firstColumn="1" w:lastColumn="0" w:noHBand="0" w:noVBand="1"/>
      </w:tblPr>
      <w:tblGrid>
        <w:gridCol w:w="3262"/>
        <w:gridCol w:w="1923"/>
        <w:gridCol w:w="1923"/>
        <w:gridCol w:w="1923"/>
      </w:tblGrid>
      <w:tr w:rsidR="006C000A" w:rsidRPr="003D5340" w:rsidTr="006B2C88">
        <w:trPr>
          <w:trHeight w:val="351"/>
        </w:trPr>
        <w:tc>
          <w:tcPr>
            <w:tcW w:w="3262" w:type="dxa"/>
            <w:tcBorders>
              <w:top w:val="single" w:sz="4" w:space="0" w:color="auto"/>
              <w:left w:val="single" w:sz="4" w:space="0" w:color="auto"/>
              <w:bottom w:val="single" w:sz="4" w:space="0" w:color="auto"/>
              <w:right w:val="nil"/>
            </w:tcBorders>
            <w:shd w:val="clear" w:color="auto" w:fill="auto"/>
            <w:noWrap/>
            <w:vAlign w:val="bottom"/>
            <w:hideMark/>
          </w:tcPr>
          <w:p w:rsidR="006C000A" w:rsidRPr="003D5340" w:rsidRDefault="006C000A" w:rsidP="00464158">
            <w:pPr>
              <w:spacing w:line="360" w:lineRule="auto"/>
              <w:rPr>
                <w:bCs/>
                <w:color w:val="000000"/>
              </w:rPr>
            </w:pPr>
            <w:r w:rsidRPr="003D5340">
              <w:rPr>
                <w:bCs/>
                <w:color w:val="000000"/>
              </w:rPr>
              <w:t>Klienti</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00A" w:rsidRPr="003D5340" w:rsidRDefault="006C000A" w:rsidP="00464158">
            <w:pPr>
              <w:spacing w:line="360" w:lineRule="auto"/>
              <w:jc w:val="center"/>
              <w:rPr>
                <w:bCs/>
                <w:color w:val="000000"/>
              </w:rPr>
            </w:pPr>
            <w:r w:rsidRPr="003D5340">
              <w:rPr>
                <w:bCs/>
                <w:color w:val="000000"/>
              </w:rPr>
              <w:t>2014/2015</w:t>
            </w:r>
          </w:p>
        </w:tc>
        <w:tc>
          <w:tcPr>
            <w:tcW w:w="1923" w:type="dxa"/>
            <w:tcBorders>
              <w:top w:val="single" w:sz="4" w:space="0" w:color="auto"/>
              <w:left w:val="nil"/>
              <w:bottom w:val="single" w:sz="4" w:space="0" w:color="auto"/>
              <w:right w:val="nil"/>
            </w:tcBorders>
            <w:shd w:val="clear" w:color="auto" w:fill="auto"/>
            <w:noWrap/>
            <w:vAlign w:val="bottom"/>
          </w:tcPr>
          <w:p w:rsidR="006C000A" w:rsidRPr="003D5340" w:rsidRDefault="006C000A" w:rsidP="00464158">
            <w:pPr>
              <w:spacing w:line="360" w:lineRule="auto"/>
              <w:jc w:val="center"/>
              <w:rPr>
                <w:bCs/>
                <w:color w:val="000000"/>
              </w:rPr>
            </w:pPr>
            <w:r w:rsidRPr="003D5340">
              <w:rPr>
                <w:bCs/>
                <w:color w:val="000000"/>
              </w:rPr>
              <w:t>201</w:t>
            </w:r>
            <w:r>
              <w:rPr>
                <w:bCs/>
                <w:color w:val="000000"/>
              </w:rPr>
              <w:t>5</w:t>
            </w:r>
            <w:r w:rsidRPr="003D5340">
              <w:rPr>
                <w:bCs/>
                <w:color w:val="000000"/>
              </w:rPr>
              <w:t>/201</w:t>
            </w:r>
            <w:r>
              <w:rPr>
                <w:bCs/>
                <w:color w:val="000000"/>
              </w:rPr>
              <w:t>6</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00A" w:rsidRPr="003D5340" w:rsidRDefault="006C000A" w:rsidP="00464158">
            <w:pPr>
              <w:spacing w:line="360" w:lineRule="auto"/>
              <w:jc w:val="center"/>
              <w:rPr>
                <w:bCs/>
                <w:color w:val="000000"/>
              </w:rPr>
            </w:pPr>
            <w:r>
              <w:rPr>
                <w:bCs/>
                <w:color w:val="000000"/>
              </w:rPr>
              <w:t>2016/2017</w:t>
            </w:r>
          </w:p>
        </w:tc>
      </w:tr>
      <w:tr w:rsidR="006C000A" w:rsidRPr="003D5340" w:rsidTr="006B2C88">
        <w:trPr>
          <w:trHeight w:val="334"/>
        </w:trPr>
        <w:tc>
          <w:tcPr>
            <w:tcW w:w="3262" w:type="dxa"/>
            <w:tcBorders>
              <w:top w:val="single" w:sz="4" w:space="0" w:color="auto"/>
              <w:left w:val="single" w:sz="4" w:space="0" w:color="auto"/>
              <w:bottom w:val="single" w:sz="4" w:space="0" w:color="auto"/>
              <w:right w:val="nil"/>
            </w:tcBorders>
            <w:shd w:val="clear" w:color="auto" w:fill="auto"/>
            <w:noWrap/>
            <w:vAlign w:val="bottom"/>
            <w:hideMark/>
          </w:tcPr>
          <w:p w:rsidR="006C000A" w:rsidRPr="003D5340" w:rsidRDefault="006C000A" w:rsidP="006B2C88">
            <w:pPr>
              <w:rPr>
                <w:color w:val="000000"/>
              </w:rPr>
            </w:pPr>
            <w:r w:rsidRPr="003D5340">
              <w:rPr>
                <w:color w:val="000000"/>
              </w:rPr>
              <w:t>MŠ a MŠ speciální</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00A" w:rsidRPr="003D5340" w:rsidRDefault="006C000A" w:rsidP="006B2C88">
            <w:pPr>
              <w:jc w:val="right"/>
              <w:rPr>
                <w:color w:val="000000"/>
              </w:rPr>
            </w:pPr>
            <w:r w:rsidRPr="003D5340">
              <w:rPr>
                <w:color w:val="000000"/>
              </w:rPr>
              <w:t>1</w:t>
            </w:r>
            <w:r>
              <w:rPr>
                <w:color w:val="000000"/>
              </w:rPr>
              <w:t xml:space="preserve"> </w:t>
            </w:r>
            <w:r w:rsidRPr="003D5340">
              <w:rPr>
                <w:color w:val="000000"/>
              </w:rPr>
              <w:t>496</w:t>
            </w:r>
          </w:p>
        </w:tc>
        <w:tc>
          <w:tcPr>
            <w:tcW w:w="1923" w:type="dxa"/>
            <w:tcBorders>
              <w:top w:val="single" w:sz="4" w:space="0" w:color="auto"/>
              <w:left w:val="nil"/>
              <w:bottom w:val="single" w:sz="4" w:space="0" w:color="auto"/>
              <w:right w:val="nil"/>
            </w:tcBorders>
            <w:shd w:val="clear" w:color="auto" w:fill="auto"/>
            <w:noWrap/>
            <w:vAlign w:val="bottom"/>
          </w:tcPr>
          <w:p w:rsidR="006C000A" w:rsidRPr="003D5340" w:rsidRDefault="006C000A" w:rsidP="006B2C88">
            <w:pPr>
              <w:jc w:val="right"/>
              <w:rPr>
                <w:color w:val="000000"/>
              </w:rPr>
            </w:pPr>
            <w:r>
              <w:rPr>
                <w:color w:val="000000"/>
              </w:rPr>
              <w:t xml:space="preserve">1 808  </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00A" w:rsidRPr="003D5340" w:rsidRDefault="006C000A" w:rsidP="006B2C88">
            <w:pPr>
              <w:jc w:val="right"/>
              <w:rPr>
                <w:color w:val="000000"/>
              </w:rPr>
            </w:pPr>
            <w:r>
              <w:rPr>
                <w:color w:val="000000"/>
              </w:rPr>
              <w:t>1771</w:t>
            </w:r>
          </w:p>
        </w:tc>
      </w:tr>
      <w:tr w:rsidR="006C000A" w:rsidRPr="003D5340" w:rsidTr="006B2C88">
        <w:trPr>
          <w:trHeight w:val="334"/>
        </w:trPr>
        <w:tc>
          <w:tcPr>
            <w:tcW w:w="3262" w:type="dxa"/>
            <w:tcBorders>
              <w:top w:val="single" w:sz="4" w:space="0" w:color="auto"/>
              <w:left w:val="single" w:sz="4" w:space="0" w:color="auto"/>
              <w:bottom w:val="single" w:sz="4" w:space="0" w:color="auto"/>
              <w:right w:val="nil"/>
            </w:tcBorders>
            <w:shd w:val="clear" w:color="auto" w:fill="auto"/>
            <w:noWrap/>
            <w:vAlign w:val="bottom"/>
          </w:tcPr>
          <w:p w:rsidR="006C000A" w:rsidRPr="003D5340" w:rsidRDefault="006C000A" w:rsidP="006B2C88">
            <w:pPr>
              <w:rPr>
                <w:color w:val="000000"/>
              </w:rPr>
            </w:pPr>
            <w:r>
              <w:rPr>
                <w:color w:val="000000"/>
              </w:rPr>
              <w:t>Přípravná třída/stupeň</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p>
        </w:tc>
        <w:tc>
          <w:tcPr>
            <w:tcW w:w="1923" w:type="dxa"/>
            <w:tcBorders>
              <w:top w:val="single" w:sz="4" w:space="0" w:color="auto"/>
              <w:left w:val="nil"/>
              <w:bottom w:val="single" w:sz="4" w:space="0" w:color="auto"/>
              <w:right w:val="nil"/>
            </w:tcBorders>
            <w:shd w:val="clear" w:color="auto" w:fill="auto"/>
            <w:noWrap/>
            <w:vAlign w:val="center"/>
          </w:tcPr>
          <w:p w:rsidR="006C000A" w:rsidRPr="003D5340" w:rsidRDefault="006C000A" w:rsidP="006B2C88">
            <w:pPr>
              <w:jc w:val="right"/>
              <w:rPr>
                <w:color w:val="000000"/>
              </w:rPr>
            </w:pPr>
            <w:r>
              <w:rPr>
                <w:color w:val="000000"/>
              </w:rPr>
              <w:t>44</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r>
              <w:rPr>
                <w:color w:val="000000"/>
              </w:rPr>
              <w:t>10</w:t>
            </w:r>
          </w:p>
        </w:tc>
      </w:tr>
      <w:tr w:rsidR="006C000A" w:rsidRPr="003D5340" w:rsidTr="006B2C88">
        <w:trPr>
          <w:trHeight w:val="334"/>
        </w:trPr>
        <w:tc>
          <w:tcPr>
            <w:tcW w:w="3262" w:type="dxa"/>
            <w:tcBorders>
              <w:top w:val="single" w:sz="4" w:space="0" w:color="auto"/>
              <w:left w:val="single" w:sz="4" w:space="0" w:color="auto"/>
              <w:bottom w:val="single" w:sz="4" w:space="0" w:color="auto"/>
              <w:right w:val="nil"/>
            </w:tcBorders>
            <w:shd w:val="clear" w:color="auto" w:fill="auto"/>
            <w:noWrap/>
            <w:vAlign w:val="bottom"/>
            <w:hideMark/>
          </w:tcPr>
          <w:p w:rsidR="006C000A" w:rsidRPr="003D5340" w:rsidRDefault="006C000A" w:rsidP="006B2C88">
            <w:pPr>
              <w:rPr>
                <w:color w:val="000000"/>
              </w:rPr>
            </w:pPr>
            <w:r w:rsidRPr="003D5340">
              <w:rPr>
                <w:color w:val="000000"/>
              </w:rPr>
              <w:t>ZŠ – 1. stupeň</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r w:rsidRPr="003D5340">
              <w:rPr>
                <w:color w:val="000000"/>
              </w:rPr>
              <w:t>3</w:t>
            </w:r>
            <w:r>
              <w:rPr>
                <w:color w:val="000000"/>
              </w:rPr>
              <w:t xml:space="preserve"> </w:t>
            </w:r>
            <w:r w:rsidRPr="003D5340">
              <w:rPr>
                <w:color w:val="000000"/>
              </w:rPr>
              <w:t>655</w:t>
            </w:r>
          </w:p>
        </w:tc>
        <w:tc>
          <w:tcPr>
            <w:tcW w:w="1923" w:type="dxa"/>
            <w:tcBorders>
              <w:top w:val="single" w:sz="4" w:space="0" w:color="auto"/>
              <w:left w:val="nil"/>
              <w:bottom w:val="single" w:sz="4" w:space="0" w:color="auto"/>
              <w:right w:val="nil"/>
            </w:tcBorders>
            <w:shd w:val="clear" w:color="auto" w:fill="auto"/>
            <w:noWrap/>
            <w:vAlign w:val="center"/>
          </w:tcPr>
          <w:p w:rsidR="006C000A" w:rsidRPr="003D5340" w:rsidRDefault="006C000A" w:rsidP="006B2C88">
            <w:pPr>
              <w:jc w:val="right"/>
              <w:rPr>
                <w:color w:val="000000"/>
              </w:rPr>
            </w:pPr>
            <w:r>
              <w:rPr>
                <w:color w:val="000000"/>
              </w:rPr>
              <w:t>3 549</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r>
              <w:rPr>
                <w:color w:val="000000"/>
              </w:rPr>
              <w:t>x</w:t>
            </w:r>
          </w:p>
        </w:tc>
      </w:tr>
      <w:tr w:rsidR="006C000A" w:rsidRPr="003D5340" w:rsidTr="006B2C88">
        <w:trPr>
          <w:trHeight w:val="334"/>
        </w:trPr>
        <w:tc>
          <w:tcPr>
            <w:tcW w:w="3262" w:type="dxa"/>
            <w:tcBorders>
              <w:top w:val="single" w:sz="4" w:space="0" w:color="auto"/>
              <w:left w:val="single" w:sz="4" w:space="0" w:color="auto"/>
              <w:bottom w:val="single" w:sz="4" w:space="0" w:color="auto"/>
              <w:right w:val="nil"/>
            </w:tcBorders>
            <w:shd w:val="clear" w:color="auto" w:fill="auto"/>
            <w:noWrap/>
            <w:vAlign w:val="bottom"/>
            <w:hideMark/>
          </w:tcPr>
          <w:p w:rsidR="006C000A" w:rsidRPr="003D5340" w:rsidRDefault="006C000A" w:rsidP="006B2C88">
            <w:pPr>
              <w:rPr>
                <w:color w:val="000000"/>
              </w:rPr>
            </w:pPr>
            <w:r w:rsidRPr="003D5340">
              <w:rPr>
                <w:color w:val="000000"/>
              </w:rPr>
              <w:t>ZŠ – 2. stupeň</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r w:rsidRPr="003D5340">
              <w:rPr>
                <w:color w:val="000000"/>
              </w:rPr>
              <w:t>1</w:t>
            </w:r>
            <w:r>
              <w:rPr>
                <w:color w:val="000000"/>
              </w:rPr>
              <w:t xml:space="preserve"> </w:t>
            </w:r>
            <w:r w:rsidRPr="003D5340">
              <w:rPr>
                <w:color w:val="000000"/>
              </w:rPr>
              <w:t>479</w:t>
            </w:r>
          </w:p>
        </w:tc>
        <w:tc>
          <w:tcPr>
            <w:tcW w:w="1923" w:type="dxa"/>
            <w:tcBorders>
              <w:top w:val="single" w:sz="4" w:space="0" w:color="auto"/>
              <w:left w:val="nil"/>
              <w:bottom w:val="single" w:sz="4" w:space="0" w:color="auto"/>
              <w:right w:val="nil"/>
            </w:tcBorders>
            <w:shd w:val="clear" w:color="auto" w:fill="auto"/>
            <w:noWrap/>
            <w:vAlign w:val="center"/>
          </w:tcPr>
          <w:p w:rsidR="006C000A" w:rsidRPr="003D5340" w:rsidRDefault="006C000A" w:rsidP="006B2C88">
            <w:pPr>
              <w:jc w:val="right"/>
              <w:rPr>
                <w:color w:val="000000"/>
              </w:rPr>
            </w:pPr>
            <w:r>
              <w:rPr>
                <w:color w:val="000000"/>
              </w:rPr>
              <w:t>1 663</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r>
              <w:rPr>
                <w:color w:val="000000"/>
              </w:rPr>
              <w:t>x</w:t>
            </w:r>
          </w:p>
        </w:tc>
      </w:tr>
      <w:tr w:rsidR="006C000A" w:rsidRPr="003D5340" w:rsidTr="006B2C88">
        <w:trPr>
          <w:trHeight w:val="334"/>
        </w:trPr>
        <w:tc>
          <w:tcPr>
            <w:tcW w:w="3262" w:type="dxa"/>
            <w:tcBorders>
              <w:top w:val="single" w:sz="4" w:space="0" w:color="auto"/>
              <w:left w:val="single" w:sz="4" w:space="0" w:color="auto"/>
              <w:bottom w:val="single" w:sz="4" w:space="0" w:color="auto"/>
              <w:right w:val="nil"/>
            </w:tcBorders>
            <w:shd w:val="clear" w:color="auto" w:fill="auto"/>
            <w:noWrap/>
            <w:vAlign w:val="bottom"/>
          </w:tcPr>
          <w:p w:rsidR="006C000A" w:rsidRPr="003D5340" w:rsidRDefault="006C000A" w:rsidP="006B2C88">
            <w:pPr>
              <w:rPr>
                <w:color w:val="000000"/>
              </w:rPr>
            </w:pPr>
            <w:r>
              <w:rPr>
                <w:color w:val="000000"/>
              </w:rPr>
              <w:t>ZŠ celkem</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r>
              <w:rPr>
                <w:color w:val="000000"/>
              </w:rPr>
              <w:t>5 134</w:t>
            </w:r>
          </w:p>
        </w:tc>
        <w:tc>
          <w:tcPr>
            <w:tcW w:w="1923" w:type="dxa"/>
            <w:tcBorders>
              <w:top w:val="single" w:sz="4" w:space="0" w:color="auto"/>
              <w:left w:val="nil"/>
              <w:bottom w:val="single" w:sz="4" w:space="0" w:color="auto"/>
              <w:right w:val="nil"/>
            </w:tcBorders>
            <w:shd w:val="clear" w:color="auto" w:fill="auto"/>
            <w:noWrap/>
            <w:vAlign w:val="center"/>
          </w:tcPr>
          <w:p w:rsidR="006C000A" w:rsidRDefault="006C000A" w:rsidP="006B2C88">
            <w:pPr>
              <w:jc w:val="right"/>
              <w:rPr>
                <w:color w:val="000000"/>
              </w:rPr>
            </w:pPr>
            <w:r>
              <w:rPr>
                <w:color w:val="000000"/>
              </w:rPr>
              <w:t>5 212</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r>
              <w:rPr>
                <w:color w:val="000000"/>
              </w:rPr>
              <w:t>5 340</w:t>
            </w:r>
          </w:p>
        </w:tc>
      </w:tr>
      <w:tr w:rsidR="006C000A" w:rsidRPr="003D5340" w:rsidTr="006B2C88">
        <w:trPr>
          <w:trHeight w:val="334"/>
        </w:trPr>
        <w:tc>
          <w:tcPr>
            <w:tcW w:w="3262" w:type="dxa"/>
            <w:tcBorders>
              <w:top w:val="single" w:sz="4" w:space="0" w:color="auto"/>
              <w:left w:val="single" w:sz="4" w:space="0" w:color="auto"/>
              <w:bottom w:val="single" w:sz="4" w:space="0" w:color="auto"/>
              <w:right w:val="nil"/>
            </w:tcBorders>
            <w:shd w:val="clear" w:color="auto" w:fill="auto"/>
            <w:noWrap/>
            <w:vAlign w:val="bottom"/>
            <w:hideMark/>
          </w:tcPr>
          <w:p w:rsidR="006C000A" w:rsidRPr="003D5340" w:rsidRDefault="006C000A" w:rsidP="006B2C88">
            <w:pPr>
              <w:rPr>
                <w:color w:val="000000"/>
              </w:rPr>
            </w:pPr>
            <w:r w:rsidRPr="003D5340">
              <w:rPr>
                <w:color w:val="000000"/>
              </w:rPr>
              <w:t>SŠ</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r w:rsidRPr="003D5340">
              <w:rPr>
                <w:color w:val="000000"/>
              </w:rPr>
              <w:t>518</w:t>
            </w:r>
          </w:p>
        </w:tc>
        <w:tc>
          <w:tcPr>
            <w:tcW w:w="1923" w:type="dxa"/>
            <w:tcBorders>
              <w:top w:val="single" w:sz="4" w:space="0" w:color="auto"/>
              <w:left w:val="nil"/>
              <w:bottom w:val="single" w:sz="4" w:space="0" w:color="auto"/>
              <w:right w:val="nil"/>
            </w:tcBorders>
            <w:shd w:val="clear" w:color="auto" w:fill="auto"/>
            <w:noWrap/>
            <w:vAlign w:val="center"/>
          </w:tcPr>
          <w:p w:rsidR="006C000A" w:rsidRPr="003D5340" w:rsidRDefault="006C000A" w:rsidP="006B2C88">
            <w:pPr>
              <w:jc w:val="right"/>
              <w:rPr>
                <w:color w:val="000000"/>
              </w:rPr>
            </w:pPr>
            <w:r>
              <w:rPr>
                <w:color w:val="000000"/>
              </w:rPr>
              <w:t>761</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r>
              <w:rPr>
                <w:color w:val="000000"/>
              </w:rPr>
              <w:t>648</w:t>
            </w:r>
          </w:p>
        </w:tc>
      </w:tr>
      <w:tr w:rsidR="006C000A" w:rsidRPr="003D5340" w:rsidTr="006B2C88">
        <w:trPr>
          <w:trHeight w:val="334"/>
        </w:trPr>
        <w:tc>
          <w:tcPr>
            <w:tcW w:w="3262" w:type="dxa"/>
            <w:tcBorders>
              <w:top w:val="single" w:sz="4" w:space="0" w:color="auto"/>
              <w:left w:val="single" w:sz="4" w:space="0" w:color="auto"/>
              <w:bottom w:val="single" w:sz="4" w:space="0" w:color="auto"/>
              <w:right w:val="nil"/>
            </w:tcBorders>
            <w:shd w:val="clear" w:color="auto" w:fill="auto"/>
            <w:noWrap/>
            <w:vAlign w:val="bottom"/>
            <w:hideMark/>
          </w:tcPr>
          <w:p w:rsidR="006C000A" w:rsidRPr="003D5340" w:rsidRDefault="006C000A" w:rsidP="006B2C88">
            <w:pPr>
              <w:rPr>
                <w:color w:val="000000"/>
              </w:rPr>
            </w:pPr>
            <w:r w:rsidRPr="003D5340">
              <w:rPr>
                <w:color w:val="000000"/>
              </w:rPr>
              <w:t>Konzervatoř</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r w:rsidRPr="003D5340">
              <w:rPr>
                <w:color w:val="000000"/>
              </w:rPr>
              <w:t>0</w:t>
            </w:r>
          </w:p>
        </w:tc>
        <w:tc>
          <w:tcPr>
            <w:tcW w:w="1923" w:type="dxa"/>
            <w:tcBorders>
              <w:top w:val="single" w:sz="4" w:space="0" w:color="auto"/>
              <w:left w:val="nil"/>
              <w:bottom w:val="single" w:sz="4" w:space="0" w:color="auto"/>
              <w:right w:val="nil"/>
            </w:tcBorders>
            <w:shd w:val="clear" w:color="auto" w:fill="auto"/>
            <w:noWrap/>
            <w:vAlign w:val="center"/>
          </w:tcPr>
          <w:p w:rsidR="006C000A" w:rsidRPr="003D5340" w:rsidRDefault="006C000A" w:rsidP="006B2C88">
            <w:pPr>
              <w:jc w:val="right"/>
              <w:rPr>
                <w:color w:val="000000"/>
              </w:rPr>
            </w:pPr>
            <w:r>
              <w:rPr>
                <w:color w:val="000000"/>
              </w:rPr>
              <w:t>1</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r>
              <w:rPr>
                <w:color w:val="000000"/>
              </w:rPr>
              <w:t>1</w:t>
            </w:r>
          </w:p>
        </w:tc>
      </w:tr>
      <w:tr w:rsidR="006C000A" w:rsidRPr="003D5340" w:rsidTr="006B2C88">
        <w:trPr>
          <w:trHeight w:val="334"/>
        </w:trPr>
        <w:tc>
          <w:tcPr>
            <w:tcW w:w="3262" w:type="dxa"/>
            <w:tcBorders>
              <w:top w:val="single" w:sz="4" w:space="0" w:color="auto"/>
              <w:left w:val="single" w:sz="4" w:space="0" w:color="auto"/>
              <w:bottom w:val="single" w:sz="4" w:space="0" w:color="auto"/>
              <w:right w:val="nil"/>
            </w:tcBorders>
            <w:shd w:val="clear" w:color="auto" w:fill="auto"/>
            <w:noWrap/>
            <w:vAlign w:val="bottom"/>
            <w:hideMark/>
          </w:tcPr>
          <w:p w:rsidR="006C000A" w:rsidRPr="003D5340" w:rsidRDefault="006C000A" w:rsidP="006B2C88">
            <w:pPr>
              <w:rPr>
                <w:color w:val="000000"/>
              </w:rPr>
            </w:pPr>
            <w:r w:rsidRPr="003D5340">
              <w:rPr>
                <w:color w:val="000000"/>
              </w:rPr>
              <w:t>VOŠ</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r w:rsidRPr="003D5340">
              <w:rPr>
                <w:color w:val="000000"/>
              </w:rPr>
              <w:t>0</w:t>
            </w:r>
          </w:p>
        </w:tc>
        <w:tc>
          <w:tcPr>
            <w:tcW w:w="1923" w:type="dxa"/>
            <w:tcBorders>
              <w:top w:val="single" w:sz="4" w:space="0" w:color="auto"/>
              <w:left w:val="nil"/>
              <w:bottom w:val="single" w:sz="4" w:space="0" w:color="auto"/>
              <w:right w:val="nil"/>
            </w:tcBorders>
            <w:shd w:val="clear" w:color="auto" w:fill="auto"/>
            <w:noWrap/>
            <w:vAlign w:val="center"/>
          </w:tcPr>
          <w:p w:rsidR="006C000A" w:rsidRPr="003D5340" w:rsidRDefault="006C000A" w:rsidP="006B2C88">
            <w:pPr>
              <w:jc w:val="right"/>
              <w:rPr>
                <w:color w:val="000000"/>
              </w:rPr>
            </w:pPr>
            <w:r>
              <w:rPr>
                <w:color w:val="000000"/>
              </w:rPr>
              <w:t>1</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00A" w:rsidRPr="003D5340" w:rsidRDefault="006C000A" w:rsidP="006B2C88">
            <w:pPr>
              <w:jc w:val="right"/>
              <w:rPr>
                <w:color w:val="000000"/>
              </w:rPr>
            </w:pPr>
            <w:r>
              <w:rPr>
                <w:color w:val="000000"/>
              </w:rPr>
              <w:t>3</w:t>
            </w:r>
          </w:p>
        </w:tc>
      </w:tr>
      <w:tr w:rsidR="006C000A" w:rsidRPr="003D5340" w:rsidTr="006B2C88">
        <w:trPr>
          <w:trHeight w:val="351"/>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000A" w:rsidRPr="003D5340" w:rsidRDefault="006C000A" w:rsidP="006B2C88">
            <w:pPr>
              <w:rPr>
                <w:color w:val="000000"/>
              </w:rPr>
            </w:pPr>
            <w:r w:rsidRPr="003D5340">
              <w:rPr>
                <w:color w:val="000000"/>
              </w:rPr>
              <w:t>Rodiče a jiní</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00A" w:rsidRPr="003D5340" w:rsidRDefault="006C000A" w:rsidP="006B2C88">
            <w:pPr>
              <w:jc w:val="right"/>
              <w:rPr>
                <w:color w:val="000000"/>
              </w:rPr>
            </w:pPr>
            <w:r w:rsidRPr="003D5340">
              <w:rPr>
                <w:color w:val="000000"/>
              </w:rPr>
              <w:t>85</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00A" w:rsidRPr="003D5340" w:rsidRDefault="006C000A" w:rsidP="006B2C88">
            <w:pPr>
              <w:jc w:val="right"/>
              <w:rPr>
                <w:color w:val="000000"/>
              </w:rPr>
            </w:pPr>
            <w:r>
              <w:rPr>
                <w:color w:val="000000"/>
              </w:rPr>
              <w:t>90</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00A" w:rsidRPr="003D5340" w:rsidRDefault="006C000A" w:rsidP="006B2C88">
            <w:pPr>
              <w:jc w:val="right"/>
              <w:rPr>
                <w:color w:val="000000"/>
              </w:rPr>
            </w:pPr>
            <w:r>
              <w:rPr>
                <w:color w:val="000000"/>
              </w:rPr>
              <w:t>356</w:t>
            </w:r>
          </w:p>
        </w:tc>
      </w:tr>
      <w:tr w:rsidR="006C000A" w:rsidRPr="003D5340" w:rsidTr="006B2C88">
        <w:trPr>
          <w:trHeight w:val="351"/>
        </w:trPr>
        <w:tc>
          <w:tcPr>
            <w:tcW w:w="3262" w:type="dxa"/>
            <w:tcBorders>
              <w:top w:val="single" w:sz="4" w:space="0" w:color="auto"/>
              <w:left w:val="single" w:sz="4" w:space="0" w:color="auto"/>
              <w:bottom w:val="single" w:sz="4" w:space="0" w:color="auto"/>
              <w:right w:val="single" w:sz="6" w:space="0" w:color="auto"/>
            </w:tcBorders>
            <w:shd w:val="clear" w:color="auto" w:fill="auto"/>
            <w:noWrap/>
            <w:vAlign w:val="bottom"/>
            <w:hideMark/>
          </w:tcPr>
          <w:p w:rsidR="006C000A" w:rsidRPr="00FA7CD3" w:rsidRDefault="006C000A" w:rsidP="006B2C88">
            <w:pPr>
              <w:rPr>
                <w:b/>
                <w:bCs/>
                <w:color w:val="000000"/>
              </w:rPr>
            </w:pPr>
            <w:r w:rsidRPr="00FA7CD3">
              <w:rPr>
                <w:b/>
                <w:bCs/>
                <w:color w:val="000000"/>
              </w:rPr>
              <w:t>Celkem</w:t>
            </w:r>
          </w:p>
        </w:tc>
        <w:tc>
          <w:tcPr>
            <w:tcW w:w="1923" w:type="dxa"/>
            <w:tcBorders>
              <w:top w:val="single" w:sz="4" w:space="0" w:color="auto"/>
              <w:left w:val="single" w:sz="6" w:space="0" w:color="auto"/>
              <w:bottom w:val="single" w:sz="4" w:space="0" w:color="auto"/>
              <w:right w:val="single" w:sz="6" w:space="0" w:color="auto"/>
            </w:tcBorders>
            <w:shd w:val="clear" w:color="auto" w:fill="auto"/>
            <w:noWrap/>
            <w:vAlign w:val="bottom"/>
          </w:tcPr>
          <w:p w:rsidR="006C000A" w:rsidRPr="00FA7CD3" w:rsidRDefault="006C000A" w:rsidP="006B2C88">
            <w:pPr>
              <w:jc w:val="right"/>
              <w:rPr>
                <w:b/>
                <w:color w:val="000000"/>
              </w:rPr>
            </w:pPr>
            <w:r w:rsidRPr="00FA7CD3">
              <w:rPr>
                <w:b/>
                <w:color w:val="000000"/>
              </w:rPr>
              <w:t>7 233</w:t>
            </w:r>
          </w:p>
        </w:tc>
        <w:tc>
          <w:tcPr>
            <w:tcW w:w="1923" w:type="dxa"/>
            <w:tcBorders>
              <w:top w:val="single" w:sz="4" w:space="0" w:color="auto"/>
              <w:left w:val="single" w:sz="6" w:space="0" w:color="auto"/>
              <w:bottom w:val="single" w:sz="4" w:space="0" w:color="auto"/>
              <w:right w:val="single" w:sz="6" w:space="0" w:color="auto"/>
            </w:tcBorders>
            <w:shd w:val="clear" w:color="auto" w:fill="auto"/>
            <w:noWrap/>
            <w:vAlign w:val="bottom"/>
          </w:tcPr>
          <w:p w:rsidR="006C000A" w:rsidRPr="00FA7CD3" w:rsidRDefault="006C000A" w:rsidP="006B2C88">
            <w:pPr>
              <w:jc w:val="right"/>
              <w:rPr>
                <w:b/>
                <w:bCs/>
                <w:color w:val="000000"/>
              </w:rPr>
            </w:pPr>
            <w:r w:rsidRPr="00FA7CD3">
              <w:rPr>
                <w:b/>
                <w:bCs/>
                <w:color w:val="000000"/>
              </w:rPr>
              <w:t>7 917</w:t>
            </w:r>
          </w:p>
        </w:tc>
        <w:tc>
          <w:tcPr>
            <w:tcW w:w="1923" w:type="dxa"/>
            <w:tcBorders>
              <w:top w:val="single" w:sz="4" w:space="0" w:color="auto"/>
              <w:left w:val="single" w:sz="6" w:space="0" w:color="auto"/>
              <w:bottom w:val="single" w:sz="4" w:space="0" w:color="auto"/>
              <w:right w:val="single" w:sz="4" w:space="0" w:color="auto"/>
            </w:tcBorders>
            <w:shd w:val="clear" w:color="auto" w:fill="auto"/>
            <w:noWrap/>
            <w:vAlign w:val="bottom"/>
          </w:tcPr>
          <w:p w:rsidR="006C000A" w:rsidRPr="00FA7CD3" w:rsidRDefault="006C000A" w:rsidP="006B2C88">
            <w:pPr>
              <w:jc w:val="right"/>
              <w:rPr>
                <w:b/>
                <w:color w:val="000000"/>
              </w:rPr>
            </w:pPr>
            <w:r w:rsidRPr="00FA7CD3">
              <w:rPr>
                <w:b/>
                <w:color w:val="000000"/>
              </w:rPr>
              <w:t>8 129</w:t>
            </w:r>
          </w:p>
        </w:tc>
      </w:tr>
      <w:tr w:rsidR="006C000A" w:rsidRPr="003D5340" w:rsidTr="006B2C88">
        <w:trPr>
          <w:trHeight w:val="334"/>
        </w:trPr>
        <w:tc>
          <w:tcPr>
            <w:tcW w:w="5185" w:type="dxa"/>
            <w:gridSpan w:val="2"/>
            <w:tcBorders>
              <w:top w:val="single" w:sz="4" w:space="0" w:color="auto"/>
              <w:bottom w:val="nil"/>
              <w:right w:val="nil"/>
            </w:tcBorders>
            <w:shd w:val="clear" w:color="auto" w:fill="auto"/>
            <w:noWrap/>
            <w:vAlign w:val="bottom"/>
            <w:hideMark/>
          </w:tcPr>
          <w:p w:rsidR="006C000A" w:rsidRPr="00246D9C" w:rsidRDefault="006C000A" w:rsidP="006B2C88">
            <w:pPr>
              <w:rPr>
                <w:i/>
                <w:iCs/>
                <w:color w:val="000000"/>
              </w:rPr>
            </w:pPr>
            <w:r w:rsidRPr="00246D9C">
              <w:rPr>
                <w:i/>
                <w:iCs/>
                <w:color w:val="000000"/>
              </w:rPr>
              <w:t>Zdroj: MŠMT - Výkazy k 30. 9. 2016</w:t>
            </w:r>
          </w:p>
        </w:tc>
        <w:tc>
          <w:tcPr>
            <w:tcW w:w="1923" w:type="dxa"/>
            <w:tcBorders>
              <w:top w:val="single" w:sz="4" w:space="0" w:color="auto"/>
              <w:left w:val="nil"/>
              <w:bottom w:val="nil"/>
              <w:right w:val="nil"/>
            </w:tcBorders>
            <w:shd w:val="clear" w:color="auto" w:fill="auto"/>
            <w:noWrap/>
            <w:vAlign w:val="bottom"/>
            <w:hideMark/>
          </w:tcPr>
          <w:p w:rsidR="006C000A" w:rsidRPr="003D5340" w:rsidRDefault="006C000A" w:rsidP="006B2C88">
            <w:pPr>
              <w:rPr>
                <w:color w:val="000000"/>
                <w:sz w:val="22"/>
                <w:szCs w:val="22"/>
              </w:rPr>
            </w:pPr>
          </w:p>
        </w:tc>
        <w:tc>
          <w:tcPr>
            <w:tcW w:w="1923" w:type="dxa"/>
            <w:tcBorders>
              <w:top w:val="single" w:sz="4" w:space="0" w:color="auto"/>
              <w:left w:val="nil"/>
              <w:bottom w:val="nil"/>
              <w:right w:val="nil"/>
            </w:tcBorders>
            <w:shd w:val="clear" w:color="auto" w:fill="auto"/>
            <w:noWrap/>
            <w:vAlign w:val="bottom"/>
            <w:hideMark/>
          </w:tcPr>
          <w:p w:rsidR="006C000A" w:rsidRPr="003D5340" w:rsidRDefault="006C000A" w:rsidP="006B2C88">
            <w:pPr>
              <w:rPr>
                <w:color w:val="000000"/>
                <w:sz w:val="22"/>
                <w:szCs w:val="22"/>
              </w:rPr>
            </w:pPr>
          </w:p>
        </w:tc>
      </w:tr>
    </w:tbl>
    <w:p w:rsidR="00627EDD" w:rsidRDefault="00627EDD" w:rsidP="006C000A">
      <w:pPr>
        <w:spacing w:before="120" w:after="120"/>
        <w:rPr>
          <w:b/>
          <w:sz w:val="20"/>
          <w:szCs w:val="20"/>
        </w:rPr>
      </w:pPr>
    </w:p>
    <w:p w:rsidR="00246D9C" w:rsidRDefault="00246D9C" w:rsidP="006C000A">
      <w:pPr>
        <w:spacing w:before="120" w:after="120"/>
        <w:rPr>
          <w:b/>
        </w:rPr>
      </w:pPr>
    </w:p>
    <w:p w:rsidR="006C000A" w:rsidRPr="00627EDD" w:rsidRDefault="00627EDD" w:rsidP="006C000A">
      <w:pPr>
        <w:spacing w:before="120" w:after="120"/>
        <w:rPr>
          <w:b/>
        </w:rPr>
      </w:pPr>
      <w:r>
        <w:rPr>
          <w:b/>
        </w:rPr>
        <w:t xml:space="preserve">Graf č. 12: </w:t>
      </w:r>
      <w:r w:rsidR="006C000A" w:rsidRPr="00627EDD">
        <w:rPr>
          <w:b/>
        </w:rPr>
        <w:t xml:space="preserve">Klienti pedagogicko-psychologických poraden podle důvodu příchodu </w:t>
      </w:r>
    </w:p>
    <w:p w:rsidR="006C000A" w:rsidRPr="005748E3" w:rsidRDefault="006C000A" w:rsidP="006C000A">
      <w:pPr>
        <w:rPr>
          <w:highlight w:val="yellow"/>
        </w:rPr>
      </w:pPr>
      <w:r>
        <w:rPr>
          <w:noProof/>
        </w:rPr>
        <w:drawing>
          <wp:inline distT="0" distB="0" distL="0" distR="0" wp14:anchorId="417D20E5" wp14:editId="7863BBF7">
            <wp:extent cx="5760720" cy="3182587"/>
            <wp:effectExtent l="0" t="0" r="11430" b="18415"/>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C000A" w:rsidRPr="00246D9C" w:rsidRDefault="006C000A" w:rsidP="006C000A">
      <w:pPr>
        <w:rPr>
          <w:i/>
          <w:iCs/>
          <w:color w:val="000000"/>
        </w:rPr>
      </w:pPr>
      <w:r w:rsidRPr="00246D9C">
        <w:rPr>
          <w:i/>
          <w:iCs/>
          <w:color w:val="000000"/>
        </w:rPr>
        <w:t>Zdroj: MŠMT - Výkazy k 30. 9. daného školního roku</w:t>
      </w:r>
    </w:p>
    <w:p w:rsidR="006C000A" w:rsidRDefault="006C000A" w:rsidP="006C000A">
      <w:pPr>
        <w:tabs>
          <w:tab w:val="left" w:pos="7797"/>
        </w:tabs>
        <w:rPr>
          <w:b/>
        </w:rPr>
      </w:pPr>
    </w:p>
    <w:p w:rsidR="006C000A" w:rsidRPr="002E3B63" w:rsidRDefault="006C000A" w:rsidP="006C000A">
      <w:pPr>
        <w:jc w:val="both"/>
      </w:pPr>
      <w:r w:rsidRPr="002E3B63">
        <w:t>Ve školním roce 2016/2017 se všechny poradny potýkaly s nedostatkem pracovníků, zvláště psychologů, a to i přes navýšení kapacit pracovníků prostřednictvím rozvojového programu MŠMT i zřizovatele.</w:t>
      </w:r>
      <w:r w:rsidRPr="00664EED">
        <w:rPr>
          <w:iCs/>
          <w:color w:val="000000"/>
        </w:rPr>
        <w:t xml:space="preserve"> </w:t>
      </w:r>
      <w:r>
        <w:rPr>
          <w:iCs/>
          <w:color w:val="000000"/>
        </w:rPr>
        <w:t>Pedagogicko-psychologická poradna v České Lípě částečně s</w:t>
      </w:r>
      <w:r w:rsidRPr="002E3B63">
        <w:rPr>
          <w:iCs/>
          <w:color w:val="000000"/>
        </w:rPr>
        <w:t>upluje i</w:t>
      </w:r>
      <w:r>
        <w:rPr>
          <w:iCs/>
          <w:color w:val="000000"/>
        </w:rPr>
        <w:t> </w:t>
      </w:r>
      <w:r w:rsidRPr="002E3B63">
        <w:rPr>
          <w:iCs/>
          <w:color w:val="000000"/>
        </w:rPr>
        <w:t>chybějící</w:t>
      </w:r>
      <w:r>
        <w:rPr>
          <w:iCs/>
          <w:color w:val="000000"/>
        </w:rPr>
        <w:t xml:space="preserve"> speciálně-pedagogické centrum, zejména pro žáky s mentálním postižením.</w:t>
      </w:r>
    </w:p>
    <w:p w:rsidR="006C000A" w:rsidRPr="002E3B63" w:rsidRDefault="006C000A" w:rsidP="006C000A">
      <w:pPr>
        <w:jc w:val="both"/>
      </w:pPr>
      <w:r w:rsidRPr="002E3B63">
        <w:t>Všechny PPP negativně hodnotily nárůst administrativní zátěže spojené s vyšetřením klienta,</w:t>
      </w:r>
      <w:r>
        <w:t xml:space="preserve"> zejména</w:t>
      </w:r>
      <w:r w:rsidRPr="002E3B63">
        <w:t xml:space="preserve"> to, že byli do poraden doporučováni klienti, kteří neměli obtíže ve výuce, nebo klienti, u kterých se nevyčkalo, zd</w:t>
      </w:r>
      <w:r>
        <w:t>a se problém nevyřeší přirozeně</w:t>
      </w:r>
      <w:r w:rsidRPr="002E3B63">
        <w:t xml:space="preserve"> nebo plánem pedagogické podpory. Dále se klienti bez omluvy nedostavovali k vyšetření, čímž „blokovali“ termíny pro</w:t>
      </w:r>
      <w:r w:rsidRPr="00CF224E">
        <w:t> </w:t>
      </w:r>
      <w:r w:rsidRPr="002E3B63">
        <w:t>další možné zájemce, o vyšetření žádali klienti, kteří měli dosud platné doporuč</w:t>
      </w:r>
      <w:r>
        <w:t>ení, obtížná byla spolupráce s </w:t>
      </w:r>
      <w:r w:rsidRPr="002E3B63">
        <w:t>rodinami</w:t>
      </w:r>
      <w:r>
        <w:t xml:space="preserve"> ze socio-kulturně znevýhodněného prostředí</w:t>
      </w:r>
      <w:r w:rsidRPr="002E3B63">
        <w:t>.</w:t>
      </w:r>
    </w:p>
    <w:p w:rsidR="006C000A" w:rsidRPr="002E3B63" w:rsidRDefault="006C000A" w:rsidP="006C000A">
      <w:pPr>
        <w:jc w:val="both"/>
      </w:pPr>
      <w:r w:rsidRPr="002E3B63">
        <w:t>I přes vysoké pracovní nasazení všech pracovníků PPP, i výkonem práce v mimopracovní dobu, byly stanovené procesní lhůty dodržovány za cenu omezení dalších standardních činností, v některých případech nebyly dodrženy vůbec, zvláště když došlo k onemocnění pracovníků.</w:t>
      </w:r>
    </w:p>
    <w:p w:rsidR="006C000A" w:rsidRDefault="006C000A" w:rsidP="006C000A">
      <w:pPr>
        <w:jc w:val="both"/>
      </w:pPr>
      <w:r w:rsidRPr="002E3B63">
        <w:t>PPP přes veškerý nápor spojený s novou úpravou vzdělávání žáků se speciálními vzdělávacími potřebami a žáků nadaných metodicky vedly výchovné poradce a školní metodiky prevence, pokračovaly v aktivitách v rámci projektu Poradenství v Libereckém kraji, metodicky pomáhaly pedagogům, zabezpečovaly krizovou intervenci, navštěvovaly školy, zajišťovaly reedukační péči pro děti s SPU, reedukaci předškoláků atd.</w:t>
      </w:r>
    </w:p>
    <w:p w:rsidR="006C000A" w:rsidRPr="00DE20D4" w:rsidRDefault="006C000A" w:rsidP="006C000A">
      <w:pPr>
        <w:tabs>
          <w:tab w:val="left" w:pos="7797"/>
        </w:tabs>
        <w:jc w:val="both"/>
        <w:rPr>
          <w:b/>
        </w:rPr>
      </w:pPr>
    </w:p>
    <w:p w:rsidR="006C000A" w:rsidRDefault="006C000A" w:rsidP="006C000A">
      <w:pPr>
        <w:jc w:val="both"/>
        <w:rPr>
          <w:b/>
        </w:rPr>
      </w:pPr>
    </w:p>
    <w:p w:rsidR="006C000A" w:rsidRPr="00331F6F" w:rsidRDefault="006C000A" w:rsidP="006C000A">
      <w:pPr>
        <w:jc w:val="both"/>
        <w:rPr>
          <w:b/>
        </w:rPr>
      </w:pPr>
      <w:r w:rsidRPr="00331F6F">
        <w:rPr>
          <w:b/>
        </w:rPr>
        <w:t>4.2 Speciálně pedagogická centra</w:t>
      </w:r>
    </w:p>
    <w:p w:rsidR="006C000A" w:rsidRPr="00331F6F" w:rsidRDefault="006C000A" w:rsidP="006C000A">
      <w:pPr>
        <w:jc w:val="both"/>
        <w:rPr>
          <w:b/>
        </w:rPr>
      </w:pPr>
    </w:p>
    <w:p w:rsidR="006C000A" w:rsidRPr="00331F6F" w:rsidRDefault="006C000A" w:rsidP="006C000A">
      <w:pPr>
        <w:spacing w:after="120"/>
        <w:jc w:val="both"/>
      </w:pPr>
      <w:r w:rsidRPr="00331F6F">
        <w:t xml:space="preserve">Činnost speciálně </w:t>
      </w:r>
      <w:r w:rsidR="00497BFC">
        <w:t>pedagogického centra (dále jen SPC</w:t>
      </w:r>
      <w:r w:rsidRPr="00331F6F">
        <w:t xml:space="preserve">) je zaměřena na žáky se zdravotním postižením nebo se zdravotním znevýhodněním. SPC poskytují psychologické, sociální </w:t>
      </w:r>
      <w:r w:rsidRPr="00331F6F">
        <w:br/>
        <w:t>a speciálně pedagogické služby, které se uskutečňují přímo v jejich prostorách, nebo individuálně v místě bydliště či ve školním prostředí. SPC se podílejí na integraci žáků se speciálními vzdělávacími potřebami do běžného vzdělávacího proudu. Jednotlivá zařízení se úzce specializují na konkrétní zdravotní postižení (sluchové, zrakové, tělesné nebo mentální postižení, vady řeči, poruchy autistického spektra nebo souběžné postižení více vadami).</w:t>
      </w:r>
    </w:p>
    <w:p w:rsidR="006C000A" w:rsidRPr="00331F6F" w:rsidRDefault="006C000A" w:rsidP="006C000A">
      <w:pPr>
        <w:jc w:val="both"/>
      </w:pPr>
      <w:r w:rsidRPr="00331F6F">
        <w:t>Na území  Libereckého kraje působí SPC jako součást základní školy:</w:t>
      </w:r>
    </w:p>
    <w:p w:rsidR="006C000A" w:rsidRPr="00331F6F" w:rsidRDefault="006C000A" w:rsidP="006C000A">
      <w:pPr>
        <w:numPr>
          <w:ilvl w:val="0"/>
          <w:numId w:val="2"/>
        </w:numPr>
        <w:spacing w:before="60" w:after="120" w:line="276" w:lineRule="auto"/>
        <w:jc w:val="both"/>
      </w:pPr>
      <w:r w:rsidRPr="00331F6F">
        <w:t xml:space="preserve">SPC při Základní škole a Mateřské škole </w:t>
      </w:r>
      <w:r>
        <w:t>logopedické</w:t>
      </w:r>
      <w:r w:rsidRPr="00331F6F">
        <w:t xml:space="preserve">, Liberec, </w:t>
      </w:r>
      <w:r w:rsidRPr="00331F6F">
        <w:br/>
        <w:t xml:space="preserve">E. Krásnohorské 921, příspěvková organizace – pro sluchově postižené a děti </w:t>
      </w:r>
      <w:r w:rsidRPr="00331F6F">
        <w:br/>
        <w:t xml:space="preserve">s </w:t>
      </w:r>
      <w:r>
        <w:t>narušenou komunikační schopností (vady řeči)</w:t>
      </w:r>
      <w:r w:rsidRPr="00331F6F">
        <w:t>,</w:t>
      </w:r>
    </w:p>
    <w:p w:rsidR="006C000A" w:rsidRPr="00331F6F" w:rsidRDefault="006C000A" w:rsidP="006C000A">
      <w:pPr>
        <w:numPr>
          <w:ilvl w:val="0"/>
          <w:numId w:val="2"/>
        </w:numPr>
        <w:spacing w:before="60" w:after="120" w:line="276" w:lineRule="auto"/>
        <w:jc w:val="both"/>
      </w:pPr>
      <w:r w:rsidRPr="00331F6F">
        <w:t>SPC při Základní škole a Mateřské škole pro</w:t>
      </w:r>
      <w:r>
        <w:t xml:space="preserve"> tělesně postižené, Liberec, </w:t>
      </w:r>
      <w:r w:rsidRPr="00331F6F">
        <w:t>Lužická 920/7, příspěvková organizace – pro tělesně postižené,</w:t>
      </w:r>
    </w:p>
    <w:p w:rsidR="006C000A" w:rsidRPr="00331F6F" w:rsidRDefault="006C000A" w:rsidP="006C000A">
      <w:pPr>
        <w:numPr>
          <w:ilvl w:val="0"/>
          <w:numId w:val="2"/>
        </w:numPr>
        <w:spacing w:before="60" w:after="120" w:line="276" w:lineRule="auto"/>
        <w:jc w:val="both"/>
      </w:pPr>
      <w:r w:rsidRPr="00331F6F">
        <w:t>SPC při Základní škole a Mateřské škole při nemocnici, Liberec, Husova 357/10, příspěvková organizace – pro zrakově postižené,</w:t>
      </w:r>
    </w:p>
    <w:p w:rsidR="006C000A" w:rsidRPr="00331F6F" w:rsidRDefault="006C000A" w:rsidP="006C000A">
      <w:pPr>
        <w:numPr>
          <w:ilvl w:val="0"/>
          <w:numId w:val="2"/>
        </w:numPr>
        <w:spacing w:before="60" w:after="120" w:line="276" w:lineRule="auto"/>
        <w:jc w:val="both"/>
      </w:pPr>
      <w:r w:rsidRPr="00331F6F">
        <w:t>SPC při Základní škole, Jablonec nad Nisou, Liberecká 1734/31, příspěvková organizace – pro mentálně postižené nebo souběžné postižení více vadami,</w:t>
      </w:r>
    </w:p>
    <w:p w:rsidR="006C000A" w:rsidRPr="00331F6F" w:rsidRDefault="006C000A" w:rsidP="006C000A">
      <w:pPr>
        <w:numPr>
          <w:ilvl w:val="0"/>
          <w:numId w:val="2"/>
        </w:numPr>
        <w:spacing w:before="60" w:after="120" w:line="276" w:lineRule="auto"/>
        <w:jc w:val="both"/>
      </w:pPr>
      <w:r>
        <w:t xml:space="preserve">SPC při </w:t>
      </w:r>
      <w:r w:rsidRPr="00331F6F">
        <w:t>Pedagogicko-psychologick</w:t>
      </w:r>
      <w:r>
        <w:t>é</w:t>
      </w:r>
      <w:r w:rsidRPr="00331F6F">
        <w:t xml:space="preserve"> poradn</w:t>
      </w:r>
      <w:r>
        <w:t>ě Semily,</w:t>
      </w:r>
      <w:r w:rsidRPr="00331F6F">
        <w:t xml:space="preserve"> </w:t>
      </w:r>
      <w:r>
        <w:t>příspěvková organizace – pro děti s poruchami autistického spektra a s mentálním postižením.</w:t>
      </w:r>
    </w:p>
    <w:p w:rsidR="006C000A" w:rsidRDefault="006C000A" w:rsidP="006C000A">
      <w:pPr>
        <w:jc w:val="both"/>
        <w:rPr>
          <w:b/>
        </w:rPr>
      </w:pPr>
    </w:p>
    <w:p w:rsidR="006C000A" w:rsidRDefault="00EF6577" w:rsidP="008041A8">
      <w:pPr>
        <w:spacing w:line="360" w:lineRule="auto"/>
        <w:jc w:val="both"/>
        <w:rPr>
          <w:b/>
        </w:rPr>
      </w:pPr>
      <w:r>
        <w:rPr>
          <w:b/>
        </w:rPr>
        <w:t>Tabulka č. 3</w:t>
      </w:r>
      <w:r w:rsidR="006C000A" w:rsidRPr="00331F6F">
        <w:rPr>
          <w:b/>
        </w:rPr>
        <w:t xml:space="preserve">: Přehled klientů speciálně pedagogických center </w:t>
      </w:r>
    </w:p>
    <w:tbl>
      <w:tblPr>
        <w:tblW w:w="5000" w:type="pct"/>
        <w:tblCellMar>
          <w:left w:w="70" w:type="dxa"/>
          <w:right w:w="70" w:type="dxa"/>
        </w:tblCellMar>
        <w:tblLook w:val="04A0" w:firstRow="1" w:lastRow="0" w:firstColumn="1" w:lastColumn="0" w:noHBand="0" w:noVBand="1"/>
      </w:tblPr>
      <w:tblGrid>
        <w:gridCol w:w="3895"/>
        <w:gridCol w:w="1774"/>
        <w:gridCol w:w="1168"/>
        <w:gridCol w:w="1179"/>
        <w:gridCol w:w="1194"/>
      </w:tblGrid>
      <w:tr w:rsidR="006C000A" w:rsidRPr="00331F6F" w:rsidTr="008041A8">
        <w:trPr>
          <w:trHeight w:val="315"/>
        </w:trPr>
        <w:tc>
          <w:tcPr>
            <w:tcW w:w="3078" w:type="pct"/>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6C000A" w:rsidRPr="00331F6F" w:rsidRDefault="006C000A" w:rsidP="008041A8">
            <w:pPr>
              <w:spacing w:line="360" w:lineRule="auto"/>
              <w:rPr>
                <w:b/>
                <w:bCs/>
                <w:color w:val="000000"/>
              </w:rPr>
            </w:pPr>
            <w:r w:rsidRPr="00331F6F">
              <w:rPr>
                <w:b/>
                <w:bCs/>
                <w:color w:val="000000"/>
              </w:rPr>
              <w:t>Klienti</w:t>
            </w:r>
          </w:p>
        </w:tc>
        <w:tc>
          <w:tcPr>
            <w:tcW w:w="634" w:type="pct"/>
            <w:tcBorders>
              <w:top w:val="single" w:sz="8" w:space="0" w:color="auto"/>
              <w:left w:val="nil"/>
              <w:bottom w:val="single" w:sz="8" w:space="0" w:color="auto"/>
              <w:right w:val="nil"/>
            </w:tcBorders>
            <w:shd w:val="clear" w:color="auto" w:fill="auto"/>
            <w:noWrap/>
            <w:vAlign w:val="center"/>
          </w:tcPr>
          <w:p w:rsidR="006C000A" w:rsidRPr="00FA7CD3" w:rsidRDefault="006C000A" w:rsidP="008041A8">
            <w:pPr>
              <w:spacing w:line="360" w:lineRule="auto"/>
              <w:jc w:val="center"/>
              <w:rPr>
                <w:b/>
                <w:bCs/>
                <w:color w:val="000000"/>
              </w:rPr>
            </w:pPr>
            <w:r w:rsidRPr="00FA7CD3">
              <w:rPr>
                <w:b/>
                <w:bCs/>
                <w:color w:val="000000"/>
              </w:rPr>
              <w:t>2014/2015</w:t>
            </w:r>
          </w:p>
        </w:tc>
        <w:tc>
          <w:tcPr>
            <w:tcW w:w="640"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rsidR="006C000A" w:rsidRPr="00331F6F" w:rsidRDefault="006C000A" w:rsidP="008041A8">
            <w:pPr>
              <w:spacing w:line="360" w:lineRule="auto"/>
              <w:jc w:val="center"/>
              <w:rPr>
                <w:b/>
                <w:bCs/>
                <w:color w:val="000000"/>
              </w:rPr>
            </w:pPr>
            <w:r w:rsidRPr="00331F6F">
              <w:rPr>
                <w:b/>
                <w:bCs/>
                <w:color w:val="000000"/>
              </w:rPr>
              <w:t>201</w:t>
            </w:r>
            <w:r>
              <w:rPr>
                <w:b/>
                <w:bCs/>
                <w:color w:val="000000"/>
              </w:rPr>
              <w:t>5</w:t>
            </w:r>
            <w:r w:rsidRPr="00331F6F">
              <w:rPr>
                <w:b/>
                <w:bCs/>
                <w:color w:val="000000"/>
              </w:rPr>
              <w:t>/201</w:t>
            </w:r>
            <w:r>
              <w:rPr>
                <w:b/>
                <w:bCs/>
                <w:color w:val="000000"/>
              </w:rPr>
              <w:t>6</w:t>
            </w:r>
          </w:p>
        </w:tc>
        <w:tc>
          <w:tcPr>
            <w:tcW w:w="648"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rsidR="006C000A" w:rsidRPr="00331F6F" w:rsidRDefault="006C000A" w:rsidP="008041A8">
            <w:pPr>
              <w:spacing w:line="360" w:lineRule="auto"/>
              <w:jc w:val="center"/>
              <w:rPr>
                <w:b/>
                <w:bCs/>
                <w:color w:val="000000"/>
              </w:rPr>
            </w:pPr>
            <w:r w:rsidRPr="00331F6F">
              <w:rPr>
                <w:b/>
                <w:bCs/>
                <w:color w:val="000000"/>
              </w:rPr>
              <w:t>201</w:t>
            </w:r>
            <w:r>
              <w:rPr>
                <w:b/>
                <w:bCs/>
                <w:color w:val="000000"/>
              </w:rPr>
              <w:t>6</w:t>
            </w:r>
            <w:r w:rsidRPr="00331F6F">
              <w:rPr>
                <w:b/>
                <w:bCs/>
                <w:color w:val="000000"/>
              </w:rPr>
              <w:t>/201</w:t>
            </w:r>
            <w:r>
              <w:rPr>
                <w:b/>
                <w:bCs/>
                <w:color w:val="000000"/>
              </w:rPr>
              <w:t>7</w:t>
            </w:r>
          </w:p>
        </w:tc>
      </w:tr>
      <w:tr w:rsidR="006C000A" w:rsidRPr="00331F6F" w:rsidTr="008041A8">
        <w:trPr>
          <w:trHeight w:val="300"/>
        </w:trPr>
        <w:tc>
          <w:tcPr>
            <w:tcW w:w="2115" w:type="pct"/>
            <w:vMerge w:val="restart"/>
            <w:tcBorders>
              <w:top w:val="nil"/>
              <w:left w:val="single" w:sz="8" w:space="0" w:color="auto"/>
              <w:bottom w:val="nil"/>
              <w:right w:val="single" w:sz="8" w:space="0" w:color="auto"/>
            </w:tcBorders>
            <w:shd w:val="clear" w:color="auto" w:fill="auto"/>
            <w:vAlign w:val="center"/>
            <w:hideMark/>
          </w:tcPr>
          <w:p w:rsidR="006C000A" w:rsidRPr="00331F6F" w:rsidRDefault="006C000A" w:rsidP="006B2C88">
            <w:pPr>
              <w:rPr>
                <w:color w:val="000000"/>
              </w:rPr>
            </w:pPr>
            <w:r w:rsidRPr="00331F6F">
              <w:rPr>
                <w:color w:val="000000"/>
              </w:rPr>
              <w:t>Z běžných škol (individuálně integrovaní)</w:t>
            </w:r>
          </w:p>
        </w:tc>
        <w:tc>
          <w:tcPr>
            <w:tcW w:w="963" w:type="pct"/>
            <w:tcBorders>
              <w:top w:val="nil"/>
              <w:left w:val="nil"/>
              <w:bottom w:val="single" w:sz="4" w:space="0" w:color="auto"/>
              <w:right w:val="single" w:sz="4" w:space="0" w:color="auto"/>
            </w:tcBorders>
            <w:shd w:val="clear" w:color="auto" w:fill="auto"/>
            <w:noWrap/>
            <w:vAlign w:val="center"/>
            <w:hideMark/>
          </w:tcPr>
          <w:p w:rsidR="006C000A" w:rsidRPr="00331F6F" w:rsidRDefault="006C000A" w:rsidP="006B2C88">
            <w:pPr>
              <w:jc w:val="center"/>
              <w:rPr>
                <w:color w:val="000000"/>
              </w:rPr>
            </w:pPr>
            <w:r w:rsidRPr="00331F6F">
              <w:rPr>
                <w:color w:val="000000"/>
              </w:rPr>
              <w:t>MŠ</w:t>
            </w:r>
          </w:p>
        </w:tc>
        <w:tc>
          <w:tcPr>
            <w:tcW w:w="634" w:type="pct"/>
            <w:tcBorders>
              <w:top w:val="nil"/>
              <w:left w:val="nil"/>
              <w:bottom w:val="single" w:sz="4" w:space="0" w:color="auto"/>
              <w:right w:val="nil"/>
            </w:tcBorders>
            <w:shd w:val="clear" w:color="auto" w:fill="auto"/>
            <w:noWrap/>
            <w:vAlign w:val="center"/>
          </w:tcPr>
          <w:p w:rsidR="006C000A" w:rsidRPr="00331F6F" w:rsidRDefault="006C000A" w:rsidP="006B2C88">
            <w:pPr>
              <w:jc w:val="center"/>
              <w:rPr>
                <w:color w:val="000000"/>
              </w:rPr>
            </w:pPr>
            <w:r>
              <w:rPr>
                <w:color w:val="000000"/>
              </w:rPr>
              <w:t>646</w:t>
            </w:r>
          </w:p>
        </w:tc>
        <w:tc>
          <w:tcPr>
            <w:tcW w:w="640" w:type="pct"/>
            <w:tcBorders>
              <w:top w:val="nil"/>
              <w:left w:val="single" w:sz="4" w:space="0" w:color="auto"/>
              <w:bottom w:val="single" w:sz="4"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437</w:t>
            </w:r>
          </w:p>
        </w:tc>
        <w:tc>
          <w:tcPr>
            <w:tcW w:w="648" w:type="pct"/>
            <w:tcBorders>
              <w:top w:val="nil"/>
              <w:left w:val="single" w:sz="4" w:space="0" w:color="auto"/>
              <w:bottom w:val="single" w:sz="4"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426</w:t>
            </w:r>
          </w:p>
        </w:tc>
      </w:tr>
      <w:tr w:rsidR="006C000A" w:rsidRPr="00331F6F" w:rsidTr="008041A8">
        <w:trPr>
          <w:trHeight w:val="300"/>
        </w:trPr>
        <w:tc>
          <w:tcPr>
            <w:tcW w:w="2115" w:type="pct"/>
            <w:vMerge/>
            <w:tcBorders>
              <w:top w:val="nil"/>
              <w:left w:val="single" w:sz="8" w:space="0" w:color="auto"/>
              <w:bottom w:val="nil"/>
              <w:right w:val="single" w:sz="8" w:space="0" w:color="auto"/>
            </w:tcBorders>
            <w:shd w:val="clear" w:color="auto" w:fill="auto"/>
            <w:vAlign w:val="center"/>
          </w:tcPr>
          <w:p w:rsidR="006C000A" w:rsidRPr="00331F6F" w:rsidRDefault="006C000A" w:rsidP="006B2C88">
            <w:pPr>
              <w:jc w:val="center"/>
              <w:rPr>
                <w:color w:val="000000"/>
              </w:rPr>
            </w:pPr>
          </w:p>
        </w:tc>
        <w:tc>
          <w:tcPr>
            <w:tcW w:w="963" w:type="pct"/>
            <w:tcBorders>
              <w:top w:val="nil"/>
              <w:left w:val="nil"/>
              <w:bottom w:val="single" w:sz="4" w:space="0" w:color="auto"/>
              <w:right w:val="single" w:sz="4" w:space="0" w:color="auto"/>
            </w:tcBorders>
            <w:shd w:val="clear" w:color="auto" w:fill="auto"/>
            <w:noWrap/>
            <w:vAlign w:val="center"/>
          </w:tcPr>
          <w:p w:rsidR="006C000A" w:rsidRPr="00331F6F" w:rsidRDefault="006C000A" w:rsidP="006B2C88">
            <w:pPr>
              <w:jc w:val="center"/>
              <w:rPr>
                <w:color w:val="000000"/>
              </w:rPr>
            </w:pPr>
            <w:r>
              <w:rPr>
                <w:color w:val="000000"/>
              </w:rPr>
              <w:t>Přípravná třída</w:t>
            </w:r>
          </w:p>
        </w:tc>
        <w:tc>
          <w:tcPr>
            <w:tcW w:w="634" w:type="pct"/>
            <w:tcBorders>
              <w:top w:val="nil"/>
              <w:left w:val="nil"/>
              <w:bottom w:val="single" w:sz="4" w:space="0" w:color="auto"/>
              <w:right w:val="nil"/>
            </w:tcBorders>
            <w:shd w:val="clear" w:color="auto" w:fill="auto"/>
            <w:noWrap/>
            <w:vAlign w:val="center"/>
          </w:tcPr>
          <w:p w:rsidR="006C000A" w:rsidRDefault="006C000A" w:rsidP="006B2C88">
            <w:pPr>
              <w:jc w:val="center"/>
              <w:rPr>
                <w:color w:val="000000"/>
              </w:rPr>
            </w:pPr>
            <w:r>
              <w:rPr>
                <w:color w:val="000000"/>
              </w:rPr>
              <w:t>x</w:t>
            </w:r>
          </w:p>
        </w:tc>
        <w:tc>
          <w:tcPr>
            <w:tcW w:w="640" w:type="pct"/>
            <w:tcBorders>
              <w:top w:val="nil"/>
              <w:left w:val="single" w:sz="4" w:space="0" w:color="auto"/>
              <w:bottom w:val="single" w:sz="4" w:space="0" w:color="auto"/>
              <w:right w:val="single" w:sz="8" w:space="0" w:color="auto"/>
            </w:tcBorders>
            <w:shd w:val="clear" w:color="auto" w:fill="auto"/>
            <w:noWrap/>
            <w:vAlign w:val="center"/>
          </w:tcPr>
          <w:p w:rsidR="006C000A" w:rsidRDefault="006C000A" w:rsidP="006B2C88">
            <w:pPr>
              <w:jc w:val="center"/>
              <w:rPr>
                <w:color w:val="000000"/>
              </w:rPr>
            </w:pPr>
            <w:r>
              <w:rPr>
                <w:color w:val="000000"/>
              </w:rPr>
              <w:t>x</w:t>
            </w:r>
          </w:p>
        </w:tc>
        <w:tc>
          <w:tcPr>
            <w:tcW w:w="648" w:type="pct"/>
            <w:tcBorders>
              <w:top w:val="nil"/>
              <w:left w:val="single" w:sz="4" w:space="0" w:color="auto"/>
              <w:bottom w:val="single" w:sz="4" w:space="0" w:color="auto"/>
              <w:right w:val="single" w:sz="8" w:space="0" w:color="auto"/>
            </w:tcBorders>
            <w:shd w:val="clear" w:color="auto" w:fill="auto"/>
            <w:noWrap/>
            <w:vAlign w:val="center"/>
          </w:tcPr>
          <w:p w:rsidR="006C000A" w:rsidRDefault="006C000A" w:rsidP="006B2C88">
            <w:pPr>
              <w:jc w:val="center"/>
              <w:rPr>
                <w:color w:val="000000"/>
              </w:rPr>
            </w:pPr>
            <w:r>
              <w:rPr>
                <w:color w:val="000000"/>
              </w:rPr>
              <w:t>9</w:t>
            </w:r>
          </w:p>
        </w:tc>
      </w:tr>
      <w:tr w:rsidR="006C000A" w:rsidRPr="00331F6F" w:rsidTr="008041A8">
        <w:trPr>
          <w:trHeight w:val="300"/>
        </w:trPr>
        <w:tc>
          <w:tcPr>
            <w:tcW w:w="2115" w:type="pct"/>
            <w:vMerge/>
            <w:tcBorders>
              <w:top w:val="nil"/>
              <w:left w:val="single" w:sz="8" w:space="0" w:color="auto"/>
              <w:bottom w:val="nil"/>
              <w:right w:val="single" w:sz="8" w:space="0" w:color="auto"/>
            </w:tcBorders>
            <w:shd w:val="clear" w:color="auto" w:fill="auto"/>
            <w:vAlign w:val="center"/>
            <w:hideMark/>
          </w:tcPr>
          <w:p w:rsidR="006C000A" w:rsidRPr="00331F6F" w:rsidRDefault="006C000A" w:rsidP="006B2C88">
            <w:pPr>
              <w:jc w:val="center"/>
              <w:rPr>
                <w:color w:val="000000"/>
              </w:rPr>
            </w:pPr>
          </w:p>
        </w:tc>
        <w:tc>
          <w:tcPr>
            <w:tcW w:w="963" w:type="pct"/>
            <w:tcBorders>
              <w:top w:val="nil"/>
              <w:left w:val="nil"/>
              <w:bottom w:val="single" w:sz="4" w:space="0" w:color="auto"/>
              <w:right w:val="single" w:sz="4" w:space="0" w:color="auto"/>
            </w:tcBorders>
            <w:shd w:val="clear" w:color="auto" w:fill="auto"/>
            <w:noWrap/>
            <w:vAlign w:val="center"/>
            <w:hideMark/>
          </w:tcPr>
          <w:p w:rsidR="006C000A" w:rsidRPr="00331F6F" w:rsidRDefault="006C000A" w:rsidP="006B2C88">
            <w:pPr>
              <w:jc w:val="center"/>
              <w:rPr>
                <w:color w:val="000000"/>
              </w:rPr>
            </w:pPr>
            <w:r w:rsidRPr="00331F6F">
              <w:rPr>
                <w:color w:val="000000"/>
              </w:rPr>
              <w:t>ZŠ</w:t>
            </w:r>
          </w:p>
        </w:tc>
        <w:tc>
          <w:tcPr>
            <w:tcW w:w="634" w:type="pct"/>
            <w:tcBorders>
              <w:top w:val="nil"/>
              <w:left w:val="nil"/>
              <w:bottom w:val="single" w:sz="4" w:space="0" w:color="auto"/>
              <w:right w:val="nil"/>
            </w:tcBorders>
            <w:shd w:val="clear" w:color="auto" w:fill="auto"/>
            <w:noWrap/>
            <w:vAlign w:val="center"/>
          </w:tcPr>
          <w:p w:rsidR="006C000A" w:rsidRPr="00331F6F" w:rsidRDefault="006C000A" w:rsidP="006B2C88">
            <w:pPr>
              <w:jc w:val="center"/>
              <w:rPr>
                <w:color w:val="000000"/>
              </w:rPr>
            </w:pPr>
            <w:r>
              <w:rPr>
                <w:color w:val="000000"/>
              </w:rPr>
              <w:t>760</w:t>
            </w:r>
          </w:p>
        </w:tc>
        <w:tc>
          <w:tcPr>
            <w:tcW w:w="640" w:type="pct"/>
            <w:tcBorders>
              <w:top w:val="nil"/>
              <w:left w:val="single" w:sz="4" w:space="0" w:color="auto"/>
              <w:bottom w:val="single" w:sz="4"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701</w:t>
            </w:r>
          </w:p>
        </w:tc>
        <w:tc>
          <w:tcPr>
            <w:tcW w:w="648" w:type="pct"/>
            <w:tcBorders>
              <w:top w:val="nil"/>
              <w:left w:val="single" w:sz="4" w:space="0" w:color="auto"/>
              <w:bottom w:val="single" w:sz="4"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786</w:t>
            </w:r>
          </w:p>
        </w:tc>
      </w:tr>
      <w:tr w:rsidR="006C000A" w:rsidRPr="00331F6F" w:rsidTr="008041A8">
        <w:trPr>
          <w:trHeight w:val="300"/>
        </w:trPr>
        <w:tc>
          <w:tcPr>
            <w:tcW w:w="2115" w:type="pct"/>
            <w:vMerge/>
            <w:tcBorders>
              <w:top w:val="nil"/>
              <w:left w:val="single" w:sz="8" w:space="0" w:color="auto"/>
              <w:bottom w:val="nil"/>
              <w:right w:val="single" w:sz="8" w:space="0" w:color="auto"/>
            </w:tcBorders>
            <w:shd w:val="clear" w:color="auto" w:fill="auto"/>
            <w:vAlign w:val="center"/>
            <w:hideMark/>
          </w:tcPr>
          <w:p w:rsidR="006C000A" w:rsidRPr="00331F6F" w:rsidRDefault="006C000A" w:rsidP="006B2C88">
            <w:pPr>
              <w:jc w:val="center"/>
              <w:rPr>
                <w:color w:val="000000"/>
              </w:rPr>
            </w:pPr>
          </w:p>
        </w:tc>
        <w:tc>
          <w:tcPr>
            <w:tcW w:w="963" w:type="pct"/>
            <w:tcBorders>
              <w:top w:val="nil"/>
              <w:left w:val="nil"/>
              <w:bottom w:val="single" w:sz="4" w:space="0" w:color="auto"/>
              <w:right w:val="single" w:sz="4" w:space="0" w:color="auto"/>
            </w:tcBorders>
            <w:shd w:val="clear" w:color="auto" w:fill="auto"/>
            <w:noWrap/>
            <w:vAlign w:val="center"/>
            <w:hideMark/>
          </w:tcPr>
          <w:p w:rsidR="006C000A" w:rsidRPr="00331F6F" w:rsidRDefault="006C000A" w:rsidP="006B2C88">
            <w:pPr>
              <w:jc w:val="center"/>
              <w:rPr>
                <w:color w:val="000000"/>
              </w:rPr>
            </w:pPr>
            <w:r w:rsidRPr="00331F6F">
              <w:rPr>
                <w:color w:val="000000"/>
              </w:rPr>
              <w:t>SŠ</w:t>
            </w:r>
          </w:p>
        </w:tc>
        <w:tc>
          <w:tcPr>
            <w:tcW w:w="634" w:type="pct"/>
            <w:tcBorders>
              <w:top w:val="nil"/>
              <w:left w:val="nil"/>
              <w:bottom w:val="single" w:sz="4" w:space="0" w:color="auto"/>
              <w:right w:val="nil"/>
            </w:tcBorders>
            <w:shd w:val="clear" w:color="auto" w:fill="auto"/>
            <w:noWrap/>
            <w:vAlign w:val="center"/>
          </w:tcPr>
          <w:p w:rsidR="006C000A" w:rsidRPr="00331F6F" w:rsidRDefault="006C000A" w:rsidP="006B2C88">
            <w:pPr>
              <w:jc w:val="center"/>
              <w:rPr>
                <w:color w:val="000000"/>
              </w:rPr>
            </w:pPr>
            <w:r>
              <w:rPr>
                <w:color w:val="000000"/>
              </w:rPr>
              <w:t>110</w:t>
            </w:r>
          </w:p>
        </w:tc>
        <w:tc>
          <w:tcPr>
            <w:tcW w:w="640" w:type="pct"/>
            <w:tcBorders>
              <w:top w:val="nil"/>
              <w:left w:val="single" w:sz="4" w:space="0" w:color="auto"/>
              <w:bottom w:val="single" w:sz="4"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68</w:t>
            </w:r>
          </w:p>
        </w:tc>
        <w:tc>
          <w:tcPr>
            <w:tcW w:w="648" w:type="pct"/>
            <w:tcBorders>
              <w:top w:val="nil"/>
              <w:left w:val="single" w:sz="4" w:space="0" w:color="auto"/>
              <w:bottom w:val="single" w:sz="4"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103</w:t>
            </w:r>
          </w:p>
        </w:tc>
      </w:tr>
      <w:tr w:rsidR="006C000A" w:rsidRPr="00331F6F" w:rsidTr="008041A8">
        <w:trPr>
          <w:trHeight w:val="315"/>
        </w:trPr>
        <w:tc>
          <w:tcPr>
            <w:tcW w:w="2115" w:type="pct"/>
            <w:vMerge/>
            <w:tcBorders>
              <w:top w:val="nil"/>
              <w:left w:val="single" w:sz="8" w:space="0" w:color="auto"/>
              <w:bottom w:val="nil"/>
              <w:right w:val="single" w:sz="8" w:space="0" w:color="auto"/>
            </w:tcBorders>
            <w:shd w:val="clear" w:color="auto" w:fill="auto"/>
            <w:vAlign w:val="center"/>
            <w:hideMark/>
          </w:tcPr>
          <w:p w:rsidR="006C000A" w:rsidRPr="00331F6F" w:rsidRDefault="006C000A" w:rsidP="006B2C88">
            <w:pPr>
              <w:jc w:val="center"/>
              <w:rPr>
                <w:color w:val="000000"/>
              </w:rPr>
            </w:pPr>
          </w:p>
        </w:tc>
        <w:tc>
          <w:tcPr>
            <w:tcW w:w="963" w:type="pct"/>
            <w:tcBorders>
              <w:top w:val="nil"/>
              <w:left w:val="nil"/>
              <w:bottom w:val="nil"/>
              <w:right w:val="single" w:sz="4" w:space="0" w:color="auto"/>
            </w:tcBorders>
            <w:shd w:val="clear" w:color="auto" w:fill="auto"/>
            <w:noWrap/>
            <w:vAlign w:val="center"/>
            <w:hideMark/>
          </w:tcPr>
          <w:p w:rsidR="006C000A" w:rsidRPr="00331F6F" w:rsidRDefault="006C000A" w:rsidP="006B2C88">
            <w:pPr>
              <w:jc w:val="center"/>
              <w:rPr>
                <w:color w:val="000000"/>
              </w:rPr>
            </w:pPr>
            <w:r w:rsidRPr="00331F6F">
              <w:rPr>
                <w:color w:val="000000"/>
              </w:rPr>
              <w:t>VOŠ</w:t>
            </w:r>
          </w:p>
        </w:tc>
        <w:tc>
          <w:tcPr>
            <w:tcW w:w="634" w:type="pct"/>
            <w:tcBorders>
              <w:top w:val="nil"/>
              <w:left w:val="nil"/>
              <w:bottom w:val="nil"/>
              <w:right w:val="nil"/>
            </w:tcBorders>
            <w:shd w:val="clear" w:color="auto" w:fill="auto"/>
            <w:noWrap/>
            <w:vAlign w:val="center"/>
          </w:tcPr>
          <w:p w:rsidR="006C000A" w:rsidRPr="00331F6F" w:rsidRDefault="006C000A" w:rsidP="006B2C88">
            <w:pPr>
              <w:jc w:val="center"/>
              <w:rPr>
                <w:color w:val="000000"/>
              </w:rPr>
            </w:pPr>
            <w:r>
              <w:rPr>
                <w:color w:val="000000"/>
              </w:rPr>
              <w:t>2</w:t>
            </w:r>
          </w:p>
        </w:tc>
        <w:tc>
          <w:tcPr>
            <w:tcW w:w="640" w:type="pct"/>
            <w:tcBorders>
              <w:top w:val="nil"/>
              <w:left w:val="single" w:sz="4" w:space="0" w:color="auto"/>
              <w:bottom w:val="nil"/>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4</w:t>
            </w:r>
          </w:p>
        </w:tc>
        <w:tc>
          <w:tcPr>
            <w:tcW w:w="648" w:type="pct"/>
            <w:tcBorders>
              <w:top w:val="nil"/>
              <w:left w:val="single" w:sz="4" w:space="0" w:color="auto"/>
              <w:bottom w:val="nil"/>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4</w:t>
            </w:r>
          </w:p>
        </w:tc>
      </w:tr>
      <w:tr w:rsidR="006C000A" w:rsidRPr="00331F6F" w:rsidTr="008041A8">
        <w:trPr>
          <w:trHeight w:val="300"/>
        </w:trPr>
        <w:tc>
          <w:tcPr>
            <w:tcW w:w="211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C000A" w:rsidRPr="00331F6F" w:rsidRDefault="006C000A" w:rsidP="006B2C88">
            <w:pPr>
              <w:rPr>
                <w:color w:val="000000"/>
              </w:rPr>
            </w:pPr>
            <w:r w:rsidRPr="00331F6F">
              <w:rPr>
                <w:color w:val="000000"/>
              </w:rPr>
              <w:t>Ze speciálních tříd a škol</w:t>
            </w:r>
          </w:p>
        </w:tc>
        <w:tc>
          <w:tcPr>
            <w:tcW w:w="963" w:type="pct"/>
            <w:tcBorders>
              <w:top w:val="single" w:sz="8" w:space="0" w:color="auto"/>
              <w:left w:val="nil"/>
              <w:bottom w:val="single" w:sz="4" w:space="0" w:color="auto"/>
              <w:right w:val="single" w:sz="4" w:space="0" w:color="auto"/>
            </w:tcBorders>
            <w:shd w:val="clear" w:color="auto" w:fill="auto"/>
            <w:noWrap/>
            <w:vAlign w:val="center"/>
            <w:hideMark/>
          </w:tcPr>
          <w:p w:rsidR="006C000A" w:rsidRPr="00331F6F" w:rsidRDefault="006C000A" w:rsidP="006B2C88">
            <w:pPr>
              <w:jc w:val="center"/>
              <w:rPr>
                <w:color w:val="000000"/>
              </w:rPr>
            </w:pPr>
            <w:r w:rsidRPr="00331F6F">
              <w:rPr>
                <w:color w:val="000000"/>
              </w:rPr>
              <w:t>MŠ</w:t>
            </w:r>
          </w:p>
        </w:tc>
        <w:tc>
          <w:tcPr>
            <w:tcW w:w="634" w:type="pct"/>
            <w:tcBorders>
              <w:top w:val="single" w:sz="8" w:space="0" w:color="auto"/>
              <w:left w:val="nil"/>
              <w:bottom w:val="single" w:sz="4" w:space="0" w:color="auto"/>
              <w:right w:val="nil"/>
            </w:tcBorders>
            <w:shd w:val="clear" w:color="auto" w:fill="auto"/>
            <w:noWrap/>
            <w:vAlign w:val="center"/>
          </w:tcPr>
          <w:p w:rsidR="006C000A" w:rsidRPr="00331F6F" w:rsidRDefault="006C000A" w:rsidP="006B2C88">
            <w:pPr>
              <w:jc w:val="center"/>
              <w:rPr>
                <w:color w:val="000000"/>
              </w:rPr>
            </w:pPr>
            <w:r>
              <w:rPr>
                <w:color w:val="000000"/>
              </w:rPr>
              <w:t>437</w:t>
            </w:r>
          </w:p>
        </w:tc>
        <w:tc>
          <w:tcPr>
            <w:tcW w:w="640" w:type="pct"/>
            <w:tcBorders>
              <w:top w:val="single" w:sz="8" w:space="0" w:color="auto"/>
              <w:left w:val="single" w:sz="4" w:space="0" w:color="auto"/>
              <w:bottom w:val="single" w:sz="4"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475</w:t>
            </w:r>
          </w:p>
        </w:tc>
        <w:tc>
          <w:tcPr>
            <w:tcW w:w="648" w:type="pct"/>
            <w:tcBorders>
              <w:top w:val="single" w:sz="8" w:space="0" w:color="auto"/>
              <w:left w:val="single" w:sz="4" w:space="0" w:color="auto"/>
              <w:bottom w:val="single" w:sz="4"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378</w:t>
            </w:r>
          </w:p>
        </w:tc>
      </w:tr>
      <w:tr w:rsidR="006C000A" w:rsidRPr="00331F6F" w:rsidTr="008041A8">
        <w:trPr>
          <w:trHeight w:val="300"/>
        </w:trPr>
        <w:tc>
          <w:tcPr>
            <w:tcW w:w="2115"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6C000A" w:rsidRPr="00331F6F" w:rsidRDefault="006C000A" w:rsidP="006B2C88">
            <w:pPr>
              <w:jc w:val="center"/>
              <w:rPr>
                <w:color w:val="000000"/>
              </w:rPr>
            </w:pPr>
          </w:p>
        </w:tc>
        <w:tc>
          <w:tcPr>
            <w:tcW w:w="963" w:type="pct"/>
            <w:tcBorders>
              <w:top w:val="nil"/>
              <w:left w:val="nil"/>
              <w:bottom w:val="single" w:sz="4" w:space="0" w:color="auto"/>
              <w:right w:val="single" w:sz="4" w:space="0" w:color="auto"/>
            </w:tcBorders>
            <w:shd w:val="clear" w:color="auto" w:fill="auto"/>
            <w:noWrap/>
            <w:vAlign w:val="center"/>
          </w:tcPr>
          <w:p w:rsidR="006C000A" w:rsidRPr="00331F6F" w:rsidRDefault="006C000A" w:rsidP="006B2C88">
            <w:pPr>
              <w:jc w:val="center"/>
              <w:rPr>
                <w:color w:val="000000"/>
              </w:rPr>
            </w:pPr>
            <w:r>
              <w:rPr>
                <w:color w:val="000000"/>
              </w:rPr>
              <w:t>Přípravný stupeň</w:t>
            </w:r>
          </w:p>
        </w:tc>
        <w:tc>
          <w:tcPr>
            <w:tcW w:w="634" w:type="pct"/>
            <w:tcBorders>
              <w:top w:val="nil"/>
              <w:left w:val="nil"/>
              <w:bottom w:val="single" w:sz="4" w:space="0" w:color="auto"/>
              <w:right w:val="nil"/>
            </w:tcBorders>
            <w:shd w:val="clear" w:color="auto" w:fill="auto"/>
            <w:noWrap/>
            <w:vAlign w:val="center"/>
          </w:tcPr>
          <w:p w:rsidR="006C000A" w:rsidRDefault="006C000A" w:rsidP="006B2C88">
            <w:pPr>
              <w:jc w:val="center"/>
              <w:rPr>
                <w:color w:val="000000"/>
              </w:rPr>
            </w:pPr>
            <w:r>
              <w:rPr>
                <w:color w:val="000000"/>
              </w:rPr>
              <w:t>x</w:t>
            </w:r>
          </w:p>
        </w:tc>
        <w:tc>
          <w:tcPr>
            <w:tcW w:w="640" w:type="pct"/>
            <w:tcBorders>
              <w:top w:val="nil"/>
              <w:left w:val="single" w:sz="4" w:space="0" w:color="auto"/>
              <w:bottom w:val="single" w:sz="4" w:space="0" w:color="auto"/>
              <w:right w:val="single" w:sz="8" w:space="0" w:color="auto"/>
            </w:tcBorders>
            <w:shd w:val="clear" w:color="auto" w:fill="auto"/>
            <w:noWrap/>
            <w:vAlign w:val="center"/>
          </w:tcPr>
          <w:p w:rsidR="006C000A" w:rsidRDefault="006C000A" w:rsidP="006B2C88">
            <w:pPr>
              <w:jc w:val="center"/>
              <w:rPr>
                <w:color w:val="000000"/>
              </w:rPr>
            </w:pPr>
            <w:r>
              <w:rPr>
                <w:color w:val="000000"/>
              </w:rPr>
              <w:t>x</w:t>
            </w:r>
          </w:p>
        </w:tc>
        <w:tc>
          <w:tcPr>
            <w:tcW w:w="648" w:type="pct"/>
            <w:tcBorders>
              <w:top w:val="nil"/>
              <w:left w:val="single" w:sz="4" w:space="0" w:color="auto"/>
              <w:bottom w:val="single" w:sz="4" w:space="0" w:color="auto"/>
              <w:right w:val="single" w:sz="8" w:space="0" w:color="auto"/>
            </w:tcBorders>
            <w:shd w:val="clear" w:color="auto" w:fill="auto"/>
            <w:noWrap/>
            <w:vAlign w:val="center"/>
          </w:tcPr>
          <w:p w:rsidR="006C000A" w:rsidRDefault="006C000A" w:rsidP="006B2C88">
            <w:pPr>
              <w:jc w:val="center"/>
              <w:rPr>
                <w:color w:val="000000"/>
              </w:rPr>
            </w:pPr>
            <w:r>
              <w:rPr>
                <w:color w:val="000000"/>
              </w:rPr>
              <w:t>20</w:t>
            </w:r>
          </w:p>
        </w:tc>
      </w:tr>
      <w:tr w:rsidR="006C000A" w:rsidRPr="00331F6F" w:rsidTr="008041A8">
        <w:trPr>
          <w:trHeight w:val="300"/>
        </w:trPr>
        <w:tc>
          <w:tcPr>
            <w:tcW w:w="2115"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C000A" w:rsidRPr="00331F6F" w:rsidRDefault="006C000A" w:rsidP="006B2C88">
            <w:pPr>
              <w:jc w:val="center"/>
              <w:rPr>
                <w:color w:val="000000"/>
              </w:rPr>
            </w:pPr>
          </w:p>
        </w:tc>
        <w:tc>
          <w:tcPr>
            <w:tcW w:w="963" w:type="pct"/>
            <w:tcBorders>
              <w:top w:val="nil"/>
              <w:left w:val="nil"/>
              <w:bottom w:val="single" w:sz="4" w:space="0" w:color="auto"/>
              <w:right w:val="single" w:sz="4" w:space="0" w:color="auto"/>
            </w:tcBorders>
            <w:shd w:val="clear" w:color="auto" w:fill="auto"/>
            <w:noWrap/>
            <w:vAlign w:val="center"/>
            <w:hideMark/>
          </w:tcPr>
          <w:p w:rsidR="006C000A" w:rsidRPr="00331F6F" w:rsidRDefault="006C000A" w:rsidP="006B2C88">
            <w:pPr>
              <w:jc w:val="center"/>
              <w:rPr>
                <w:color w:val="000000"/>
              </w:rPr>
            </w:pPr>
            <w:r w:rsidRPr="00331F6F">
              <w:rPr>
                <w:color w:val="000000"/>
              </w:rPr>
              <w:t>ZŠ</w:t>
            </w:r>
          </w:p>
        </w:tc>
        <w:tc>
          <w:tcPr>
            <w:tcW w:w="634" w:type="pct"/>
            <w:tcBorders>
              <w:top w:val="nil"/>
              <w:left w:val="nil"/>
              <w:bottom w:val="single" w:sz="4" w:space="0" w:color="auto"/>
              <w:right w:val="nil"/>
            </w:tcBorders>
            <w:shd w:val="clear" w:color="auto" w:fill="auto"/>
            <w:noWrap/>
            <w:vAlign w:val="center"/>
          </w:tcPr>
          <w:p w:rsidR="006C000A" w:rsidRPr="00331F6F" w:rsidRDefault="006C000A" w:rsidP="006B2C88">
            <w:pPr>
              <w:jc w:val="center"/>
              <w:rPr>
                <w:color w:val="000000"/>
              </w:rPr>
            </w:pPr>
            <w:r>
              <w:rPr>
                <w:color w:val="000000"/>
              </w:rPr>
              <w:t>719</w:t>
            </w:r>
          </w:p>
        </w:tc>
        <w:tc>
          <w:tcPr>
            <w:tcW w:w="640" w:type="pct"/>
            <w:tcBorders>
              <w:top w:val="nil"/>
              <w:left w:val="single" w:sz="4" w:space="0" w:color="auto"/>
              <w:bottom w:val="single" w:sz="4"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635</w:t>
            </w:r>
          </w:p>
        </w:tc>
        <w:tc>
          <w:tcPr>
            <w:tcW w:w="648" w:type="pct"/>
            <w:tcBorders>
              <w:top w:val="nil"/>
              <w:left w:val="single" w:sz="4" w:space="0" w:color="auto"/>
              <w:bottom w:val="single" w:sz="4"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527</w:t>
            </w:r>
          </w:p>
        </w:tc>
      </w:tr>
      <w:tr w:rsidR="006C000A" w:rsidRPr="00331F6F" w:rsidTr="008041A8">
        <w:trPr>
          <w:trHeight w:val="315"/>
        </w:trPr>
        <w:tc>
          <w:tcPr>
            <w:tcW w:w="2115"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C000A" w:rsidRPr="00331F6F" w:rsidRDefault="006C000A" w:rsidP="006B2C88">
            <w:pPr>
              <w:jc w:val="center"/>
              <w:rPr>
                <w:color w:val="000000"/>
              </w:rPr>
            </w:pPr>
          </w:p>
        </w:tc>
        <w:tc>
          <w:tcPr>
            <w:tcW w:w="963" w:type="pct"/>
            <w:tcBorders>
              <w:top w:val="nil"/>
              <w:left w:val="nil"/>
              <w:bottom w:val="single" w:sz="8" w:space="0" w:color="auto"/>
              <w:right w:val="single" w:sz="4" w:space="0" w:color="auto"/>
            </w:tcBorders>
            <w:shd w:val="clear" w:color="auto" w:fill="auto"/>
            <w:noWrap/>
            <w:vAlign w:val="center"/>
            <w:hideMark/>
          </w:tcPr>
          <w:p w:rsidR="006C000A" w:rsidRPr="00331F6F" w:rsidRDefault="006C000A" w:rsidP="006B2C88">
            <w:pPr>
              <w:jc w:val="center"/>
              <w:rPr>
                <w:color w:val="000000"/>
              </w:rPr>
            </w:pPr>
            <w:r w:rsidRPr="00331F6F">
              <w:rPr>
                <w:color w:val="000000"/>
              </w:rPr>
              <w:t>SŠ</w:t>
            </w:r>
          </w:p>
        </w:tc>
        <w:tc>
          <w:tcPr>
            <w:tcW w:w="634" w:type="pct"/>
            <w:tcBorders>
              <w:top w:val="nil"/>
              <w:left w:val="nil"/>
              <w:bottom w:val="single" w:sz="8" w:space="0" w:color="auto"/>
              <w:right w:val="nil"/>
            </w:tcBorders>
            <w:shd w:val="clear" w:color="auto" w:fill="auto"/>
            <w:noWrap/>
            <w:vAlign w:val="center"/>
          </w:tcPr>
          <w:p w:rsidR="006C000A" w:rsidRPr="00331F6F" w:rsidRDefault="006C000A" w:rsidP="006B2C88">
            <w:pPr>
              <w:jc w:val="center"/>
              <w:rPr>
                <w:color w:val="000000"/>
              </w:rPr>
            </w:pPr>
            <w:r>
              <w:rPr>
                <w:color w:val="000000"/>
              </w:rPr>
              <w:t>70</w:t>
            </w:r>
          </w:p>
        </w:tc>
        <w:tc>
          <w:tcPr>
            <w:tcW w:w="640" w:type="pct"/>
            <w:tcBorders>
              <w:top w:val="nil"/>
              <w:left w:val="single" w:sz="4" w:space="0" w:color="auto"/>
              <w:bottom w:val="single" w:sz="8"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47</w:t>
            </w:r>
          </w:p>
        </w:tc>
        <w:tc>
          <w:tcPr>
            <w:tcW w:w="648" w:type="pct"/>
            <w:tcBorders>
              <w:top w:val="nil"/>
              <w:left w:val="single" w:sz="4" w:space="0" w:color="auto"/>
              <w:bottom w:val="single" w:sz="8"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44</w:t>
            </w:r>
          </w:p>
        </w:tc>
      </w:tr>
      <w:tr w:rsidR="006C000A" w:rsidRPr="00331F6F" w:rsidTr="008041A8">
        <w:trPr>
          <w:trHeight w:val="315"/>
        </w:trPr>
        <w:tc>
          <w:tcPr>
            <w:tcW w:w="2115" w:type="pct"/>
            <w:tcBorders>
              <w:top w:val="nil"/>
              <w:left w:val="single" w:sz="8" w:space="0" w:color="auto"/>
              <w:bottom w:val="single" w:sz="8" w:space="0" w:color="auto"/>
              <w:right w:val="nil"/>
            </w:tcBorders>
            <w:shd w:val="clear" w:color="auto" w:fill="auto"/>
            <w:noWrap/>
            <w:vAlign w:val="center"/>
            <w:hideMark/>
          </w:tcPr>
          <w:p w:rsidR="006C000A" w:rsidRPr="00331F6F" w:rsidRDefault="006C000A" w:rsidP="006B2C88">
            <w:pPr>
              <w:rPr>
                <w:color w:val="000000"/>
              </w:rPr>
            </w:pPr>
            <w:r w:rsidRPr="00331F6F">
              <w:rPr>
                <w:color w:val="000000"/>
              </w:rPr>
              <w:t>Rodiče a školsky nezařazení</w:t>
            </w:r>
          </w:p>
        </w:tc>
        <w:tc>
          <w:tcPr>
            <w:tcW w:w="963" w:type="pct"/>
            <w:tcBorders>
              <w:top w:val="nil"/>
              <w:left w:val="single" w:sz="8" w:space="0" w:color="auto"/>
              <w:bottom w:val="single" w:sz="8" w:space="0" w:color="auto"/>
              <w:right w:val="single" w:sz="4" w:space="0" w:color="auto"/>
            </w:tcBorders>
            <w:shd w:val="clear" w:color="auto" w:fill="auto"/>
            <w:noWrap/>
            <w:vAlign w:val="center"/>
            <w:hideMark/>
          </w:tcPr>
          <w:p w:rsidR="006C000A" w:rsidRPr="00331F6F" w:rsidRDefault="006C000A" w:rsidP="006B2C88">
            <w:pPr>
              <w:jc w:val="center"/>
              <w:rPr>
                <w:color w:val="000000"/>
              </w:rPr>
            </w:pPr>
          </w:p>
        </w:tc>
        <w:tc>
          <w:tcPr>
            <w:tcW w:w="634" w:type="pct"/>
            <w:tcBorders>
              <w:top w:val="nil"/>
              <w:left w:val="nil"/>
              <w:bottom w:val="single" w:sz="8" w:space="0" w:color="auto"/>
              <w:right w:val="nil"/>
            </w:tcBorders>
            <w:shd w:val="clear" w:color="auto" w:fill="auto"/>
            <w:noWrap/>
            <w:vAlign w:val="center"/>
          </w:tcPr>
          <w:p w:rsidR="006C000A" w:rsidRPr="00331F6F" w:rsidRDefault="006C000A" w:rsidP="006B2C88">
            <w:pPr>
              <w:jc w:val="center"/>
              <w:rPr>
                <w:color w:val="000000"/>
              </w:rPr>
            </w:pPr>
            <w:r>
              <w:rPr>
                <w:color w:val="000000"/>
              </w:rPr>
              <w:t>156</w:t>
            </w:r>
          </w:p>
        </w:tc>
        <w:tc>
          <w:tcPr>
            <w:tcW w:w="640" w:type="pct"/>
            <w:tcBorders>
              <w:top w:val="nil"/>
              <w:left w:val="single" w:sz="4" w:space="0" w:color="auto"/>
              <w:bottom w:val="single" w:sz="8"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97</w:t>
            </w:r>
          </w:p>
        </w:tc>
        <w:tc>
          <w:tcPr>
            <w:tcW w:w="648" w:type="pct"/>
            <w:tcBorders>
              <w:top w:val="nil"/>
              <w:left w:val="single" w:sz="4" w:space="0" w:color="auto"/>
              <w:bottom w:val="single" w:sz="8" w:space="0" w:color="auto"/>
              <w:right w:val="single" w:sz="8" w:space="0" w:color="auto"/>
            </w:tcBorders>
            <w:shd w:val="clear" w:color="auto" w:fill="auto"/>
            <w:noWrap/>
            <w:vAlign w:val="center"/>
          </w:tcPr>
          <w:p w:rsidR="006C000A" w:rsidRPr="00331F6F" w:rsidRDefault="006C000A" w:rsidP="006B2C88">
            <w:pPr>
              <w:jc w:val="center"/>
              <w:rPr>
                <w:color w:val="000000"/>
              </w:rPr>
            </w:pPr>
            <w:r>
              <w:rPr>
                <w:color w:val="000000"/>
              </w:rPr>
              <w:t>51</w:t>
            </w:r>
          </w:p>
        </w:tc>
      </w:tr>
      <w:tr w:rsidR="006C000A" w:rsidRPr="00331F6F" w:rsidTr="008041A8">
        <w:trPr>
          <w:trHeight w:val="315"/>
        </w:trPr>
        <w:tc>
          <w:tcPr>
            <w:tcW w:w="2115" w:type="pct"/>
            <w:tcBorders>
              <w:top w:val="nil"/>
              <w:left w:val="single" w:sz="8" w:space="0" w:color="auto"/>
              <w:bottom w:val="single" w:sz="8" w:space="0" w:color="auto"/>
              <w:right w:val="nil"/>
            </w:tcBorders>
            <w:shd w:val="clear" w:color="auto" w:fill="auto"/>
            <w:noWrap/>
            <w:vAlign w:val="center"/>
            <w:hideMark/>
          </w:tcPr>
          <w:p w:rsidR="006C000A" w:rsidRPr="00331F6F" w:rsidRDefault="006C000A" w:rsidP="006B2C88">
            <w:pPr>
              <w:rPr>
                <w:b/>
                <w:bCs/>
                <w:color w:val="000000"/>
              </w:rPr>
            </w:pPr>
            <w:r w:rsidRPr="00331F6F">
              <w:rPr>
                <w:b/>
                <w:bCs/>
                <w:color w:val="000000"/>
              </w:rPr>
              <w:t>Celkem</w:t>
            </w:r>
          </w:p>
        </w:tc>
        <w:tc>
          <w:tcPr>
            <w:tcW w:w="963" w:type="pct"/>
            <w:tcBorders>
              <w:top w:val="nil"/>
              <w:left w:val="single" w:sz="8" w:space="0" w:color="auto"/>
              <w:bottom w:val="single" w:sz="8" w:space="0" w:color="auto"/>
              <w:right w:val="single" w:sz="4" w:space="0" w:color="auto"/>
            </w:tcBorders>
            <w:shd w:val="clear" w:color="auto" w:fill="auto"/>
            <w:noWrap/>
            <w:vAlign w:val="center"/>
            <w:hideMark/>
          </w:tcPr>
          <w:p w:rsidR="006C000A" w:rsidRPr="00331F6F" w:rsidRDefault="006C000A" w:rsidP="006B2C88">
            <w:pPr>
              <w:jc w:val="center"/>
              <w:rPr>
                <w:color w:val="000000"/>
              </w:rPr>
            </w:pPr>
          </w:p>
        </w:tc>
        <w:tc>
          <w:tcPr>
            <w:tcW w:w="634" w:type="pct"/>
            <w:tcBorders>
              <w:top w:val="nil"/>
              <w:left w:val="single" w:sz="4" w:space="0" w:color="auto"/>
              <w:bottom w:val="single" w:sz="8" w:space="0" w:color="auto"/>
              <w:right w:val="nil"/>
            </w:tcBorders>
            <w:shd w:val="clear" w:color="auto" w:fill="auto"/>
            <w:noWrap/>
            <w:vAlign w:val="center"/>
          </w:tcPr>
          <w:p w:rsidR="006C000A" w:rsidRPr="00FA7CD3" w:rsidRDefault="006C000A" w:rsidP="006B2C88">
            <w:pPr>
              <w:jc w:val="center"/>
              <w:rPr>
                <w:b/>
                <w:color w:val="000000"/>
              </w:rPr>
            </w:pPr>
            <w:r w:rsidRPr="00FA7CD3">
              <w:rPr>
                <w:b/>
                <w:color w:val="000000"/>
              </w:rPr>
              <w:t>2 900</w:t>
            </w:r>
          </w:p>
        </w:tc>
        <w:tc>
          <w:tcPr>
            <w:tcW w:w="640" w:type="pct"/>
            <w:tcBorders>
              <w:top w:val="nil"/>
              <w:left w:val="single" w:sz="4" w:space="0" w:color="auto"/>
              <w:bottom w:val="single" w:sz="8" w:space="0" w:color="auto"/>
              <w:right w:val="single" w:sz="8" w:space="0" w:color="auto"/>
            </w:tcBorders>
            <w:shd w:val="clear" w:color="auto" w:fill="auto"/>
            <w:noWrap/>
            <w:vAlign w:val="center"/>
          </w:tcPr>
          <w:p w:rsidR="006C000A" w:rsidRPr="00FA7CD3" w:rsidRDefault="006C000A" w:rsidP="006B2C88">
            <w:pPr>
              <w:jc w:val="center"/>
              <w:rPr>
                <w:b/>
                <w:color w:val="000000"/>
              </w:rPr>
            </w:pPr>
            <w:r w:rsidRPr="00FA7CD3">
              <w:rPr>
                <w:b/>
                <w:color w:val="000000"/>
              </w:rPr>
              <w:t>2 464</w:t>
            </w:r>
          </w:p>
        </w:tc>
        <w:tc>
          <w:tcPr>
            <w:tcW w:w="648" w:type="pct"/>
            <w:tcBorders>
              <w:top w:val="nil"/>
              <w:left w:val="single" w:sz="4" w:space="0" w:color="auto"/>
              <w:bottom w:val="single" w:sz="8" w:space="0" w:color="auto"/>
              <w:right w:val="single" w:sz="8" w:space="0" w:color="auto"/>
            </w:tcBorders>
            <w:shd w:val="clear" w:color="auto" w:fill="auto"/>
            <w:noWrap/>
            <w:vAlign w:val="center"/>
          </w:tcPr>
          <w:p w:rsidR="006C000A" w:rsidRPr="00FA7CD3" w:rsidRDefault="006C000A" w:rsidP="006B2C88">
            <w:pPr>
              <w:jc w:val="center"/>
              <w:rPr>
                <w:b/>
                <w:color w:val="000000"/>
              </w:rPr>
            </w:pPr>
            <w:r w:rsidRPr="00FA7CD3">
              <w:rPr>
                <w:b/>
                <w:color w:val="000000"/>
              </w:rPr>
              <w:t>2 348</w:t>
            </w:r>
          </w:p>
        </w:tc>
      </w:tr>
    </w:tbl>
    <w:p w:rsidR="006C000A" w:rsidRPr="00246D9C" w:rsidRDefault="006C000A" w:rsidP="006C000A">
      <w:pPr>
        <w:keepNext/>
        <w:jc w:val="both"/>
        <w:outlineLvl w:val="2"/>
        <w:rPr>
          <w:i/>
          <w:iCs/>
          <w:color w:val="000000"/>
        </w:rPr>
      </w:pPr>
      <w:r w:rsidRPr="00246D9C">
        <w:rPr>
          <w:i/>
          <w:iCs/>
          <w:color w:val="000000"/>
        </w:rPr>
        <w:t>Zdroj: MŠMT - Výkazy k 30. 9. následného školního roku. (Pozn.: Nejsou uvedeni 2 žáci konzervatoře pro každý školní rok)</w:t>
      </w:r>
    </w:p>
    <w:p w:rsidR="006C000A" w:rsidRPr="00246D9C" w:rsidRDefault="006C000A" w:rsidP="006C000A">
      <w:pPr>
        <w:jc w:val="both"/>
        <w:rPr>
          <w:i/>
          <w:iCs/>
          <w:color w:val="000000"/>
        </w:rPr>
      </w:pPr>
    </w:p>
    <w:p w:rsidR="006C000A" w:rsidRDefault="006C000A" w:rsidP="006C000A">
      <w:pPr>
        <w:jc w:val="both"/>
        <w:rPr>
          <w:sz w:val="20"/>
          <w:szCs w:val="20"/>
        </w:rPr>
      </w:pPr>
    </w:p>
    <w:p w:rsidR="006C000A" w:rsidRDefault="006C000A" w:rsidP="006C000A">
      <w:pPr>
        <w:jc w:val="both"/>
        <w:rPr>
          <w:sz w:val="20"/>
          <w:szCs w:val="20"/>
        </w:rPr>
      </w:pPr>
    </w:p>
    <w:p w:rsidR="006C000A" w:rsidRDefault="006C000A" w:rsidP="006C000A">
      <w:pPr>
        <w:jc w:val="both"/>
        <w:rPr>
          <w:sz w:val="20"/>
          <w:szCs w:val="20"/>
        </w:rPr>
      </w:pPr>
    </w:p>
    <w:p w:rsidR="006C000A" w:rsidRDefault="006C000A" w:rsidP="006C000A">
      <w:pPr>
        <w:jc w:val="both"/>
        <w:rPr>
          <w:sz w:val="20"/>
          <w:szCs w:val="20"/>
        </w:rPr>
      </w:pPr>
    </w:p>
    <w:p w:rsidR="006C000A" w:rsidRDefault="006C000A" w:rsidP="006C000A">
      <w:pPr>
        <w:jc w:val="both"/>
        <w:rPr>
          <w:sz w:val="20"/>
          <w:szCs w:val="20"/>
        </w:rPr>
      </w:pPr>
    </w:p>
    <w:p w:rsidR="006C000A" w:rsidRDefault="006C000A" w:rsidP="006C000A">
      <w:pPr>
        <w:jc w:val="both"/>
        <w:rPr>
          <w:sz w:val="20"/>
          <w:szCs w:val="20"/>
        </w:rPr>
      </w:pPr>
    </w:p>
    <w:p w:rsidR="006C000A" w:rsidRDefault="006C000A" w:rsidP="006C000A">
      <w:pPr>
        <w:jc w:val="both"/>
        <w:rPr>
          <w:sz w:val="20"/>
          <w:szCs w:val="20"/>
        </w:rPr>
      </w:pPr>
    </w:p>
    <w:p w:rsidR="006C000A" w:rsidRDefault="006C000A" w:rsidP="006C000A">
      <w:pPr>
        <w:jc w:val="both"/>
        <w:rPr>
          <w:sz w:val="20"/>
          <w:szCs w:val="20"/>
        </w:rPr>
      </w:pPr>
    </w:p>
    <w:p w:rsidR="006C000A" w:rsidRDefault="006C000A" w:rsidP="006C000A">
      <w:pPr>
        <w:jc w:val="both"/>
        <w:rPr>
          <w:sz w:val="20"/>
          <w:szCs w:val="20"/>
        </w:rPr>
      </w:pPr>
    </w:p>
    <w:p w:rsidR="006C000A" w:rsidRDefault="006C000A" w:rsidP="006C000A">
      <w:pPr>
        <w:spacing w:before="120" w:after="60"/>
        <w:jc w:val="both"/>
        <w:rPr>
          <w:b/>
        </w:rPr>
      </w:pPr>
    </w:p>
    <w:p w:rsidR="006C000A" w:rsidRDefault="006C000A" w:rsidP="006C000A">
      <w:pPr>
        <w:spacing w:before="120" w:after="60"/>
        <w:jc w:val="both"/>
        <w:rPr>
          <w:b/>
        </w:rPr>
      </w:pPr>
    </w:p>
    <w:p w:rsidR="006C000A" w:rsidRDefault="006C000A" w:rsidP="006C000A">
      <w:pPr>
        <w:spacing w:before="120" w:after="60"/>
        <w:jc w:val="both"/>
        <w:rPr>
          <w:b/>
        </w:rPr>
      </w:pPr>
    </w:p>
    <w:p w:rsidR="00246D9C" w:rsidRDefault="00246D9C" w:rsidP="006C000A">
      <w:pPr>
        <w:spacing w:before="120" w:after="60"/>
        <w:jc w:val="both"/>
        <w:rPr>
          <w:b/>
        </w:rPr>
      </w:pPr>
    </w:p>
    <w:p w:rsidR="006C000A" w:rsidRPr="00D52E47" w:rsidRDefault="00B95BDD" w:rsidP="006C000A">
      <w:pPr>
        <w:spacing w:before="120" w:after="60"/>
        <w:jc w:val="both"/>
        <w:rPr>
          <w:b/>
        </w:rPr>
      </w:pPr>
      <w:r>
        <w:rPr>
          <w:b/>
        </w:rPr>
        <w:t xml:space="preserve">Graf č. 13: </w:t>
      </w:r>
      <w:r w:rsidR="006C000A" w:rsidRPr="00331F6F">
        <w:rPr>
          <w:b/>
        </w:rPr>
        <w:t>Klienti speciálně pedagogických center podle druhu postižení</w:t>
      </w:r>
    </w:p>
    <w:p w:rsidR="006C000A" w:rsidRDefault="006C000A" w:rsidP="006C000A">
      <w:pPr>
        <w:jc w:val="both"/>
        <w:rPr>
          <w:sz w:val="20"/>
          <w:szCs w:val="20"/>
        </w:rPr>
      </w:pPr>
    </w:p>
    <w:p w:rsidR="006C000A" w:rsidRPr="00246D9C" w:rsidRDefault="006C000A" w:rsidP="006C000A">
      <w:pPr>
        <w:jc w:val="both"/>
        <w:rPr>
          <w:i/>
        </w:rPr>
      </w:pPr>
      <w:r>
        <w:rPr>
          <w:noProof/>
        </w:rPr>
        <w:drawing>
          <wp:inline distT="0" distB="0" distL="0" distR="0" wp14:anchorId="2DC930B5" wp14:editId="1A5E4960">
            <wp:extent cx="5760720" cy="3827780"/>
            <wp:effectExtent l="0" t="0" r="11430" b="2032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246D9C">
        <w:rPr>
          <w:i/>
        </w:rPr>
        <w:t>Zdroj: MŠMT - Výkazy k 30. 9. 2016</w:t>
      </w:r>
    </w:p>
    <w:p w:rsidR="006C000A" w:rsidRDefault="006C000A" w:rsidP="006C000A">
      <w:pPr>
        <w:jc w:val="both"/>
        <w:rPr>
          <w:b/>
        </w:rPr>
      </w:pPr>
    </w:p>
    <w:p w:rsidR="006C000A" w:rsidRPr="002E3B63" w:rsidRDefault="006C000A" w:rsidP="006C000A">
      <w:pPr>
        <w:jc w:val="both"/>
      </w:pPr>
      <w:r w:rsidRPr="002E3B63">
        <w:t>Speciálně pedagogická centra se ve školním roce 2016/2017 potýkala se stejnými problémy jako pedagogicko-psychologické poradny. Vysoká administrativní zátěž byla na</w:t>
      </w:r>
      <w:r w:rsidRPr="00CF224E">
        <w:t> </w:t>
      </w:r>
      <w:r w:rsidRPr="002E3B63">
        <w:t xml:space="preserve"> úkor přímé práce s klienty, která bývá u SPC vyšší než u PPP. Došlo k odklonu od</w:t>
      </w:r>
      <w:r w:rsidRPr="00CF224E">
        <w:t> </w:t>
      </w:r>
      <w:r w:rsidRPr="002E3B63">
        <w:t xml:space="preserve"> diagnostiky k administrativě. Dvě speciálně pedagogická centra nebyla ani přes navýšení pracovníků schopna dodržet lhůtu stanovenou vyhláškou od objednání klienta po zpracování a</w:t>
      </w:r>
      <w:r w:rsidRPr="00CF224E">
        <w:t> </w:t>
      </w:r>
      <w:r w:rsidRPr="002E3B63">
        <w:t xml:space="preserve"> předání zprávy a doporučení. Zbylá SPC lhůty dodržovala, až na několik výjimek. I v SPC chyběli psychologové a speciální peda</w:t>
      </w:r>
      <w:r>
        <w:t>gogové (logopedie, surdopedie).</w:t>
      </w:r>
    </w:p>
    <w:p w:rsidR="006C000A" w:rsidRDefault="006C000A" w:rsidP="006C000A">
      <w:pPr>
        <w:jc w:val="both"/>
      </w:pPr>
      <w:r w:rsidRPr="002E3B63">
        <w:t>Speciálně pedagogická centra zajišťovala pro své klienty různé druhy terapií, návštěvy ve</w:t>
      </w:r>
      <w:r w:rsidRPr="00CF224E">
        <w:t> </w:t>
      </w:r>
      <w:r w:rsidRPr="002E3B63">
        <w:t xml:space="preserve"> školách, metodickou pomoc učitelům i rodičům, zapojovala se do různých národních i mezinárodních akcí, pořádala různé aktivity v rámci projektu Poradenství v Libereckém kraji, zajišťovala před</w:t>
      </w:r>
      <w:r>
        <w:t>náškovou činnost v ZŠ a MŠ atd.</w:t>
      </w:r>
    </w:p>
    <w:p w:rsidR="006C000A" w:rsidRDefault="006C000A" w:rsidP="006C000A">
      <w:pPr>
        <w:jc w:val="both"/>
      </w:pPr>
    </w:p>
    <w:p w:rsidR="00A45135" w:rsidRDefault="00A45135" w:rsidP="00804AB7">
      <w:pPr>
        <w:jc w:val="both"/>
        <w:rPr>
          <w:b/>
        </w:rPr>
      </w:pPr>
    </w:p>
    <w:p w:rsidR="00C75EFF" w:rsidRDefault="00C75EFF" w:rsidP="00C75EFF">
      <w:pPr>
        <w:rPr>
          <w:b/>
        </w:rPr>
      </w:pPr>
      <w:r w:rsidRPr="00AC65BD">
        <w:rPr>
          <w:b/>
        </w:rPr>
        <w:t>5. Dětské domovy</w:t>
      </w:r>
    </w:p>
    <w:p w:rsidR="00883806" w:rsidRPr="00AC65BD" w:rsidRDefault="00883806" w:rsidP="00883806">
      <w:pPr>
        <w:rPr>
          <w:b/>
        </w:rPr>
      </w:pPr>
    </w:p>
    <w:p w:rsidR="003F4D97" w:rsidRPr="00E30C76" w:rsidRDefault="003F4D97" w:rsidP="003F4D97">
      <w:pPr>
        <w:jc w:val="both"/>
      </w:pPr>
      <w:r w:rsidRPr="00E30C76">
        <w:t xml:space="preserve">Dětské domovy (dále </w:t>
      </w:r>
      <w:r w:rsidR="00497BFC">
        <w:t xml:space="preserve">jen </w:t>
      </w:r>
      <w:r w:rsidRPr="00E30C76">
        <w:t>DD) jsou zřízeny pro děti od 3 do 18 let, nebo do doby ukončení profesní přípravy. Smyslem DD je zabezpečit dět</w:t>
      </w:r>
      <w:r>
        <w:t>em</w:t>
      </w:r>
      <w:r w:rsidRPr="00E30C76">
        <w:t xml:space="preserve"> co nejvhodnější podmínky pro výchovu a vzdělávání.</w:t>
      </w:r>
      <w:r>
        <w:t xml:space="preserve"> </w:t>
      </w:r>
      <w:r w:rsidRPr="00E30C76">
        <w:t>Organizačně dětské domovy vytváří malé skupiny, ve kterých se dětem snaží co nejvíce přiblížit běžný chod rodinného prostředí. Některé z těchto skupin žijí i mimo budovy DD v rodinných domech nebo bytech.</w:t>
      </w:r>
      <w:r>
        <w:t xml:space="preserve"> Všechny dětské domovy se zapojují do aktivit měst, kde sídlí. Děti navštěvují školská zařízení a volnočasové aktivity mimo DD.</w:t>
      </w:r>
    </w:p>
    <w:p w:rsidR="003F4D97" w:rsidRDefault="003F4D97" w:rsidP="003F4D97">
      <w:pPr>
        <w:jc w:val="both"/>
      </w:pPr>
    </w:p>
    <w:p w:rsidR="003F4D97" w:rsidRDefault="003F4D97" w:rsidP="003F4D97">
      <w:pPr>
        <w:jc w:val="both"/>
        <w:rPr>
          <w:b/>
        </w:rPr>
      </w:pPr>
    </w:p>
    <w:p w:rsidR="003F4D97" w:rsidRDefault="003F4D97" w:rsidP="003F4D97">
      <w:pPr>
        <w:jc w:val="both"/>
        <w:rPr>
          <w:b/>
        </w:rPr>
      </w:pPr>
    </w:p>
    <w:p w:rsidR="003F4D97" w:rsidRDefault="003F4D97" w:rsidP="003F4D97">
      <w:pPr>
        <w:jc w:val="both"/>
        <w:rPr>
          <w:b/>
        </w:rPr>
      </w:pPr>
    </w:p>
    <w:p w:rsidR="00246D9C" w:rsidRDefault="00246D9C" w:rsidP="003F4D97">
      <w:pPr>
        <w:jc w:val="both"/>
        <w:rPr>
          <w:b/>
        </w:rPr>
      </w:pPr>
    </w:p>
    <w:p w:rsidR="003F4D97" w:rsidRPr="006617F2" w:rsidRDefault="003F4D97" w:rsidP="003F4D97">
      <w:pPr>
        <w:jc w:val="both"/>
        <w:rPr>
          <w:b/>
        </w:rPr>
      </w:pPr>
      <w:r w:rsidRPr="006617F2">
        <w:rPr>
          <w:b/>
        </w:rPr>
        <w:t>Liberecký kraj je zřizovatelem sedmi dětských domovů:</w:t>
      </w:r>
    </w:p>
    <w:p w:rsidR="003F4D97" w:rsidRDefault="003F4D97" w:rsidP="003F4D97">
      <w:pPr>
        <w:jc w:val="both"/>
      </w:pPr>
    </w:p>
    <w:p w:rsidR="003F4D97" w:rsidRDefault="003F4D97" w:rsidP="003F4D97">
      <w:pPr>
        <w:numPr>
          <w:ilvl w:val="0"/>
          <w:numId w:val="4"/>
        </w:numPr>
        <w:jc w:val="both"/>
      </w:pPr>
      <w:r>
        <w:t>Dětský domov, Česká Lípa, Mariánská 570, příspěvková organizace, Mgr. Ilona Hellerová, ředitelka</w:t>
      </w:r>
    </w:p>
    <w:p w:rsidR="003F4D97" w:rsidRDefault="003F4D97" w:rsidP="003F4D97">
      <w:pPr>
        <w:numPr>
          <w:ilvl w:val="0"/>
          <w:numId w:val="4"/>
        </w:numPr>
        <w:jc w:val="both"/>
      </w:pPr>
      <w:r>
        <w:t xml:space="preserve">Dětský domov, Jablonné v Podještědí, Zámecká 1, příspěvková organizace, </w:t>
      </w:r>
      <w:r>
        <w:br/>
        <w:t>Mgr. Vlastimil Faltýnek, ředitel</w:t>
      </w:r>
    </w:p>
    <w:p w:rsidR="003F4D97" w:rsidRDefault="003F4D97" w:rsidP="003F4D97">
      <w:pPr>
        <w:numPr>
          <w:ilvl w:val="0"/>
          <w:numId w:val="4"/>
        </w:numPr>
        <w:jc w:val="both"/>
      </w:pPr>
      <w:r>
        <w:t>Dětský domov, Základní škola a Mateřská škola, Krompach 47, příspěvková organizace, Mgr. Regina Stiblíková, ředitelka</w:t>
      </w:r>
    </w:p>
    <w:p w:rsidR="003F4D97" w:rsidRDefault="003F4D97" w:rsidP="003F4D97">
      <w:pPr>
        <w:numPr>
          <w:ilvl w:val="0"/>
          <w:numId w:val="4"/>
        </w:numPr>
        <w:jc w:val="both"/>
      </w:pPr>
      <w:r>
        <w:t>Dětský domov Dubá – Deštná 6, příspěvková organizace, Mgr. Zdeňka Slavíková, ředitelka</w:t>
      </w:r>
    </w:p>
    <w:p w:rsidR="003F4D97" w:rsidRDefault="003F4D97" w:rsidP="003F4D97">
      <w:pPr>
        <w:numPr>
          <w:ilvl w:val="0"/>
          <w:numId w:val="4"/>
        </w:numPr>
        <w:jc w:val="both"/>
      </w:pPr>
      <w:r>
        <w:t>Dětský domov, Jablonec nad Nisou, Pasecká 20, příspěvková organizace, Mgr. Jan Říčař, ředitel</w:t>
      </w:r>
    </w:p>
    <w:p w:rsidR="003F4D97" w:rsidRDefault="003F4D97" w:rsidP="003F4D97">
      <w:pPr>
        <w:numPr>
          <w:ilvl w:val="0"/>
          <w:numId w:val="4"/>
        </w:numPr>
        <w:jc w:val="both"/>
      </w:pPr>
      <w:r>
        <w:t>Dětský domov, Frýdlant, Větrov 3005, příspěvková organizace, Mgr. Šárka Blechová, ředitelka</w:t>
      </w:r>
    </w:p>
    <w:p w:rsidR="003F4D97" w:rsidRDefault="003F4D97" w:rsidP="003F4D97">
      <w:pPr>
        <w:numPr>
          <w:ilvl w:val="0"/>
          <w:numId w:val="4"/>
        </w:numPr>
        <w:jc w:val="both"/>
      </w:pPr>
      <w:r>
        <w:t>Dětský domov, Semily, Nad Školami 480, příspěvková organizace, Mgr. Mojmír Hojač, ředitel</w:t>
      </w:r>
    </w:p>
    <w:p w:rsidR="003F4D97" w:rsidRDefault="003F4D97" w:rsidP="003F4D97">
      <w:pPr>
        <w:jc w:val="both"/>
      </w:pPr>
    </w:p>
    <w:p w:rsidR="003F4D97" w:rsidRPr="007143B3" w:rsidRDefault="003F4D97" w:rsidP="003F4D97">
      <w:pPr>
        <w:jc w:val="both"/>
      </w:pPr>
      <w:r w:rsidRPr="007143B3">
        <w:t>Celkový počet míst v dětských domovech je 240. Ve školním roce 2016/2017 bylo v těchto zařízeních umístěno 184 dětí, což odpovídá 75% využití stávající kapacity.</w:t>
      </w:r>
    </w:p>
    <w:p w:rsidR="003F4D97" w:rsidRPr="007143B3" w:rsidRDefault="003F4D97" w:rsidP="003F4D97">
      <w:pPr>
        <w:jc w:val="both"/>
      </w:pPr>
    </w:p>
    <w:p w:rsidR="003F4D97" w:rsidRPr="009A3734" w:rsidRDefault="003F4D97" w:rsidP="003F4D97">
      <w:pPr>
        <w:jc w:val="both"/>
        <w:rPr>
          <w:b/>
          <w:i/>
        </w:rPr>
      </w:pPr>
      <w:r w:rsidRPr="007143B3">
        <w:t>Děti jsou přijímány do dětských domovů na základě rozhodnutí soudů. Umísťování dětí přímo do dětských domovů, bez pobytu v diagnostickém ústavu, který dříve zajistil komplexní diagnostiku každého dítěte je hodnoceno řediteli d</w:t>
      </w:r>
      <w:r>
        <w:t>omovů jako nevyhovující a značně komplikuje přechod dítěte do domova a jeho následnou adaptaci.</w:t>
      </w:r>
    </w:p>
    <w:p w:rsidR="003F4D97" w:rsidRPr="007143B3" w:rsidRDefault="003F4D97" w:rsidP="003F4D97">
      <w:pPr>
        <w:jc w:val="both"/>
      </w:pPr>
    </w:p>
    <w:p w:rsidR="003F4D97" w:rsidRPr="007143B3" w:rsidRDefault="003F4D97" w:rsidP="003F4D97">
      <w:pPr>
        <w:jc w:val="both"/>
      </w:pPr>
      <w:r w:rsidRPr="007143B3">
        <w:t xml:space="preserve">Klienty dětských domovů bývají i děti se zdravotním postižením. Celkem jich v roce 2016/2017 bylo 62. Nejvíce, a to konkrétně 59, je mentálně postižených. Dále po jednom </w:t>
      </w:r>
      <w:r>
        <w:t xml:space="preserve">s </w:t>
      </w:r>
      <w:r w:rsidRPr="007143B3">
        <w:t>postižení</w:t>
      </w:r>
      <w:r>
        <w:t>m</w:t>
      </w:r>
      <w:r w:rsidRPr="007143B3">
        <w:t xml:space="preserve"> sluchu, více vad</w:t>
      </w:r>
      <w:r>
        <w:t>ami a autismem</w:t>
      </w:r>
      <w:r w:rsidRPr="007143B3">
        <w:t>.</w:t>
      </w:r>
    </w:p>
    <w:p w:rsidR="003F4D97" w:rsidRDefault="003F4D97" w:rsidP="003F4D97">
      <w:pPr>
        <w:spacing w:after="200" w:line="276" w:lineRule="auto"/>
        <w:rPr>
          <w:b/>
        </w:rPr>
      </w:pPr>
    </w:p>
    <w:p w:rsidR="003F4D97" w:rsidRDefault="003F4D97" w:rsidP="003F4D97">
      <w:pPr>
        <w:spacing w:after="200" w:line="276" w:lineRule="auto"/>
        <w:rPr>
          <w:b/>
        </w:rPr>
      </w:pPr>
      <w:r w:rsidRPr="00E34A57">
        <w:rPr>
          <w:b/>
        </w:rPr>
        <w:t xml:space="preserve">Graf č. </w:t>
      </w:r>
      <w:r w:rsidR="0024181D">
        <w:rPr>
          <w:b/>
        </w:rPr>
        <w:t>14</w:t>
      </w:r>
      <w:r w:rsidRPr="00E34A57">
        <w:rPr>
          <w:b/>
        </w:rPr>
        <w:t xml:space="preserve">: </w:t>
      </w:r>
      <w:r w:rsidRPr="00E34A57">
        <w:rPr>
          <w:b/>
          <w:bCs/>
        </w:rPr>
        <w:t xml:space="preserve">Počty dětí v dětských domovech podle druhu postižení k </w:t>
      </w:r>
      <w:r>
        <w:rPr>
          <w:b/>
        </w:rPr>
        <w:t>31. 10. 2016</w:t>
      </w:r>
    </w:p>
    <w:p w:rsidR="003F4D97" w:rsidRDefault="003F4D97" w:rsidP="003F4D97">
      <w:pPr>
        <w:spacing w:after="200" w:line="276" w:lineRule="auto"/>
        <w:rPr>
          <w:b/>
        </w:rPr>
      </w:pPr>
      <w:r>
        <w:rPr>
          <w:noProof/>
        </w:rPr>
        <w:drawing>
          <wp:inline distT="0" distB="0" distL="0" distR="0" wp14:anchorId="13E98E1D" wp14:editId="01FDB1AD">
            <wp:extent cx="5724525" cy="2743200"/>
            <wp:effectExtent l="0" t="0" r="9525" b="1905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2537E" w:rsidRPr="007143B3" w:rsidRDefault="0092537E" w:rsidP="0092537E">
      <w:pPr>
        <w:jc w:val="both"/>
        <w:rPr>
          <w:i/>
        </w:rPr>
      </w:pPr>
      <w:r w:rsidRPr="007143B3">
        <w:rPr>
          <w:i/>
        </w:rPr>
        <w:t>Zdroj: MŠMT - Výkazy k 31. 10. daného školního roku</w:t>
      </w:r>
    </w:p>
    <w:p w:rsidR="003F4D97" w:rsidRPr="007143B3" w:rsidRDefault="003F4D97" w:rsidP="003F4D97">
      <w:pPr>
        <w:jc w:val="both"/>
      </w:pPr>
    </w:p>
    <w:p w:rsidR="003F4D97" w:rsidRDefault="003F4D97" w:rsidP="003F4D97">
      <w:pPr>
        <w:jc w:val="both"/>
        <w:rPr>
          <w:b/>
          <w:sz w:val="20"/>
          <w:szCs w:val="20"/>
        </w:rPr>
      </w:pPr>
    </w:p>
    <w:p w:rsidR="003F4D97" w:rsidRPr="00E34A57" w:rsidRDefault="003F4D97" w:rsidP="003F4D97">
      <w:pPr>
        <w:jc w:val="both"/>
      </w:pPr>
      <w:r w:rsidRPr="00E34A57">
        <w:rPr>
          <w:b/>
        </w:rPr>
        <w:t xml:space="preserve">Graf č. </w:t>
      </w:r>
      <w:r w:rsidR="0024181D">
        <w:rPr>
          <w:b/>
        </w:rPr>
        <w:t>15</w:t>
      </w:r>
      <w:r w:rsidRPr="00E34A57">
        <w:rPr>
          <w:b/>
        </w:rPr>
        <w:t>: Věkové rozložení dětí z dětských domovů v Libereckém kraji ve školním roce 201</w:t>
      </w:r>
      <w:r>
        <w:rPr>
          <w:b/>
        </w:rPr>
        <w:t>4</w:t>
      </w:r>
      <w:r w:rsidRPr="00E34A57">
        <w:rPr>
          <w:b/>
        </w:rPr>
        <w:t>/201</w:t>
      </w:r>
      <w:r>
        <w:rPr>
          <w:b/>
        </w:rPr>
        <w:t>5</w:t>
      </w:r>
      <w:r w:rsidRPr="00E34A57">
        <w:rPr>
          <w:b/>
        </w:rPr>
        <w:t xml:space="preserve"> až 201</w:t>
      </w:r>
      <w:r>
        <w:rPr>
          <w:b/>
        </w:rPr>
        <w:t>6</w:t>
      </w:r>
      <w:r w:rsidRPr="00E34A57">
        <w:rPr>
          <w:b/>
        </w:rPr>
        <w:t>/201</w:t>
      </w:r>
      <w:r>
        <w:rPr>
          <w:b/>
        </w:rPr>
        <w:t>7</w:t>
      </w:r>
    </w:p>
    <w:p w:rsidR="003F4D97" w:rsidRDefault="003F4D97" w:rsidP="003F4D97">
      <w:pPr>
        <w:jc w:val="both"/>
        <w:rPr>
          <w:b/>
          <w:sz w:val="20"/>
          <w:szCs w:val="20"/>
        </w:rPr>
      </w:pPr>
    </w:p>
    <w:p w:rsidR="003F4D97" w:rsidRPr="007143B3" w:rsidRDefault="003F4D97" w:rsidP="003F4D97">
      <w:pPr>
        <w:jc w:val="both"/>
      </w:pPr>
      <w:r w:rsidRPr="007143B3">
        <w:rPr>
          <w:noProof/>
        </w:rPr>
        <w:drawing>
          <wp:inline distT="0" distB="0" distL="0" distR="0" wp14:anchorId="7C95E3BB" wp14:editId="1D4E6B62">
            <wp:extent cx="5760720" cy="3252118"/>
            <wp:effectExtent l="0" t="0" r="11430" b="24765"/>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F4D97" w:rsidRPr="007143B3" w:rsidRDefault="003F4D97" w:rsidP="003F4D97">
      <w:pPr>
        <w:jc w:val="both"/>
        <w:rPr>
          <w:i/>
        </w:rPr>
      </w:pPr>
      <w:r w:rsidRPr="007143B3">
        <w:rPr>
          <w:i/>
        </w:rPr>
        <w:t>Zdroj: MŠMT - Výkazy k 31. 10. daného školního roku</w:t>
      </w:r>
    </w:p>
    <w:p w:rsidR="003F4D97" w:rsidRDefault="003F4D97" w:rsidP="003F4D97">
      <w:pPr>
        <w:jc w:val="both"/>
        <w:rPr>
          <w:b/>
          <w:sz w:val="20"/>
          <w:szCs w:val="20"/>
        </w:rPr>
      </w:pPr>
    </w:p>
    <w:p w:rsidR="003F4D97" w:rsidRDefault="003F4D97" w:rsidP="003F4D97">
      <w:pPr>
        <w:jc w:val="both"/>
        <w:rPr>
          <w:b/>
          <w:sz w:val="20"/>
          <w:szCs w:val="20"/>
        </w:rPr>
      </w:pPr>
    </w:p>
    <w:p w:rsidR="003F4D97" w:rsidRPr="00E34A57" w:rsidRDefault="003F4D97" w:rsidP="003F4D97">
      <w:pPr>
        <w:jc w:val="both"/>
        <w:rPr>
          <w:b/>
        </w:rPr>
      </w:pPr>
      <w:r w:rsidRPr="00E34A57">
        <w:rPr>
          <w:b/>
        </w:rPr>
        <w:t xml:space="preserve">Graf č. </w:t>
      </w:r>
      <w:r w:rsidR="0024181D">
        <w:rPr>
          <w:b/>
        </w:rPr>
        <w:t>16</w:t>
      </w:r>
      <w:r w:rsidRPr="00E34A57">
        <w:rPr>
          <w:b/>
        </w:rPr>
        <w:t>: Využití kapacity v jednotlivých dětských domovech k 31. 10. 201</w:t>
      </w:r>
      <w:r>
        <w:rPr>
          <w:b/>
        </w:rPr>
        <w:t>6</w:t>
      </w:r>
    </w:p>
    <w:p w:rsidR="003F4D97" w:rsidRDefault="003F4D97" w:rsidP="003F4D97"/>
    <w:p w:rsidR="003F4D97" w:rsidRDefault="003F4D97" w:rsidP="003F4D97">
      <w:pPr>
        <w:jc w:val="both"/>
        <w:rPr>
          <w:i/>
          <w:sz w:val="20"/>
          <w:szCs w:val="20"/>
        </w:rPr>
      </w:pPr>
      <w:r>
        <w:rPr>
          <w:noProof/>
        </w:rPr>
        <w:drawing>
          <wp:inline distT="0" distB="0" distL="0" distR="0" wp14:anchorId="647A4EF7" wp14:editId="433434B2">
            <wp:extent cx="5760720" cy="3724696"/>
            <wp:effectExtent l="0" t="0" r="11430" b="9525"/>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F4D97" w:rsidRPr="00246D9C" w:rsidRDefault="003F4D97" w:rsidP="003F4D97">
      <w:pPr>
        <w:jc w:val="both"/>
        <w:rPr>
          <w:i/>
        </w:rPr>
      </w:pPr>
      <w:r w:rsidRPr="00246D9C">
        <w:rPr>
          <w:i/>
        </w:rPr>
        <w:t>Poznámka: naplněnost dětských domovů se v průběhu roku mění v závislosti na umísťování dětí do DD, do pěstounské péče apod.</w:t>
      </w:r>
    </w:p>
    <w:p w:rsidR="003F4D97" w:rsidRDefault="003F4D97" w:rsidP="003F4D97">
      <w:pPr>
        <w:jc w:val="both"/>
      </w:pPr>
    </w:p>
    <w:p w:rsidR="003F4D97" w:rsidRPr="00CF1F04" w:rsidRDefault="003F4D97" w:rsidP="003F4D97">
      <w:pPr>
        <w:spacing w:before="60" w:after="60"/>
        <w:jc w:val="both"/>
        <w:rPr>
          <w:rFonts w:eastAsia="Calibri"/>
          <w:szCs w:val="22"/>
          <w:lang w:eastAsia="en-US"/>
        </w:rPr>
      </w:pPr>
      <w:r w:rsidRPr="00CF1F04">
        <w:rPr>
          <w:rFonts w:eastAsia="Calibri"/>
          <w:szCs w:val="22"/>
          <w:lang w:eastAsia="en-US"/>
        </w:rPr>
        <w:t xml:space="preserve">Snahou je umístit co nejvíce dětí z dětských domovů do </w:t>
      </w:r>
      <w:r>
        <w:rPr>
          <w:rFonts w:eastAsia="Calibri"/>
          <w:szCs w:val="22"/>
          <w:lang w:eastAsia="en-US"/>
        </w:rPr>
        <w:t>náhradní rodinné péče</w:t>
      </w:r>
      <w:r w:rsidRPr="00CF1F04">
        <w:rPr>
          <w:rFonts w:eastAsia="Calibri"/>
          <w:szCs w:val="22"/>
          <w:lang w:eastAsia="en-US"/>
        </w:rPr>
        <w:t xml:space="preserve">. Nelze však opominout i časté návraty dětí. Tyto děti a děti těžce umístitelné do </w:t>
      </w:r>
      <w:r>
        <w:rPr>
          <w:rFonts w:eastAsia="Calibri"/>
          <w:szCs w:val="22"/>
          <w:lang w:eastAsia="en-US"/>
        </w:rPr>
        <w:t>náhradní rodinné péče</w:t>
      </w:r>
      <w:r w:rsidRPr="00CF1F04">
        <w:rPr>
          <w:rFonts w:eastAsia="Calibri"/>
          <w:szCs w:val="22"/>
          <w:lang w:eastAsia="en-US"/>
        </w:rPr>
        <w:t xml:space="preserve"> (časté výchovné problémy</w:t>
      </w:r>
      <w:r>
        <w:rPr>
          <w:rFonts w:eastAsia="Calibri"/>
          <w:szCs w:val="22"/>
          <w:lang w:eastAsia="en-US"/>
        </w:rPr>
        <w:t>, zdravotní postižení</w:t>
      </w:r>
      <w:r w:rsidRPr="00CF1F04">
        <w:rPr>
          <w:rFonts w:eastAsia="Calibri"/>
          <w:szCs w:val="22"/>
          <w:lang w:eastAsia="en-US"/>
        </w:rPr>
        <w:t xml:space="preserve">) o to více vyžadují v DD pracovníky se specifickou odbornou kvalifikací: speciální pedagog - etoped, psycholog. Tyto odborníky však dětské domovy mají jen zřídka, někdy využívají služeb externích specialistů. </w:t>
      </w:r>
    </w:p>
    <w:p w:rsidR="003F4D97" w:rsidRPr="00CF1F04" w:rsidRDefault="003F4D97" w:rsidP="003F4D97">
      <w:pPr>
        <w:spacing w:before="60" w:after="60"/>
        <w:jc w:val="both"/>
        <w:rPr>
          <w:b/>
          <w:sz w:val="20"/>
          <w:szCs w:val="20"/>
        </w:rPr>
      </w:pPr>
    </w:p>
    <w:p w:rsidR="003F4D97" w:rsidRPr="00E34A57" w:rsidRDefault="003F4D97" w:rsidP="00164C4E">
      <w:pPr>
        <w:spacing w:line="360" w:lineRule="auto"/>
        <w:jc w:val="both"/>
        <w:rPr>
          <w:b/>
        </w:rPr>
      </w:pPr>
      <w:r w:rsidRPr="00E34A57">
        <w:rPr>
          <w:b/>
        </w:rPr>
        <w:t xml:space="preserve">Tabulka č. </w:t>
      </w:r>
      <w:r w:rsidR="00EF6577">
        <w:rPr>
          <w:b/>
        </w:rPr>
        <w:t>4</w:t>
      </w:r>
      <w:r w:rsidRPr="00E34A57">
        <w:rPr>
          <w:b/>
        </w:rPr>
        <w:t>: Odborní pracovníci v dětských domovech v</w:t>
      </w:r>
      <w:r>
        <w:rPr>
          <w:b/>
        </w:rPr>
        <w:t xml:space="preserve"> Libereckém kraji </w:t>
      </w:r>
      <w:r w:rsidR="008F182B">
        <w:rPr>
          <w:b/>
        </w:rPr>
        <w:br/>
      </w:r>
      <w:r>
        <w:rPr>
          <w:b/>
        </w:rPr>
        <w:t>k 31. 10. 2016</w:t>
      </w:r>
    </w:p>
    <w:tbl>
      <w:tblPr>
        <w:tblW w:w="4816" w:type="pct"/>
        <w:tblInd w:w="70" w:type="dxa"/>
        <w:tblCellMar>
          <w:left w:w="70" w:type="dxa"/>
          <w:right w:w="70" w:type="dxa"/>
        </w:tblCellMar>
        <w:tblLook w:val="04A0" w:firstRow="1" w:lastRow="0" w:firstColumn="1" w:lastColumn="0" w:noHBand="0" w:noVBand="1"/>
      </w:tblPr>
      <w:tblGrid>
        <w:gridCol w:w="4263"/>
        <w:gridCol w:w="962"/>
        <w:gridCol w:w="1457"/>
        <w:gridCol w:w="2189"/>
      </w:tblGrid>
      <w:tr w:rsidR="003F4D97" w:rsidRPr="00CF1F04" w:rsidTr="00464158">
        <w:trPr>
          <w:trHeight w:val="306"/>
        </w:trPr>
        <w:tc>
          <w:tcPr>
            <w:tcW w:w="2403"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3F4D97" w:rsidRPr="00CF1F04" w:rsidRDefault="003F4D97" w:rsidP="00164C4E">
            <w:pPr>
              <w:spacing w:line="360" w:lineRule="auto"/>
              <w:rPr>
                <w:rFonts w:ascii="Calibri" w:hAnsi="Calibri"/>
                <w:color w:val="000000"/>
                <w:sz w:val="22"/>
                <w:szCs w:val="22"/>
              </w:rPr>
            </w:pPr>
            <w:r w:rsidRPr="00CF1F04">
              <w:rPr>
                <w:rFonts w:ascii="Calibri" w:hAnsi="Calibri"/>
                <w:color w:val="000000"/>
                <w:sz w:val="22"/>
                <w:szCs w:val="22"/>
              </w:rPr>
              <w:t> </w:t>
            </w:r>
          </w:p>
        </w:tc>
        <w:tc>
          <w:tcPr>
            <w:tcW w:w="1363" w:type="pct"/>
            <w:gridSpan w:val="2"/>
            <w:tcBorders>
              <w:top w:val="single" w:sz="8" w:space="0" w:color="auto"/>
              <w:left w:val="nil"/>
              <w:bottom w:val="single" w:sz="8" w:space="0" w:color="auto"/>
              <w:right w:val="single" w:sz="8" w:space="0" w:color="000000"/>
            </w:tcBorders>
            <w:shd w:val="clear" w:color="auto" w:fill="auto"/>
            <w:noWrap/>
            <w:vAlign w:val="center"/>
            <w:hideMark/>
          </w:tcPr>
          <w:p w:rsidR="003F4D97" w:rsidRPr="00CF1F04" w:rsidRDefault="003F4D97" w:rsidP="00164C4E">
            <w:pPr>
              <w:spacing w:line="360" w:lineRule="auto"/>
              <w:jc w:val="center"/>
              <w:rPr>
                <w:bCs/>
                <w:color w:val="000000"/>
                <w:sz w:val="22"/>
                <w:szCs w:val="22"/>
              </w:rPr>
            </w:pPr>
            <w:r w:rsidRPr="00CF1F04">
              <w:rPr>
                <w:bCs/>
                <w:color w:val="000000"/>
                <w:sz w:val="22"/>
                <w:szCs w:val="22"/>
              </w:rPr>
              <w:t>Fyzické osoby</w:t>
            </w:r>
          </w:p>
        </w:tc>
        <w:tc>
          <w:tcPr>
            <w:tcW w:w="12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F4D97" w:rsidRPr="00CF1F04" w:rsidRDefault="003F4D97" w:rsidP="00164C4E">
            <w:pPr>
              <w:spacing w:line="360" w:lineRule="auto"/>
              <w:jc w:val="center"/>
              <w:rPr>
                <w:bCs/>
                <w:color w:val="000000"/>
                <w:sz w:val="22"/>
                <w:szCs w:val="22"/>
              </w:rPr>
            </w:pPr>
            <w:r w:rsidRPr="00CF1F04">
              <w:rPr>
                <w:bCs/>
                <w:color w:val="000000"/>
                <w:sz w:val="22"/>
                <w:szCs w:val="22"/>
              </w:rPr>
              <w:t>Přepočtení na plně zaměstnané</w:t>
            </w:r>
          </w:p>
        </w:tc>
      </w:tr>
      <w:tr w:rsidR="003F4D97" w:rsidRPr="00CF1F04" w:rsidTr="00464158">
        <w:trPr>
          <w:trHeight w:val="306"/>
        </w:trPr>
        <w:tc>
          <w:tcPr>
            <w:tcW w:w="2403" w:type="pct"/>
            <w:vMerge/>
            <w:tcBorders>
              <w:top w:val="single" w:sz="8" w:space="0" w:color="auto"/>
              <w:left w:val="single" w:sz="8" w:space="0" w:color="auto"/>
              <w:bottom w:val="single" w:sz="8" w:space="0" w:color="000000"/>
              <w:right w:val="single" w:sz="8" w:space="0" w:color="auto"/>
            </w:tcBorders>
            <w:vAlign w:val="center"/>
            <w:hideMark/>
          </w:tcPr>
          <w:p w:rsidR="003F4D97" w:rsidRPr="00CF1F04" w:rsidRDefault="003F4D97" w:rsidP="006B2C88">
            <w:pPr>
              <w:rPr>
                <w:rFonts w:ascii="Calibri" w:hAnsi="Calibri"/>
                <w:color w:val="000000"/>
                <w:sz w:val="22"/>
                <w:szCs w:val="22"/>
              </w:rPr>
            </w:pPr>
          </w:p>
        </w:tc>
        <w:tc>
          <w:tcPr>
            <w:tcW w:w="542" w:type="pct"/>
            <w:tcBorders>
              <w:top w:val="nil"/>
              <w:left w:val="nil"/>
              <w:bottom w:val="single" w:sz="8" w:space="0" w:color="auto"/>
              <w:right w:val="single" w:sz="8" w:space="0" w:color="auto"/>
            </w:tcBorders>
            <w:shd w:val="clear" w:color="auto" w:fill="auto"/>
            <w:noWrap/>
            <w:vAlign w:val="center"/>
            <w:hideMark/>
          </w:tcPr>
          <w:p w:rsidR="003F4D97" w:rsidRPr="00CF1F04" w:rsidRDefault="003F4D97" w:rsidP="006B2C88">
            <w:pPr>
              <w:rPr>
                <w:bCs/>
                <w:color w:val="000000"/>
                <w:sz w:val="22"/>
                <w:szCs w:val="22"/>
              </w:rPr>
            </w:pPr>
            <w:r w:rsidRPr="00CF1F04">
              <w:rPr>
                <w:bCs/>
                <w:color w:val="000000"/>
                <w:sz w:val="22"/>
                <w:szCs w:val="22"/>
              </w:rPr>
              <w:t>Celkem</w:t>
            </w:r>
          </w:p>
        </w:tc>
        <w:tc>
          <w:tcPr>
            <w:tcW w:w="821" w:type="pct"/>
            <w:tcBorders>
              <w:top w:val="nil"/>
              <w:left w:val="nil"/>
              <w:bottom w:val="single" w:sz="8" w:space="0" w:color="auto"/>
              <w:right w:val="single" w:sz="8" w:space="0" w:color="auto"/>
            </w:tcBorders>
            <w:shd w:val="clear" w:color="auto" w:fill="auto"/>
            <w:noWrap/>
            <w:vAlign w:val="center"/>
            <w:hideMark/>
          </w:tcPr>
          <w:p w:rsidR="003F4D97" w:rsidRPr="00CF1F04" w:rsidRDefault="003F4D97" w:rsidP="006B2C88">
            <w:pPr>
              <w:rPr>
                <w:bCs/>
                <w:color w:val="000000"/>
                <w:sz w:val="22"/>
                <w:szCs w:val="22"/>
              </w:rPr>
            </w:pPr>
            <w:r w:rsidRPr="00CF1F04">
              <w:rPr>
                <w:bCs/>
                <w:color w:val="000000"/>
                <w:sz w:val="22"/>
                <w:szCs w:val="22"/>
              </w:rPr>
              <w:t>z toho ženy</w:t>
            </w:r>
          </w:p>
        </w:tc>
        <w:tc>
          <w:tcPr>
            <w:tcW w:w="1234" w:type="pct"/>
            <w:vMerge/>
            <w:tcBorders>
              <w:top w:val="single" w:sz="8" w:space="0" w:color="auto"/>
              <w:left w:val="single" w:sz="8" w:space="0" w:color="auto"/>
              <w:bottom w:val="single" w:sz="8" w:space="0" w:color="000000"/>
              <w:right w:val="single" w:sz="8" w:space="0" w:color="auto"/>
            </w:tcBorders>
            <w:vAlign w:val="center"/>
            <w:hideMark/>
          </w:tcPr>
          <w:p w:rsidR="003F4D97" w:rsidRPr="00CF1F04" w:rsidRDefault="003F4D97" w:rsidP="006B2C88">
            <w:pPr>
              <w:rPr>
                <w:b/>
                <w:bCs/>
                <w:color w:val="000000"/>
                <w:sz w:val="22"/>
                <w:szCs w:val="22"/>
              </w:rPr>
            </w:pPr>
          </w:p>
        </w:tc>
      </w:tr>
      <w:tr w:rsidR="003F4D97" w:rsidRPr="00CF1F04" w:rsidTr="00464158">
        <w:trPr>
          <w:trHeight w:val="306"/>
        </w:trPr>
        <w:tc>
          <w:tcPr>
            <w:tcW w:w="2403" w:type="pct"/>
            <w:tcBorders>
              <w:top w:val="nil"/>
              <w:left w:val="single" w:sz="8" w:space="0" w:color="auto"/>
              <w:bottom w:val="single" w:sz="8" w:space="0" w:color="auto"/>
              <w:right w:val="single" w:sz="8" w:space="0" w:color="auto"/>
            </w:tcBorders>
            <w:shd w:val="clear" w:color="auto" w:fill="auto"/>
            <w:noWrap/>
            <w:vAlign w:val="center"/>
            <w:hideMark/>
          </w:tcPr>
          <w:p w:rsidR="003F4D97" w:rsidRPr="00CF1F04" w:rsidRDefault="003F4D97" w:rsidP="006B2C88">
            <w:pPr>
              <w:rPr>
                <w:color w:val="000000"/>
                <w:sz w:val="22"/>
                <w:szCs w:val="22"/>
              </w:rPr>
            </w:pPr>
            <w:r w:rsidRPr="00CF1F04">
              <w:rPr>
                <w:color w:val="000000"/>
                <w:sz w:val="22"/>
                <w:szCs w:val="22"/>
              </w:rPr>
              <w:t>Speciální pedagogové</w:t>
            </w:r>
          </w:p>
        </w:tc>
        <w:tc>
          <w:tcPr>
            <w:tcW w:w="542" w:type="pct"/>
            <w:tcBorders>
              <w:top w:val="nil"/>
              <w:left w:val="nil"/>
              <w:bottom w:val="single" w:sz="8" w:space="0" w:color="auto"/>
              <w:right w:val="single" w:sz="8" w:space="0" w:color="auto"/>
            </w:tcBorders>
            <w:shd w:val="clear" w:color="auto" w:fill="auto"/>
            <w:noWrap/>
            <w:vAlign w:val="center"/>
            <w:hideMark/>
          </w:tcPr>
          <w:p w:rsidR="003F4D97" w:rsidRPr="00CF1F04" w:rsidRDefault="003F4D97" w:rsidP="006B2C88">
            <w:pPr>
              <w:jc w:val="right"/>
              <w:rPr>
                <w:color w:val="000000"/>
                <w:sz w:val="22"/>
                <w:szCs w:val="22"/>
              </w:rPr>
            </w:pPr>
            <w:r>
              <w:rPr>
                <w:color w:val="000000"/>
                <w:sz w:val="22"/>
                <w:szCs w:val="22"/>
              </w:rPr>
              <w:t>2</w:t>
            </w:r>
          </w:p>
        </w:tc>
        <w:tc>
          <w:tcPr>
            <w:tcW w:w="821"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0</w:t>
            </w:r>
          </w:p>
        </w:tc>
        <w:tc>
          <w:tcPr>
            <w:tcW w:w="1234"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2</w:t>
            </w:r>
          </w:p>
        </w:tc>
      </w:tr>
      <w:tr w:rsidR="003F4D97" w:rsidRPr="00CF1F04" w:rsidTr="00464158">
        <w:trPr>
          <w:trHeight w:val="306"/>
        </w:trPr>
        <w:tc>
          <w:tcPr>
            <w:tcW w:w="2403" w:type="pct"/>
            <w:tcBorders>
              <w:top w:val="nil"/>
              <w:left w:val="single" w:sz="8" w:space="0" w:color="auto"/>
              <w:bottom w:val="single" w:sz="8" w:space="0" w:color="auto"/>
              <w:right w:val="single" w:sz="8" w:space="0" w:color="auto"/>
            </w:tcBorders>
            <w:shd w:val="clear" w:color="auto" w:fill="auto"/>
            <w:noWrap/>
            <w:vAlign w:val="center"/>
            <w:hideMark/>
          </w:tcPr>
          <w:p w:rsidR="003F4D97" w:rsidRPr="00CF1F04" w:rsidRDefault="003F4D97" w:rsidP="006B2C88">
            <w:pPr>
              <w:rPr>
                <w:color w:val="000000"/>
                <w:sz w:val="22"/>
                <w:szCs w:val="22"/>
              </w:rPr>
            </w:pPr>
            <w:r w:rsidRPr="00CF1F04">
              <w:rPr>
                <w:color w:val="000000"/>
                <w:sz w:val="22"/>
                <w:szCs w:val="22"/>
              </w:rPr>
              <w:t>Vychovatelé vč. vedoucích vychovatelů</w:t>
            </w:r>
          </w:p>
        </w:tc>
        <w:tc>
          <w:tcPr>
            <w:tcW w:w="542"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58</w:t>
            </w:r>
          </w:p>
        </w:tc>
        <w:tc>
          <w:tcPr>
            <w:tcW w:w="821"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50</w:t>
            </w:r>
          </w:p>
        </w:tc>
        <w:tc>
          <w:tcPr>
            <w:tcW w:w="1234"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57,8</w:t>
            </w:r>
          </w:p>
        </w:tc>
      </w:tr>
      <w:tr w:rsidR="003F4D97" w:rsidRPr="00CF1F04" w:rsidTr="00464158">
        <w:trPr>
          <w:trHeight w:val="306"/>
        </w:trPr>
        <w:tc>
          <w:tcPr>
            <w:tcW w:w="2403" w:type="pct"/>
            <w:tcBorders>
              <w:top w:val="nil"/>
              <w:left w:val="single" w:sz="8" w:space="0" w:color="auto"/>
              <w:bottom w:val="single" w:sz="8" w:space="0" w:color="auto"/>
              <w:right w:val="single" w:sz="8" w:space="0" w:color="auto"/>
            </w:tcBorders>
            <w:shd w:val="clear" w:color="auto" w:fill="auto"/>
            <w:noWrap/>
            <w:vAlign w:val="center"/>
            <w:hideMark/>
          </w:tcPr>
          <w:p w:rsidR="003F4D97" w:rsidRPr="00CF1F04" w:rsidRDefault="003F4D97" w:rsidP="006B2C88">
            <w:pPr>
              <w:rPr>
                <w:color w:val="000000"/>
                <w:sz w:val="22"/>
                <w:szCs w:val="22"/>
              </w:rPr>
            </w:pPr>
            <w:r w:rsidRPr="00CF1F04">
              <w:rPr>
                <w:color w:val="000000"/>
                <w:sz w:val="22"/>
                <w:szCs w:val="22"/>
              </w:rPr>
              <w:t>Asistenti pedagogů</w:t>
            </w:r>
          </w:p>
        </w:tc>
        <w:tc>
          <w:tcPr>
            <w:tcW w:w="542"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2</w:t>
            </w:r>
          </w:p>
        </w:tc>
        <w:tc>
          <w:tcPr>
            <w:tcW w:w="821"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2</w:t>
            </w:r>
          </w:p>
        </w:tc>
        <w:tc>
          <w:tcPr>
            <w:tcW w:w="1234"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2</w:t>
            </w:r>
          </w:p>
        </w:tc>
      </w:tr>
      <w:tr w:rsidR="003F4D97" w:rsidRPr="00CF1F04" w:rsidTr="00464158">
        <w:trPr>
          <w:trHeight w:val="306"/>
        </w:trPr>
        <w:tc>
          <w:tcPr>
            <w:tcW w:w="2403" w:type="pct"/>
            <w:tcBorders>
              <w:top w:val="nil"/>
              <w:left w:val="single" w:sz="8" w:space="0" w:color="auto"/>
              <w:bottom w:val="single" w:sz="8" w:space="0" w:color="auto"/>
              <w:right w:val="single" w:sz="8" w:space="0" w:color="auto"/>
            </w:tcBorders>
            <w:shd w:val="clear" w:color="auto" w:fill="auto"/>
            <w:noWrap/>
            <w:vAlign w:val="center"/>
            <w:hideMark/>
          </w:tcPr>
          <w:p w:rsidR="003F4D97" w:rsidRPr="00CF1F04" w:rsidRDefault="003F4D97" w:rsidP="006B2C88">
            <w:pPr>
              <w:rPr>
                <w:color w:val="000000"/>
                <w:sz w:val="22"/>
                <w:szCs w:val="22"/>
              </w:rPr>
            </w:pPr>
            <w:r w:rsidRPr="00CF1F04">
              <w:rPr>
                <w:color w:val="000000"/>
                <w:sz w:val="22"/>
                <w:szCs w:val="22"/>
              </w:rPr>
              <w:t>Psychologové</w:t>
            </w:r>
          </w:p>
        </w:tc>
        <w:tc>
          <w:tcPr>
            <w:tcW w:w="542"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0</w:t>
            </w:r>
          </w:p>
        </w:tc>
        <w:tc>
          <w:tcPr>
            <w:tcW w:w="821"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0</w:t>
            </w:r>
          </w:p>
        </w:tc>
        <w:tc>
          <w:tcPr>
            <w:tcW w:w="1234"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0</w:t>
            </w:r>
          </w:p>
        </w:tc>
      </w:tr>
      <w:tr w:rsidR="003F4D97" w:rsidRPr="00CF1F04" w:rsidTr="00464158">
        <w:trPr>
          <w:trHeight w:val="306"/>
        </w:trPr>
        <w:tc>
          <w:tcPr>
            <w:tcW w:w="2403" w:type="pct"/>
            <w:tcBorders>
              <w:top w:val="nil"/>
              <w:left w:val="single" w:sz="8" w:space="0" w:color="auto"/>
              <w:bottom w:val="single" w:sz="8" w:space="0" w:color="auto"/>
              <w:right w:val="single" w:sz="8" w:space="0" w:color="auto"/>
            </w:tcBorders>
            <w:shd w:val="clear" w:color="auto" w:fill="auto"/>
            <w:noWrap/>
            <w:vAlign w:val="center"/>
            <w:hideMark/>
          </w:tcPr>
          <w:p w:rsidR="003F4D97" w:rsidRPr="00CF1F04" w:rsidRDefault="003F4D97" w:rsidP="006B2C88">
            <w:pPr>
              <w:rPr>
                <w:color w:val="000000"/>
                <w:sz w:val="22"/>
                <w:szCs w:val="22"/>
              </w:rPr>
            </w:pPr>
            <w:r w:rsidRPr="00CF1F04">
              <w:rPr>
                <w:color w:val="000000"/>
                <w:sz w:val="22"/>
                <w:szCs w:val="22"/>
              </w:rPr>
              <w:t>Zdravotničtí pracovníci</w:t>
            </w:r>
          </w:p>
        </w:tc>
        <w:tc>
          <w:tcPr>
            <w:tcW w:w="542"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0</w:t>
            </w:r>
          </w:p>
        </w:tc>
        <w:tc>
          <w:tcPr>
            <w:tcW w:w="821"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0</w:t>
            </w:r>
          </w:p>
        </w:tc>
        <w:tc>
          <w:tcPr>
            <w:tcW w:w="1234"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0</w:t>
            </w:r>
          </w:p>
        </w:tc>
      </w:tr>
      <w:tr w:rsidR="003F4D97" w:rsidRPr="00CF1F04" w:rsidTr="00464158">
        <w:trPr>
          <w:trHeight w:val="306"/>
        </w:trPr>
        <w:tc>
          <w:tcPr>
            <w:tcW w:w="2403" w:type="pct"/>
            <w:tcBorders>
              <w:top w:val="nil"/>
              <w:left w:val="single" w:sz="8" w:space="0" w:color="auto"/>
              <w:bottom w:val="single" w:sz="8" w:space="0" w:color="auto"/>
              <w:right w:val="single" w:sz="8" w:space="0" w:color="auto"/>
            </w:tcBorders>
            <w:shd w:val="clear" w:color="auto" w:fill="auto"/>
            <w:noWrap/>
            <w:vAlign w:val="center"/>
            <w:hideMark/>
          </w:tcPr>
          <w:p w:rsidR="003F4D97" w:rsidRPr="00CF1F04" w:rsidRDefault="003F4D97" w:rsidP="006B2C88">
            <w:pPr>
              <w:rPr>
                <w:color w:val="000000"/>
                <w:sz w:val="22"/>
                <w:szCs w:val="22"/>
              </w:rPr>
            </w:pPr>
            <w:r w:rsidRPr="00CF1F04">
              <w:rPr>
                <w:color w:val="000000"/>
                <w:sz w:val="22"/>
                <w:szCs w:val="22"/>
              </w:rPr>
              <w:t>Sociální pracovníci</w:t>
            </w:r>
          </w:p>
        </w:tc>
        <w:tc>
          <w:tcPr>
            <w:tcW w:w="542"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7</w:t>
            </w:r>
          </w:p>
        </w:tc>
        <w:tc>
          <w:tcPr>
            <w:tcW w:w="821"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7</w:t>
            </w:r>
          </w:p>
        </w:tc>
        <w:tc>
          <w:tcPr>
            <w:tcW w:w="1234"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5,3</w:t>
            </w:r>
          </w:p>
        </w:tc>
      </w:tr>
      <w:tr w:rsidR="003F4D97" w:rsidRPr="00CF1F04" w:rsidTr="00464158">
        <w:trPr>
          <w:trHeight w:val="306"/>
        </w:trPr>
        <w:tc>
          <w:tcPr>
            <w:tcW w:w="2403" w:type="pct"/>
            <w:tcBorders>
              <w:top w:val="nil"/>
              <w:left w:val="single" w:sz="8" w:space="0" w:color="auto"/>
              <w:bottom w:val="single" w:sz="8" w:space="0" w:color="auto"/>
              <w:right w:val="single" w:sz="8" w:space="0" w:color="auto"/>
            </w:tcBorders>
            <w:shd w:val="clear" w:color="auto" w:fill="auto"/>
            <w:noWrap/>
            <w:vAlign w:val="center"/>
            <w:hideMark/>
          </w:tcPr>
          <w:p w:rsidR="003F4D97" w:rsidRPr="00CF1F04" w:rsidRDefault="003F4D97" w:rsidP="006B2C88">
            <w:pPr>
              <w:rPr>
                <w:color w:val="000000"/>
                <w:sz w:val="22"/>
                <w:szCs w:val="22"/>
              </w:rPr>
            </w:pPr>
            <w:r w:rsidRPr="00CF1F04">
              <w:rPr>
                <w:color w:val="000000"/>
                <w:sz w:val="22"/>
                <w:szCs w:val="22"/>
              </w:rPr>
              <w:t>Ostatní odborní pracovníci</w:t>
            </w:r>
          </w:p>
        </w:tc>
        <w:tc>
          <w:tcPr>
            <w:tcW w:w="542"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8</w:t>
            </w:r>
          </w:p>
        </w:tc>
        <w:tc>
          <w:tcPr>
            <w:tcW w:w="821"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7</w:t>
            </w:r>
          </w:p>
        </w:tc>
        <w:tc>
          <w:tcPr>
            <w:tcW w:w="1234" w:type="pct"/>
            <w:tcBorders>
              <w:top w:val="nil"/>
              <w:left w:val="nil"/>
              <w:bottom w:val="single" w:sz="8" w:space="0" w:color="auto"/>
              <w:right w:val="single" w:sz="8" w:space="0" w:color="auto"/>
            </w:tcBorders>
            <w:shd w:val="clear" w:color="auto" w:fill="auto"/>
            <w:noWrap/>
            <w:vAlign w:val="center"/>
          </w:tcPr>
          <w:p w:rsidR="003F4D97" w:rsidRPr="00CF1F04" w:rsidRDefault="003F4D97" w:rsidP="006B2C88">
            <w:pPr>
              <w:jc w:val="right"/>
              <w:rPr>
                <w:color w:val="000000"/>
                <w:sz w:val="22"/>
                <w:szCs w:val="22"/>
              </w:rPr>
            </w:pPr>
            <w:r>
              <w:rPr>
                <w:color w:val="000000"/>
                <w:sz w:val="22"/>
                <w:szCs w:val="22"/>
              </w:rPr>
              <w:t>7,5</w:t>
            </w:r>
          </w:p>
        </w:tc>
      </w:tr>
      <w:tr w:rsidR="003F4D97" w:rsidRPr="00CF1F04" w:rsidTr="00464158">
        <w:trPr>
          <w:trHeight w:val="306"/>
        </w:trPr>
        <w:tc>
          <w:tcPr>
            <w:tcW w:w="2403" w:type="pct"/>
            <w:tcBorders>
              <w:top w:val="nil"/>
              <w:left w:val="nil"/>
              <w:bottom w:val="nil"/>
              <w:right w:val="nil"/>
            </w:tcBorders>
            <w:shd w:val="clear" w:color="auto" w:fill="auto"/>
            <w:noWrap/>
            <w:vAlign w:val="center"/>
          </w:tcPr>
          <w:p w:rsidR="003F4D97" w:rsidRPr="00CF1F04" w:rsidRDefault="003F4D97" w:rsidP="006B2C88">
            <w:pPr>
              <w:rPr>
                <w:i/>
                <w:iCs/>
                <w:color w:val="000000"/>
                <w:sz w:val="20"/>
                <w:szCs w:val="20"/>
              </w:rPr>
            </w:pPr>
          </w:p>
        </w:tc>
        <w:tc>
          <w:tcPr>
            <w:tcW w:w="542" w:type="pct"/>
            <w:tcBorders>
              <w:top w:val="nil"/>
              <w:left w:val="nil"/>
              <w:bottom w:val="nil"/>
              <w:right w:val="nil"/>
            </w:tcBorders>
            <w:shd w:val="clear" w:color="auto" w:fill="auto"/>
            <w:noWrap/>
            <w:vAlign w:val="bottom"/>
          </w:tcPr>
          <w:p w:rsidR="003F4D97" w:rsidRPr="00CF1F04" w:rsidRDefault="003F4D97" w:rsidP="006B2C88">
            <w:pPr>
              <w:rPr>
                <w:rFonts w:ascii="Calibri" w:hAnsi="Calibri"/>
                <w:color w:val="000000"/>
                <w:sz w:val="22"/>
                <w:szCs w:val="22"/>
              </w:rPr>
            </w:pPr>
          </w:p>
        </w:tc>
        <w:tc>
          <w:tcPr>
            <w:tcW w:w="821" w:type="pct"/>
            <w:tcBorders>
              <w:top w:val="nil"/>
              <w:left w:val="nil"/>
              <w:bottom w:val="nil"/>
              <w:right w:val="nil"/>
            </w:tcBorders>
            <w:shd w:val="clear" w:color="auto" w:fill="auto"/>
            <w:noWrap/>
            <w:vAlign w:val="bottom"/>
            <w:hideMark/>
          </w:tcPr>
          <w:p w:rsidR="003F4D97" w:rsidRPr="00CF1F04" w:rsidRDefault="003F4D97" w:rsidP="006B2C88">
            <w:pPr>
              <w:rPr>
                <w:rFonts w:ascii="Calibri" w:hAnsi="Calibri"/>
                <w:color w:val="000000"/>
                <w:sz w:val="22"/>
                <w:szCs w:val="22"/>
              </w:rPr>
            </w:pPr>
          </w:p>
        </w:tc>
        <w:tc>
          <w:tcPr>
            <w:tcW w:w="1234" w:type="pct"/>
            <w:tcBorders>
              <w:top w:val="nil"/>
              <w:left w:val="nil"/>
              <w:bottom w:val="nil"/>
              <w:right w:val="nil"/>
            </w:tcBorders>
            <w:shd w:val="clear" w:color="auto" w:fill="auto"/>
            <w:noWrap/>
            <w:vAlign w:val="bottom"/>
            <w:hideMark/>
          </w:tcPr>
          <w:p w:rsidR="003F4D97" w:rsidRPr="00CF1F04" w:rsidRDefault="003F4D97" w:rsidP="006B2C88">
            <w:pPr>
              <w:rPr>
                <w:rFonts w:ascii="Calibri" w:hAnsi="Calibri"/>
                <w:color w:val="000000"/>
                <w:sz w:val="22"/>
                <w:szCs w:val="22"/>
              </w:rPr>
            </w:pPr>
          </w:p>
        </w:tc>
      </w:tr>
    </w:tbl>
    <w:p w:rsidR="005F6C66" w:rsidRDefault="005F6C66" w:rsidP="00883806">
      <w:pPr>
        <w:rPr>
          <w:b/>
        </w:rPr>
      </w:pPr>
    </w:p>
    <w:p w:rsidR="00E34A57" w:rsidRDefault="00E34A57" w:rsidP="00883806">
      <w:pPr>
        <w:rPr>
          <w:b/>
        </w:rPr>
      </w:pPr>
    </w:p>
    <w:p w:rsidR="00883806" w:rsidRDefault="00883806" w:rsidP="00883806">
      <w:pPr>
        <w:rPr>
          <w:b/>
        </w:rPr>
      </w:pPr>
      <w:r>
        <w:rPr>
          <w:b/>
        </w:rPr>
        <w:t xml:space="preserve">6. </w:t>
      </w:r>
      <w:r w:rsidRPr="00407D3A">
        <w:rPr>
          <w:b/>
        </w:rPr>
        <w:t>Další vzdělávání</w:t>
      </w:r>
      <w:r>
        <w:rPr>
          <w:b/>
        </w:rPr>
        <w:t xml:space="preserve"> ve školách a školských zařízeních Libereckého kraje</w:t>
      </w:r>
    </w:p>
    <w:p w:rsidR="00883806" w:rsidRPr="00407D3A" w:rsidRDefault="00883806" w:rsidP="00883806">
      <w:pPr>
        <w:rPr>
          <w:b/>
        </w:rPr>
      </w:pPr>
    </w:p>
    <w:p w:rsidR="00D345B5" w:rsidRPr="009D10FD" w:rsidRDefault="00D345B5" w:rsidP="00D345B5">
      <w:pPr>
        <w:jc w:val="both"/>
      </w:pPr>
      <w:r>
        <w:t>S</w:t>
      </w:r>
      <w:r w:rsidRPr="009D10FD">
        <w:t xml:space="preserve">třední školy vedle dalšího vzdělávání pedagogických pracovníků poskytují řadu kurzů se zaměřením dle možností školy. Školy zpravidla využijí prostředků z organizovaných kurzů v doplňkové činnosti na další rozvoj školy. </w:t>
      </w:r>
    </w:p>
    <w:p w:rsidR="00D345B5" w:rsidRDefault="00D345B5" w:rsidP="00464158">
      <w:pPr>
        <w:pStyle w:val="Tabulka"/>
        <w:spacing w:line="360" w:lineRule="auto"/>
      </w:pPr>
      <w:r w:rsidRPr="00565DB6">
        <w:t xml:space="preserve">Tabulka </w:t>
      </w:r>
      <w:r w:rsidR="003827A0">
        <w:t xml:space="preserve">č. </w:t>
      </w:r>
      <w:r w:rsidR="00EF6577">
        <w:t>5</w:t>
      </w:r>
      <w:r w:rsidR="003827A0">
        <w:t xml:space="preserve">: </w:t>
      </w:r>
      <w:r>
        <w:t>Kurzy organizované školami zřizovanými Libereckým krajem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3071"/>
        <w:gridCol w:w="3071"/>
      </w:tblGrid>
      <w:tr w:rsidR="00D345B5" w:rsidTr="006B2C88">
        <w:trPr>
          <w:trHeight w:val="193"/>
        </w:trPr>
        <w:tc>
          <w:tcPr>
            <w:tcW w:w="2962" w:type="dxa"/>
          </w:tcPr>
          <w:p w:rsidR="00D345B5" w:rsidRPr="009D10FD" w:rsidRDefault="00D345B5" w:rsidP="00464158">
            <w:pPr>
              <w:spacing w:line="360" w:lineRule="auto"/>
              <w:jc w:val="center"/>
              <w:rPr>
                <w:b/>
              </w:rPr>
            </w:pPr>
            <w:r w:rsidRPr="009D10FD">
              <w:rPr>
                <w:b/>
              </w:rPr>
              <w:t>ZAMĚŘENÍ KURZU</w:t>
            </w:r>
          </w:p>
        </w:tc>
        <w:tc>
          <w:tcPr>
            <w:tcW w:w="3071" w:type="dxa"/>
          </w:tcPr>
          <w:p w:rsidR="00D345B5" w:rsidRPr="009D10FD" w:rsidRDefault="00D345B5" w:rsidP="00464158">
            <w:pPr>
              <w:spacing w:line="360" w:lineRule="auto"/>
              <w:jc w:val="center"/>
              <w:rPr>
                <w:b/>
              </w:rPr>
            </w:pPr>
            <w:r w:rsidRPr="009D10FD">
              <w:rPr>
                <w:b/>
              </w:rPr>
              <w:t>POČET KURZŮ</w:t>
            </w:r>
          </w:p>
        </w:tc>
        <w:tc>
          <w:tcPr>
            <w:tcW w:w="3071" w:type="dxa"/>
          </w:tcPr>
          <w:p w:rsidR="00D345B5" w:rsidRPr="009D10FD" w:rsidRDefault="00D345B5" w:rsidP="00464158">
            <w:pPr>
              <w:spacing w:line="360" w:lineRule="auto"/>
              <w:jc w:val="center"/>
              <w:rPr>
                <w:b/>
              </w:rPr>
            </w:pPr>
            <w:r w:rsidRPr="009D10FD">
              <w:rPr>
                <w:b/>
              </w:rPr>
              <w:t>POČET ÚČASTNÍKŮ</w:t>
            </w:r>
          </w:p>
        </w:tc>
      </w:tr>
      <w:tr w:rsidR="00D345B5" w:rsidTr="006B2C88">
        <w:trPr>
          <w:trHeight w:val="338"/>
        </w:trPr>
        <w:tc>
          <w:tcPr>
            <w:tcW w:w="2962" w:type="dxa"/>
          </w:tcPr>
          <w:p w:rsidR="00D345B5" w:rsidRDefault="00D345B5" w:rsidP="006B2C88">
            <w:r>
              <w:t>ekonomický</w:t>
            </w:r>
          </w:p>
        </w:tc>
        <w:tc>
          <w:tcPr>
            <w:tcW w:w="3071" w:type="dxa"/>
          </w:tcPr>
          <w:p w:rsidR="00D345B5" w:rsidRDefault="00D345B5" w:rsidP="006B2C88">
            <w:pPr>
              <w:jc w:val="right"/>
            </w:pPr>
            <w:r>
              <w:t>3</w:t>
            </w:r>
          </w:p>
        </w:tc>
        <w:tc>
          <w:tcPr>
            <w:tcW w:w="3071" w:type="dxa"/>
          </w:tcPr>
          <w:p w:rsidR="00D345B5" w:rsidRDefault="00D345B5" w:rsidP="006B2C88">
            <w:pPr>
              <w:jc w:val="right"/>
            </w:pPr>
            <w:r>
              <w:t>4</w:t>
            </w:r>
          </w:p>
        </w:tc>
      </w:tr>
      <w:tr w:rsidR="00D345B5" w:rsidTr="006B2C88">
        <w:trPr>
          <w:trHeight w:val="338"/>
        </w:trPr>
        <w:tc>
          <w:tcPr>
            <w:tcW w:w="2962" w:type="dxa"/>
          </w:tcPr>
          <w:p w:rsidR="00D345B5" w:rsidRDefault="00D345B5" w:rsidP="006B2C88">
            <w:r>
              <w:t>pedagogický</w:t>
            </w:r>
          </w:p>
        </w:tc>
        <w:tc>
          <w:tcPr>
            <w:tcW w:w="3071" w:type="dxa"/>
          </w:tcPr>
          <w:p w:rsidR="00D345B5" w:rsidRDefault="00D345B5" w:rsidP="006B2C88">
            <w:pPr>
              <w:jc w:val="right"/>
            </w:pPr>
            <w:r>
              <w:t>80</w:t>
            </w:r>
          </w:p>
        </w:tc>
        <w:tc>
          <w:tcPr>
            <w:tcW w:w="3071" w:type="dxa"/>
          </w:tcPr>
          <w:p w:rsidR="00D345B5" w:rsidRDefault="00D345B5" w:rsidP="006B2C88">
            <w:pPr>
              <w:jc w:val="right"/>
            </w:pPr>
            <w:r>
              <w:t>618</w:t>
            </w:r>
          </w:p>
        </w:tc>
      </w:tr>
      <w:tr w:rsidR="00D345B5" w:rsidTr="006B2C88">
        <w:trPr>
          <w:trHeight w:val="338"/>
        </w:trPr>
        <w:tc>
          <w:tcPr>
            <w:tcW w:w="2962" w:type="dxa"/>
          </w:tcPr>
          <w:p w:rsidR="00D345B5" w:rsidRDefault="00D345B5" w:rsidP="006B2C88">
            <w:r>
              <w:t>právní a veřejnoprávní</w:t>
            </w:r>
          </w:p>
        </w:tc>
        <w:tc>
          <w:tcPr>
            <w:tcW w:w="3071" w:type="dxa"/>
          </w:tcPr>
          <w:p w:rsidR="00D345B5" w:rsidRDefault="00D345B5" w:rsidP="006B2C88">
            <w:pPr>
              <w:jc w:val="right"/>
            </w:pPr>
            <w:r>
              <w:t>8</w:t>
            </w:r>
          </w:p>
        </w:tc>
        <w:tc>
          <w:tcPr>
            <w:tcW w:w="3071" w:type="dxa"/>
          </w:tcPr>
          <w:p w:rsidR="00D345B5" w:rsidRDefault="00D345B5" w:rsidP="006B2C88">
            <w:pPr>
              <w:jc w:val="right"/>
            </w:pPr>
            <w:r>
              <w:t>12</w:t>
            </w:r>
          </w:p>
        </w:tc>
      </w:tr>
      <w:tr w:rsidR="00D345B5" w:rsidTr="006B2C88">
        <w:trPr>
          <w:trHeight w:val="338"/>
        </w:trPr>
        <w:tc>
          <w:tcPr>
            <w:tcW w:w="2962" w:type="dxa"/>
          </w:tcPr>
          <w:p w:rsidR="00D345B5" w:rsidRDefault="00D345B5" w:rsidP="006B2C88">
            <w:r>
              <w:t>poskytování služeb</w:t>
            </w:r>
          </w:p>
        </w:tc>
        <w:tc>
          <w:tcPr>
            <w:tcW w:w="3071" w:type="dxa"/>
          </w:tcPr>
          <w:p w:rsidR="00D345B5" w:rsidRDefault="00D345B5" w:rsidP="006B2C88">
            <w:pPr>
              <w:jc w:val="right"/>
            </w:pPr>
            <w:r>
              <w:t>50</w:t>
            </w:r>
          </w:p>
        </w:tc>
        <w:tc>
          <w:tcPr>
            <w:tcW w:w="3071" w:type="dxa"/>
          </w:tcPr>
          <w:p w:rsidR="00D345B5" w:rsidRDefault="00D345B5" w:rsidP="006B2C88">
            <w:pPr>
              <w:jc w:val="right"/>
            </w:pPr>
            <w:r>
              <w:t>503</w:t>
            </w:r>
          </w:p>
        </w:tc>
      </w:tr>
      <w:tr w:rsidR="00D345B5" w:rsidTr="006B2C88">
        <w:trPr>
          <w:trHeight w:val="338"/>
        </w:trPr>
        <w:tc>
          <w:tcPr>
            <w:tcW w:w="2962" w:type="dxa"/>
          </w:tcPr>
          <w:p w:rsidR="00D345B5" w:rsidRDefault="00D345B5" w:rsidP="006B2C88">
            <w:r>
              <w:t>sociální a zdravotnický</w:t>
            </w:r>
          </w:p>
        </w:tc>
        <w:tc>
          <w:tcPr>
            <w:tcW w:w="3071" w:type="dxa"/>
          </w:tcPr>
          <w:p w:rsidR="00D345B5" w:rsidRDefault="00D345B5" w:rsidP="006B2C88">
            <w:pPr>
              <w:jc w:val="right"/>
            </w:pPr>
            <w:r>
              <w:t>1</w:t>
            </w:r>
          </w:p>
        </w:tc>
        <w:tc>
          <w:tcPr>
            <w:tcW w:w="3071" w:type="dxa"/>
          </w:tcPr>
          <w:p w:rsidR="00D345B5" w:rsidRDefault="00D345B5" w:rsidP="006B2C88">
            <w:pPr>
              <w:jc w:val="right"/>
            </w:pPr>
            <w:r>
              <w:t>24</w:t>
            </w:r>
          </w:p>
        </w:tc>
      </w:tr>
      <w:tr w:rsidR="00D345B5" w:rsidTr="006B2C88">
        <w:trPr>
          <w:trHeight w:val="338"/>
        </w:trPr>
        <w:tc>
          <w:tcPr>
            <w:tcW w:w="2962" w:type="dxa"/>
          </w:tcPr>
          <w:p w:rsidR="00D345B5" w:rsidRDefault="00D345B5" w:rsidP="006B2C88">
            <w:r>
              <w:t>umělecký a technický</w:t>
            </w:r>
          </w:p>
        </w:tc>
        <w:tc>
          <w:tcPr>
            <w:tcW w:w="3071" w:type="dxa"/>
          </w:tcPr>
          <w:p w:rsidR="00D345B5" w:rsidRDefault="00D345B5" w:rsidP="006B2C88">
            <w:pPr>
              <w:jc w:val="right"/>
            </w:pPr>
            <w:r>
              <w:t>61</w:t>
            </w:r>
          </w:p>
        </w:tc>
        <w:tc>
          <w:tcPr>
            <w:tcW w:w="3071" w:type="dxa"/>
          </w:tcPr>
          <w:p w:rsidR="00D345B5" w:rsidRDefault="00D345B5" w:rsidP="006B2C88">
            <w:pPr>
              <w:jc w:val="right"/>
            </w:pPr>
            <w:r>
              <w:t>974</w:t>
            </w:r>
          </w:p>
        </w:tc>
      </w:tr>
      <w:tr w:rsidR="00D345B5" w:rsidTr="006B2C88">
        <w:trPr>
          <w:trHeight w:val="338"/>
        </w:trPr>
        <w:tc>
          <w:tcPr>
            <w:tcW w:w="2962" w:type="dxa"/>
          </w:tcPr>
          <w:p w:rsidR="00D345B5" w:rsidRDefault="00D345B5" w:rsidP="006B2C88">
            <w:r>
              <w:t>všeobecně vzdělávací</w:t>
            </w:r>
          </w:p>
        </w:tc>
        <w:tc>
          <w:tcPr>
            <w:tcW w:w="3071" w:type="dxa"/>
          </w:tcPr>
          <w:p w:rsidR="00D345B5" w:rsidRDefault="00D345B5" w:rsidP="006B2C88">
            <w:pPr>
              <w:jc w:val="right"/>
            </w:pPr>
            <w:r>
              <w:t>20</w:t>
            </w:r>
          </w:p>
        </w:tc>
        <w:tc>
          <w:tcPr>
            <w:tcW w:w="3071" w:type="dxa"/>
          </w:tcPr>
          <w:p w:rsidR="00D345B5" w:rsidRDefault="00D345B5" w:rsidP="006B2C88">
            <w:pPr>
              <w:jc w:val="right"/>
            </w:pPr>
            <w:r>
              <w:t>275</w:t>
            </w:r>
          </w:p>
        </w:tc>
      </w:tr>
      <w:tr w:rsidR="00D345B5" w:rsidTr="006B2C88">
        <w:trPr>
          <w:trHeight w:val="338"/>
        </w:trPr>
        <w:tc>
          <w:tcPr>
            <w:tcW w:w="2962" w:type="dxa"/>
          </w:tcPr>
          <w:p w:rsidR="00D345B5" w:rsidRDefault="00D345B5" w:rsidP="006B2C88">
            <w:r>
              <w:t>zemědělský a ekologický</w:t>
            </w:r>
          </w:p>
        </w:tc>
        <w:tc>
          <w:tcPr>
            <w:tcW w:w="3071" w:type="dxa"/>
          </w:tcPr>
          <w:p w:rsidR="00D345B5" w:rsidRDefault="00D345B5" w:rsidP="006B2C88">
            <w:pPr>
              <w:jc w:val="right"/>
            </w:pPr>
            <w:r>
              <w:t>1</w:t>
            </w:r>
          </w:p>
        </w:tc>
        <w:tc>
          <w:tcPr>
            <w:tcW w:w="3071" w:type="dxa"/>
          </w:tcPr>
          <w:p w:rsidR="00D345B5" w:rsidRDefault="00D345B5" w:rsidP="006B2C88">
            <w:pPr>
              <w:jc w:val="right"/>
            </w:pPr>
            <w:r>
              <w:t>3</w:t>
            </w:r>
          </w:p>
        </w:tc>
      </w:tr>
      <w:tr w:rsidR="00D345B5" w:rsidTr="006B2C88">
        <w:trPr>
          <w:trHeight w:val="338"/>
        </w:trPr>
        <w:tc>
          <w:tcPr>
            <w:tcW w:w="2962" w:type="dxa"/>
          </w:tcPr>
          <w:p w:rsidR="00D345B5" w:rsidRDefault="00D345B5" w:rsidP="006B2C88">
            <w:r>
              <w:t>zájmový</w:t>
            </w:r>
          </w:p>
        </w:tc>
        <w:tc>
          <w:tcPr>
            <w:tcW w:w="3071" w:type="dxa"/>
          </w:tcPr>
          <w:p w:rsidR="00D345B5" w:rsidRDefault="00D345B5" w:rsidP="006B2C88">
            <w:pPr>
              <w:jc w:val="right"/>
            </w:pPr>
            <w:r>
              <w:t>11</w:t>
            </w:r>
          </w:p>
        </w:tc>
        <w:tc>
          <w:tcPr>
            <w:tcW w:w="3071" w:type="dxa"/>
          </w:tcPr>
          <w:p w:rsidR="00D345B5" w:rsidRDefault="00D345B5" w:rsidP="006B2C88">
            <w:pPr>
              <w:jc w:val="right"/>
            </w:pPr>
            <w:r>
              <w:t>64</w:t>
            </w:r>
          </w:p>
        </w:tc>
      </w:tr>
      <w:tr w:rsidR="00D345B5" w:rsidTr="006B2C88">
        <w:trPr>
          <w:trHeight w:val="357"/>
        </w:trPr>
        <w:tc>
          <w:tcPr>
            <w:tcW w:w="2962" w:type="dxa"/>
          </w:tcPr>
          <w:p w:rsidR="00D345B5" w:rsidRPr="009D10FD" w:rsidRDefault="00D345B5" w:rsidP="006B2C88">
            <w:r w:rsidRPr="009D10FD">
              <w:t>celkem</w:t>
            </w:r>
          </w:p>
        </w:tc>
        <w:tc>
          <w:tcPr>
            <w:tcW w:w="3071" w:type="dxa"/>
          </w:tcPr>
          <w:p w:rsidR="00D345B5" w:rsidRPr="009D10FD" w:rsidRDefault="00D345B5" w:rsidP="006B2C88">
            <w:pPr>
              <w:jc w:val="right"/>
            </w:pPr>
            <w:r w:rsidRPr="009D10FD">
              <w:t>235</w:t>
            </w:r>
          </w:p>
        </w:tc>
        <w:tc>
          <w:tcPr>
            <w:tcW w:w="3071" w:type="dxa"/>
          </w:tcPr>
          <w:p w:rsidR="00D345B5" w:rsidRPr="009D10FD" w:rsidRDefault="00D345B5" w:rsidP="006B2C88">
            <w:pPr>
              <w:jc w:val="right"/>
            </w:pPr>
            <w:r w:rsidRPr="009D10FD">
              <w:t>2</w:t>
            </w:r>
            <w:r>
              <w:t xml:space="preserve"> </w:t>
            </w:r>
            <w:r w:rsidRPr="009D10FD">
              <w:t>477</w:t>
            </w:r>
          </w:p>
        </w:tc>
      </w:tr>
    </w:tbl>
    <w:p w:rsidR="00D345B5" w:rsidRPr="00246D9C" w:rsidRDefault="00D345B5" w:rsidP="00D345B5">
      <w:pPr>
        <w:pStyle w:val="Zdroj"/>
        <w:rPr>
          <w:sz w:val="24"/>
          <w:szCs w:val="24"/>
        </w:rPr>
      </w:pPr>
      <w:r w:rsidRPr="00246D9C">
        <w:rPr>
          <w:sz w:val="24"/>
          <w:szCs w:val="24"/>
        </w:rPr>
        <w:t>Zdroj: Výroční zprávy o činnosti škol a školských zařízení zřizovaných Libereckým krajem</w:t>
      </w:r>
    </w:p>
    <w:p w:rsidR="00D345B5" w:rsidRPr="00246D9C" w:rsidRDefault="00D345B5" w:rsidP="00D345B5">
      <w:pPr>
        <w:pStyle w:val="Zdroj"/>
        <w:rPr>
          <w:sz w:val="24"/>
          <w:szCs w:val="24"/>
        </w:rPr>
      </w:pPr>
      <w:r w:rsidRPr="00246D9C">
        <w:rPr>
          <w:sz w:val="24"/>
          <w:szCs w:val="24"/>
        </w:rPr>
        <w:t>Poznámka: v součtech nabízených kurzů jsou zároveň kurzy, o nichž nebyl z řad klientů zájem.</w:t>
      </w:r>
    </w:p>
    <w:p w:rsidR="004501CD" w:rsidRDefault="004501CD" w:rsidP="00D345B5">
      <w:pPr>
        <w:jc w:val="both"/>
      </w:pPr>
    </w:p>
    <w:p w:rsidR="00D345B5" w:rsidRDefault="00D345B5" w:rsidP="00D345B5">
      <w:pPr>
        <w:jc w:val="both"/>
      </w:pPr>
      <w:r>
        <w:t xml:space="preserve">Celkově bylo ve školách zřizovaných Libereckým krajem ve školním roce 2016/2017 zrealizováno 235 vzdělávacích kurzů. Z oblastí organizovaných </w:t>
      </w:r>
      <w:r w:rsidRPr="0089483B">
        <w:t>kurzů převažuje směr pedagogický, umělecký a technický a</w:t>
      </w:r>
      <w:r w:rsidRPr="00CF224E">
        <w:t> </w:t>
      </w:r>
      <w:r w:rsidRPr="0089483B">
        <w:t xml:space="preserve"> poskytování služeb. V průměru </w:t>
      </w:r>
      <w:r>
        <w:t>se účastnilo na jeden kurz přes deset účastníků kurzu. Je nutné však vzít v úvahu, že počty absolventů byly o něco nižší, než počty účastníků kurzů.</w:t>
      </w:r>
    </w:p>
    <w:p w:rsidR="00D345B5" w:rsidRDefault="00D345B5" w:rsidP="00D345B5">
      <w:pPr>
        <w:jc w:val="both"/>
      </w:pPr>
      <w:r>
        <w:t>Specifickou kategorií v oblasti dalšího vzdělávání je ověřování profesních kvalifikací. Ve</w:t>
      </w:r>
      <w:r w:rsidRPr="00CF224E">
        <w:t> </w:t>
      </w:r>
      <w:r w:rsidR="00D21B4E">
        <w:t xml:space="preserve"> smyslu zákona č. 179/2006 Sb.,</w:t>
      </w:r>
      <w:r>
        <w:t xml:space="preserve"> o ověřování a uznávání výsledků dalšího vzdělávání a</w:t>
      </w:r>
      <w:r w:rsidRPr="00CF224E">
        <w:t> </w:t>
      </w:r>
      <w:r>
        <w:t xml:space="preserve"> o</w:t>
      </w:r>
      <w:r w:rsidRPr="00CF224E">
        <w:t> </w:t>
      </w:r>
      <w:r>
        <w:t xml:space="preserve"> změně některých zákonů</w:t>
      </w:r>
      <w:r w:rsidR="00D21B4E">
        <w:t xml:space="preserve"> (zákon o uznávání výsledků dalšího vzdělávání), ve znění pozdějších předpisů</w:t>
      </w:r>
      <w:r>
        <w:t xml:space="preserve">, bylo ve školním roce 2016/2017 v Libereckém kraji </w:t>
      </w:r>
      <w:r w:rsidRPr="00DE7BE4">
        <w:t>8 středních škol</w:t>
      </w:r>
      <w:r>
        <w:t>, které se staly autorizovanou osobou pro ověřování profesních kvalifikací. V různých oblastech (například obrábění CNC strojů, zpracování teplých a studených pokrmů, obrábění materiálů, stavební práce, pěstební a chovatelské činnosti a další) tak školy nabízely celkem 102 dílčích profesních kvalifikací, přičemž zájemci o kvalifikace využili nabízených možností doplnění vzdělání v těchto oblastech různě intenzivně.</w:t>
      </w:r>
    </w:p>
    <w:p w:rsidR="00D345B5" w:rsidRPr="00565DB6" w:rsidRDefault="00246D9C" w:rsidP="006448CA">
      <w:pPr>
        <w:pStyle w:val="Tabulka"/>
        <w:spacing w:line="360" w:lineRule="auto"/>
        <w:rPr>
          <w:lang w:eastAsia="cs-CZ"/>
        </w:rPr>
      </w:pPr>
      <w:r>
        <w:rPr>
          <w:lang w:eastAsia="cs-CZ"/>
        </w:rPr>
        <w:t>T</w:t>
      </w:r>
      <w:r w:rsidR="00D345B5" w:rsidRPr="00565DB6">
        <w:rPr>
          <w:lang w:eastAsia="cs-CZ"/>
        </w:rPr>
        <w:t xml:space="preserve">abulka </w:t>
      </w:r>
      <w:r w:rsidR="003827A0">
        <w:rPr>
          <w:lang w:eastAsia="cs-CZ"/>
        </w:rPr>
        <w:t>č.</w:t>
      </w:r>
      <w:r w:rsidR="00EF6577">
        <w:rPr>
          <w:lang w:eastAsia="cs-CZ"/>
        </w:rPr>
        <w:t xml:space="preserve"> 6</w:t>
      </w:r>
      <w:r w:rsidR="003827A0">
        <w:rPr>
          <w:lang w:eastAsia="cs-CZ"/>
        </w:rPr>
        <w:t>:</w:t>
      </w:r>
      <w:r w:rsidR="00D345B5" w:rsidRPr="00565DB6">
        <w:rPr>
          <w:lang w:eastAsia="cs-CZ"/>
        </w:rPr>
        <w:t xml:space="preserve"> Přehled škol nabízejících uznávání profesních kvalifikací</w:t>
      </w:r>
    </w:p>
    <w:tbl>
      <w:tblPr>
        <w:tblW w:w="9100" w:type="dxa"/>
        <w:tblInd w:w="55" w:type="dxa"/>
        <w:tblCellMar>
          <w:left w:w="70" w:type="dxa"/>
          <w:right w:w="70" w:type="dxa"/>
        </w:tblCellMar>
        <w:tblLook w:val="04A0" w:firstRow="1" w:lastRow="0" w:firstColumn="1" w:lastColumn="0" w:noHBand="0" w:noVBand="1"/>
      </w:tblPr>
      <w:tblGrid>
        <w:gridCol w:w="6394"/>
        <w:gridCol w:w="2706"/>
      </w:tblGrid>
      <w:tr w:rsidR="00D345B5" w:rsidRPr="00B1576D" w:rsidTr="008F182B">
        <w:trPr>
          <w:trHeight w:val="365"/>
        </w:trPr>
        <w:tc>
          <w:tcPr>
            <w:tcW w:w="6394" w:type="dxa"/>
            <w:tcBorders>
              <w:top w:val="single" w:sz="4" w:space="0" w:color="auto"/>
              <w:left w:val="single" w:sz="4" w:space="0" w:color="auto"/>
              <w:bottom w:val="single" w:sz="4" w:space="0" w:color="auto"/>
              <w:right w:val="single" w:sz="4" w:space="0" w:color="auto"/>
            </w:tcBorders>
            <w:noWrap/>
            <w:vAlign w:val="center"/>
            <w:hideMark/>
          </w:tcPr>
          <w:p w:rsidR="00D345B5" w:rsidRPr="00510C1F" w:rsidRDefault="00D345B5" w:rsidP="006448CA">
            <w:pPr>
              <w:spacing w:line="360" w:lineRule="auto"/>
              <w:jc w:val="center"/>
              <w:rPr>
                <w:b/>
                <w:bCs/>
                <w:color w:val="000000"/>
              </w:rPr>
            </w:pPr>
            <w:r w:rsidRPr="00510C1F">
              <w:rPr>
                <w:b/>
                <w:bCs/>
                <w:color w:val="000000"/>
              </w:rPr>
              <w:t>ŠKOLA</w:t>
            </w:r>
          </w:p>
        </w:tc>
        <w:tc>
          <w:tcPr>
            <w:tcW w:w="2706" w:type="dxa"/>
            <w:tcBorders>
              <w:top w:val="single" w:sz="4" w:space="0" w:color="auto"/>
              <w:left w:val="nil"/>
              <w:bottom w:val="single" w:sz="4" w:space="0" w:color="auto"/>
              <w:right w:val="single" w:sz="4" w:space="0" w:color="auto"/>
            </w:tcBorders>
            <w:noWrap/>
            <w:vAlign w:val="bottom"/>
            <w:hideMark/>
          </w:tcPr>
          <w:p w:rsidR="00D345B5" w:rsidRPr="00510C1F" w:rsidRDefault="00D345B5" w:rsidP="006448CA">
            <w:pPr>
              <w:spacing w:line="360" w:lineRule="auto"/>
              <w:jc w:val="center"/>
              <w:rPr>
                <w:b/>
                <w:bCs/>
                <w:color w:val="000000"/>
              </w:rPr>
            </w:pPr>
            <w:r w:rsidRPr="00510C1F">
              <w:rPr>
                <w:b/>
                <w:bCs/>
                <w:color w:val="000000"/>
              </w:rPr>
              <w:t>POČET PROFESNÍCH KVALIFIKACÍ</w:t>
            </w:r>
          </w:p>
        </w:tc>
      </w:tr>
      <w:tr w:rsidR="00D345B5" w:rsidRPr="00B1576D" w:rsidTr="008F182B">
        <w:trPr>
          <w:trHeight w:val="512"/>
        </w:trPr>
        <w:tc>
          <w:tcPr>
            <w:tcW w:w="6394" w:type="dxa"/>
            <w:tcBorders>
              <w:top w:val="nil"/>
              <w:left w:val="single" w:sz="4" w:space="0" w:color="auto"/>
              <w:bottom w:val="single" w:sz="4" w:space="0" w:color="auto"/>
              <w:right w:val="single" w:sz="4" w:space="0" w:color="auto"/>
            </w:tcBorders>
            <w:vAlign w:val="center"/>
            <w:hideMark/>
          </w:tcPr>
          <w:p w:rsidR="00D345B5" w:rsidRPr="00B1576D" w:rsidRDefault="00D345B5" w:rsidP="006B2C88">
            <w:pPr>
              <w:rPr>
                <w:color w:val="000000"/>
              </w:rPr>
            </w:pPr>
            <w:r w:rsidRPr="00B1576D">
              <w:rPr>
                <w:color w:val="000000"/>
              </w:rPr>
              <w:t>Obchodní akademie, Hotelová škola a Střední odborná škola Turnov, Zborovská 519</w:t>
            </w:r>
          </w:p>
        </w:tc>
        <w:tc>
          <w:tcPr>
            <w:tcW w:w="2706" w:type="dxa"/>
            <w:tcBorders>
              <w:top w:val="nil"/>
              <w:left w:val="nil"/>
              <w:bottom w:val="single" w:sz="4" w:space="0" w:color="auto"/>
              <w:right w:val="single" w:sz="4" w:space="0" w:color="auto"/>
            </w:tcBorders>
            <w:noWrap/>
            <w:vAlign w:val="center"/>
            <w:hideMark/>
          </w:tcPr>
          <w:p w:rsidR="00D345B5" w:rsidRPr="00B1576D" w:rsidRDefault="00D345B5" w:rsidP="006B2C88">
            <w:pPr>
              <w:jc w:val="right"/>
              <w:rPr>
                <w:color w:val="000000"/>
              </w:rPr>
            </w:pPr>
            <w:r w:rsidRPr="00B1576D">
              <w:rPr>
                <w:color w:val="000000"/>
              </w:rPr>
              <w:t>1</w:t>
            </w:r>
            <w:r>
              <w:rPr>
                <w:color w:val="000000"/>
              </w:rPr>
              <w:t>2</w:t>
            </w:r>
          </w:p>
        </w:tc>
      </w:tr>
      <w:tr w:rsidR="00D345B5" w:rsidRPr="00B1576D" w:rsidTr="008F182B">
        <w:trPr>
          <w:trHeight w:val="515"/>
        </w:trPr>
        <w:tc>
          <w:tcPr>
            <w:tcW w:w="6394" w:type="dxa"/>
            <w:tcBorders>
              <w:top w:val="nil"/>
              <w:left w:val="single" w:sz="4" w:space="0" w:color="auto"/>
              <w:bottom w:val="single" w:sz="4" w:space="0" w:color="auto"/>
              <w:right w:val="single" w:sz="4" w:space="0" w:color="auto"/>
            </w:tcBorders>
            <w:vAlign w:val="center"/>
            <w:hideMark/>
          </w:tcPr>
          <w:p w:rsidR="00D345B5" w:rsidRPr="00B1576D" w:rsidRDefault="00D345B5" w:rsidP="006B2C88">
            <w:pPr>
              <w:rPr>
                <w:color w:val="000000"/>
              </w:rPr>
            </w:pPr>
            <w:r w:rsidRPr="00B1576D">
              <w:rPr>
                <w:color w:val="000000"/>
              </w:rPr>
              <w:t>Střední odborná škola a Střední odborné učiliště, Česká Lípa, 28. října 2707</w:t>
            </w:r>
          </w:p>
        </w:tc>
        <w:tc>
          <w:tcPr>
            <w:tcW w:w="2706" w:type="dxa"/>
            <w:tcBorders>
              <w:top w:val="nil"/>
              <w:left w:val="nil"/>
              <w:bottom w:val="single" w:sz="4" w:space="0" w:color="auto"/>
              <w:right w:val="single" w:sz="4" w:space="0" w:color="auto"/>
            </w:tcBorders>
            <w:noWrap/>
            <w:vAlign w:val="center"/>
            <w:hideMark/>
          </w:tcPr>
          <w:p w:rsidR="00D345B5" w:rsidRPr="00B1576D" w:rsidRDefault="00D345B5" w:rsidP="006B2C88">
            <w:pPr>
              <w:jc w:val="right"/>
              <w:rPr>
                <w:color w:val="000000"/>
              </w:rPr>
            </w:pPr>
            <w:r w:rsidRPr="00B1576D">
              <w:rPr>
                <w:color w:val="000000"/>
              </w:rPr>
              <w:t>10</w:t>
            </w:r>
          </w:p>
        </w:tc>
      </w:tr>
      <w:tr w:rsidR="00D345B5" w:rsidRPr="00B1576D" w:rsidTr="008F182B">
        <w:trPr>
          <w:trHeight w:val="351"/>
        </w:trPr>
        <w:tc>
          <w:tcPr>
            <w:tcW w:w="6394" w:type="dxa"/>
            <w:tcBorders>
              <w:top w:val="nil"/>
              <w:left w:val="single" w:sz="4" w:space="0" w:color="auto"/>
              <w:bottom w:val="single" w:sz="4" w:space="0" w:color="auto"/>
              <w:right w:val="single" w:sz="4" w:space="0" w:color="auto"/>
            </w:tcBorders>
            <w:vAlign w:val="center"/>
            <w:hideMark/>
          </w:tcPr>
          <w:p w:rsidR="00D345B5" w:rsidRPr="00B1576D" w:rsidRDefault="00D345B5" w:rsidP="006B2C88">
            <w:pPr>
              <w:rPr>
                <w:color w:val="000000"/>
              </w:rPr>
            </w:pPr>
            <w:r w:rsidRPr="00B1576D">
              <w:rPr>
                <w:color w:val="000000"/>
              </w:rPr>
              <w:t>Střední škola gastronomie a služeb, Liberec, Dvorská 447/29</w:t>
            </w:r>
          </w:p>
        </w:tc>
        <w:tc>
          <w:tcPr>
            <w:tcW w:w="2706" w:type="dxa"/>
            <w:tcBorders>
              <w:top w:val="nil"/>
              <w:left w:val="nil"/>
              <w:bottom w:val="single" w:sz="4" w:space="0" w:color="auto"/>
              <w:right w:val="single" w:sz="4" w:space="0" w:color="auto"/>
            </w:tcBorders>
            <w:noWrap/>
            <w:vAlign w:val="center"/>
            <w:hideMark/>
          </w:tcPr>
          <w:p w:rsidR="00D345B5" w:rsidRPr="00B1576D" w:rsidRDefault="00D345B5" w:rsidP="006B2C88">
            <w:pPr>
              <w:jc w:val="right"/>
              <w:rPr>
                <w:color w:val="000000"/>
              </w:rPr>
            </w:pPr>
            <w:r w:rsidRPr="00B1576D">
              <w:rPr>
                <w:color w:val="000000"/>
              </w:rPr>
              <w:t>16</w:t>
            </w:r>
          </w:p>
        </w:tc>
      </w:tr>
      <w:tr w:rsidR="00D345B5" w:rsidRPr="00B1576D" w:rsidTr="008F182B">
        <w:trPr>
          <w:trHeight w:val="412"/>
        </w:trPr>
        <w:tc>
          <w:tcPr>
            <w:tcW w:w="6394" w:type="dxa"/>
            <w:tcBorders>
              <w:top w:val="nil"/>
              <w:left w:val="single" w:sz="4" w:space="0" w:color="auto"/>
              <w:bottom w:val="single" w:sz="4" w:space="0" w:color="auto"/>
              <w:right w:val="single" w:sz="4" w:space="0" w:color="auto"/>
            </w:tcBorders>
            <w:vAlign w:val="center"/>
            <w:hideMark/>
          </w:tcPr>
          <w:p w:rsidR="00D345B5" w:rsidRPr="00B1576D" w:rsidRDefault="00D345B5" w:rsidP="006B2C88">
            <w:pPr>
              <w:rPr>
                <w:color w:val="000000"/>
              </w:rPr>
            </w:pPr>
            <w:r w:rsidRPr="00B1576D">
              <w:rPr>
                <w:color w:val="000000"/>
              </w:rPr>
              <w:t>Střední škola strojní, stavební a dopravní, Liberec II, Truhlářská 360/3</w:t>
            </w:r>
          </w:p>
        </w:tc>
        <w:tc>
          <w:tcPr>
            <w:tcW w:w="2706" w:type="dxa"/>
            <w:tcBorders>
              <w:top w:val="nil"/>
              <w:left w:val="nil"/>
              <w:bottom w:val="single" w:sz="4" w:space="0" w:color="auto"/>
              <w:right w:val="single" w:sz="4" w:space="0" w:color="auto"/>
            </w:tcBorders>
            <w:noWrap/>
            <w:vAlign w:val="center"/>
            <w:hideMark/>
          </w:tcPr>
          <w:p w:rsidR="00D345B5" w:rsidRPr="00B1576D" w:rsidRDefault="00D345B5" w:rsidP="006B2C88">
            <w:pPr>
              <w:jc w:val="right"/>
              <w:rPr>
                <w:color w:val="000000"/>
              </w:rPr>
            </w:pPr>
            <w:r>
              <w:rPr>
                <w:color w:val="000000"/>
              </w:rPr>
              <w:t>16</w:t>
            </w:r>
          </w:p>
        </w:tc>
      </w:tr>
      <w:tr w:rsidR="00D345B5" w:rsidRPr="00B1576D" w:rsidTr="008F182B">
        <w:trPr>
          <w:trHeight w:val="277"/>
        </w:trPr>
        <w:tc>
          <w:tcPr>
            <w:tcW w:w="6394" w:type="dxa"/>
            <w:tcBorders>
              <w:top w:val="nil"/>
              <w:left w:val="single" w:sz="4" w:space="0" w:color="auto"/>
              <w:bottom w:val="single" w:sz="4" w:space="0" w:color="auto"/>
              <w:right w:val="single" w:sz="4" w:space="0" w:color="auto"/>
            </w:tcBorders>
            <w:vAlign w:val="center"/>
            <w:hideMark/>
          </w:tcPr>
          <w:p w:rsidR="00D345B5" w:rsidRPr="00B1576D" w:rsidRDefault="00D345B5" w:rsidP="006B2C88">
            <w:pPr>
              <w:rPr>
                <w:color w:val="000000"/>
              </w:rPr>
            </w:pPr>
            <w:r w:rsidRPr="00B1576D">
              <w:rPr>
                <w:color w:val="000000"/>
              </w:rPr>
              <w:t>Střední škola, Lomnice nad Popelkou, Antala Staška 213</w:t>
            </w:r>
          </w:p>
        </w:tc>
        <w:tc>
          <w:tcPr>
            <w:tcW w:w="2706" w:type="dxa"/>
            <w:tcBorders>
              <w:top w:val="nil"/>
              <w:left w:val="nil"/>
              <w:bottom w:val="single" w:sz="4" w:space="0" w:color="auto"/>
              <w:right w:val="single" w:sz="4" w:space="0" w:color="auto"/>
            </w:tcBorders>
            <w:noWrap/>
            <w:vAlign w:val="center"/>
            <w:hideMark/>
          </w:tcPr>
          <w:p w:rsidR="00D345B5" w:rsidRPr="00B1576D" w:rsidRDefault="00D345B5" w:rsidP="006B2C88">
            <w:pPr>
              <w:jc w:val="right"/>
              <w:rPr>
                <w:color w:val="000000"/>
              </w:rPr>
            </w:pPr>
            <w:r w:rsidRPr="00B1576D">
              <w:rPr>
                <w:color w:val="000000"/>
              </w:rPr>
              <w:t>15</w:t>
            </w:r>
          </w:p>
        </w:tc>
      </w:tr>
      <w:tr w:rsidR="00D345B5" w:rsidRPr="00B1576D" w:rsidTr="008F182B">
        <w:trPr>
          <w:trHeight w:val="517"/>
        </w:trPr>
        <w:tc>
          <w:tcPr>
            <w:tcW w:w="6394" w:type="dxa"/>
            <w:tcBorders>
              <w:top w:val="nil"/>
              <w:left w:val="single" w:sz="4" w:space="0" w:color="auto"/>
              <w:bottom w:val="single" w:sz="4" w:space="0" w:color="auto"/>
              <w:right w:val="single" w:sz="4" w:space="0" w:color="auto"/>
            </w:tcBorders>
            <w:vAlign w:val="center"/>
            <w:hideMark/>
          </w:tcPr>
          <w:p w:rsidR="00D345B5" w:rsidRPr="00B1576D" w:rsidRDefault="00D345B5" w:rsidP="006B2C88">
            <w:pPr>
              <w:rPr>
                <w:color w:val="000000"/>
              </w:rPr>
            </w:pPr>
            <w:r w:rsidRPr="00B1576D">
              <w:rPr>
                <w:color w:val="000000"/>
              </w:rPr>
              <w:t>Vyšší odborná škola sklářská a Střední škola, Nový Bor, Wolkerova 316</w:t>
            </w:r>
          </w:p>
        </w:tc>
        <w:tc>
          <w:tcPr>
            <w:tcW w:w="2706" w:type="dxa"/>
            <w:tcBorders>
              <w:top w:val="nil"/>
              <w:left w:val="nil"/>
              <w:bottom w:val="single" w:sz="4" w:space="0" w:color="auto"/>
              <w:right w:val="single" w:sz="4" w:space="0" w:color="auto"/>
            </w:tcBorders>
            <w:noWrap/>
            <w:vAlign w:val="center"/>
            <w:hideMark/>
          </w:tcPr>
          <w:p w:rsidR="00D345B5" w:rsidRPr="00B1576D" w:rsidRDefault="00D345B5" w:rsidP="006B2C88">
            <w:pPr>
              <w:jc w:val="right"/>
              <w:rPr>
                <w:color w:val="000000"/>
              </w:rPr>
            </w:pPr>
            <w:r w:rsidRPr="00B1576D">
              <w:rPr>
                <w:color w:val="000000"/>
              </w:rPr>
              <w:t>3</w:t>
            </w:r>
          </w:p>
        </w:tc>
      </w:tr>
      <w:tr w:rsidR="00D345B5" w:rsidRPr="00B1576D" w:rsidTr="008F182B">
        <w:trPr>
          <w:trHeight w:val="317"/>
        </w:trPr>
        <w:tc>
          <w:tcPr>
            <w:tcW w:w="6394" w:type="dxa"/>
            <w:tcBorders>
              <w:top w:val="nil"/>
              <w:left w:val="single" w:sz="4" w:space="0" w:color="auto"/>
              <w:bottom w:val="single" w:sz="4" w:space="0" w:color="auto"/>
              <w:right w:val="single" w:sz="4" w:space="0" w:color="auto"/>
            </w:tcBorders>
            <w:vAlign w:val="center"/>
          </w:tcPr>
          <w:p w:rsidR="00D345B5" w:rsidRPr="00B1576D" w:rsidRDefault="00D345B5" w:rsidP="006B2C88">
            <w:pPr>
              <w:rPr>
                <w:color w:val="000000"/>
              </w:rPr>
            </w:pPr>
            <w:r w:rsidRPr="00B1576D">
              <w:rPr>
                <w:color w:val="000000"/>
              </w:rPr>
              <w:t>Střední průmyslová škola, Česká Lípa, Havlíčkova 426</w:t>
            </w:r>
          </w:p>
        </w:tc>
        <w:tc>
          <w:tcPr>
            <w:tcW w:w="2706" w:type="dxa"/>
            <w:tcBorders>
              <w:top w:val="nil"/>
              <w:left w:val="nil"/>
              <w:bottom w:val="single" w:sz="4" w:space="0" w:color="auto"/>
              <w:right w:val="single" w:sz="4" w:space="0" w:color="auto"/>
            </w:tcBorders>
            <w:noWrap/>
            <w:vAlign w:val="center"/>
          </w:tcPr>
          <w:p w:rsidR="00D345B5" w:rsidRPr="00B1576D" w:rsidRDefault="00D345B5" w:rsidP="006B2C88">
            <w:pPr>
              <w:jc w:val="right"/>
              <w:rPr>
                <w:color w:val="000000"/>
              </w:rPr>
            </w:pPr>
            <w:r w:rsidRPr="00B1576D">
              <w:rPr>
                <w:color w:val="000000"/>
              </w:rPr>
              <w:t>1</w:t>
            </w:r>
          </w:p>
        </w:tc>
      </w:tr>
      <w:tr w:rsidR="00D345B5" w:rsidRPr="00B1576D" w:rsidTr="008F182B">
        <w:trPr>
          <w:trHeight w:val="407"/>
        </w:trPr>
        <w:tc>
          <w:tcPr>
            <w:tcW w:w="6394" w:type="dxa"/>
            <w:tcBorders>
              <w:top w:val="nil"/>
              <w:left w:val="single" w:sz="4" w:space="0" w:color="auto"/>
              <w:bottom w:val="single" w:sz="4" w:space="0" w:color="auto"/>
              <w:right w:val="single" w:sz="4" w:space="0" w:color="auto"/>
            </w:tcBorders>
            <w:vAlign w:val="center"/>
          </w:tcPr>
          <w:p w:rsidR="00D345B5" w:rsidRPr="00B1576D" w:rsidRDefault="00D345B5" w:rsidP="006B2C88">
            <w:r w:rsidRPr="00B1576D">
              <w:t>Střední škola hospodářská a lesnická, Frýdlant, Bělíkova 1387</w:t>
            </w:r>
          </w:p>
        </w:tc>
        <w:tc>
          <w:tcPr>
            <w:tcW w:w="2706" w:type="dxa"/>
            <w:tcBorders>
              <w:top w:val="nil"/>
              <w:left w:val="nil"/>
              <w:bottom w:val="single" w:sz="4" w:space="0" w:color="auto"/>
              <w:right w:val="single" w:sz="4" w:space="0" w:color="auto"/>
            </w:tcBorders>
            <w:noWrap/>
            <w:vAlign w:val="center"/>
          </w:tcPr>
          <w:p w:rsidR="00D345B5" w:rsidRPr="00B1576D" w:rsidRDefault="00D345B5" w:rsidP="006B2C88">
            <w:pPr>
              <w:jc w:val="right"/>
              <w:rPr>
                <w:color w:val="000000"/>
              </w:rPr>
            </w:pPr>
            <w:r w:rsidRPr="00B1576D">
              <w:rPr>
                <w:color w:val="000000"/>
              </w:rPr>
              <w:t>29</w:t>
            </w:r>
          </w:p>
        </w:tc>
      </w:tr>
      <w:tr w:rsidR="00D345B5" w:rsidRPr="003D733A" w:rsidTr="008F182B">
        <w:trPr>
          <w:trHeight w:val="365"/>
        </w:trPr>
        <w:tc>
          <w:tcPr>
            <w:tcW w:w="6394" w:type="dxa"/>
            <w:tcBorders>
              <w:top w:val="nil"/>
              <w:left w:val="single" w:sz="4" w:space="0" w:color="auto"/>
              <w:bottom w:val="single" w:sz="4" w:space="0" w:color="auto"/>
              <w:right w:val="single" w:sz="4" w:space="0" w:color="auto"/>
            </w:tcBorders>
            <w:noWrap/>
            <w:vAlign w:val="center"/>
            <w:hideMark/>
          </w:tcPr>
          <w:p w:rsidR="00D345B5" w:rsidRPr="003D733A" w:rsidRDefault="00D345B5" w:rsidP="006B2C88">
            <w:pPr>
              <w:rPr>
                <w:b/>
                <w:bCs/>
                <w:color w:val="000000"/>
              </w:rPr>
            </w:pPr>
            <w:r w:rsidRPr="003D733A">
              <w:rPr>
                <w:b/>
                <w:bCs/>
                <w:color w:val="000000"/>
              </w:rPr>
              <w:t>celkem</w:t>
            </w:r>
          </w:p>
        </w:tc>
        <w:tc>
          <w:tcPr>
            <w:tcW w:w="2706" w:type="dxa"/>
            <w:tcBorders>
              <w:top w:val="nil"/>
              <w:left w:val="nil"/>
              <w:bottom w:val="single" w:sz="4" w:space="0" w:color="auto"/>
              <w:right w:val="single" w:sz="4" w:space="0" w:color="auto"/>
            </w:tcBorders>
            <w:noWrap/>
            <w:vAlign w:val="bottom"/>
            <w:hideMark/>
          </w:tcPr>
          <w:p w:rsidR="00D345B5" w:rsidRPr="003D733A" w:rsidRDefault="00D345B5" w:rsidP="006B2C88">
            <w:pPr>
              <w:jc w:val="right"/>
              <w:rPr>
                <w:b/>
                <w:bCs/>
                <w:color w:val="000000"/>
              </w:rPr>
            </w:pPr>
            <w:r w:rsidRPr="003D733A">
              <w:rPr>
                <w:b/>
                <w:bCs/>
                <w:color w:val="000000"/>
              </w:rPr>
              <w:t>102</w:t>
            </w:r>
          </w:p>
        </w:tc>
      </w:tr>
    </w:tbl>
    <w:p w:rsidR="00D345B5" w:rsidRPr="00246D9C" w:rsidRDefault="00D345B5" w:rsidP="00D345B5">
      <w:pPr>
        <w:pStyle w:val="Zdroj"/>
        <w:rPr>
          <w:sz w:val="24"/>
          <w:szCs w:val="24"/>
        </w:rPr>
      </w:pPr>
      <w:r w:rsidRPr="00246D9C">
        <w:rPr>
          <w:sz w:val="24"/>
          <w:szCs w:val="24"/>
        </w:rPr>
        <w:t>Zdroj: Výroční zprávy o činnosti škol a školských zařízení zřizovaných Libereckým krajem</w:t>
      </w:r>
    </w:p>
    <w:p w:rsidR="00D21B4E" w:rsidRDefault="00D21B4E" w:rsidP="00D345B5">
      <w:pPr>
        <w:jc w:val="both"/>
      </w:pPr>
    </w:p>
    <w:p w:rsidR="00D345B5" w:rsidRDefault="00D345B5" w:rsidP="00D345B5">
      <w:pPr>
        <w:jc w:val="both"/>
      </w:pPr>
      <w:r>
        <w:t>O</w:t>
      </w:r>
      <w:r w:rsidRPr="00AC5EA1">
        <w:t>d 1. 7. 2017</w:t>
      </w:r>
      <w:r>
        <w:t xml:space="preserve"> je Centrum vzdělanosti Libereckého kraje, organizace zabývající se oblastí dalšího vzdělávání pedagogických pracovníků, organizací kurzů celoživotního vzdělávání či realizací projektů, </w:t>
      </w:r>
      <w:r w:rsidRPr="00AC5EA1">
        <w:t>sloučen</w:t>
      </w:r>
      <w:r>
        <w:t>a</w:t>
      </w:r>
      <w:r w:rsidRPr="00AC5EA1">
        <w:t xml:space="preserve"> se Střední školou a mateřskou školou Na Bojišti 15, Liberec, příspěvkovou organizací</w:t>
      </w:r>
      <w:r>
        <w:t>, pod jejíž hlavičkou dále vykonává činnosti související s dalším vzděláváním.</w:t>
      </w:r>
    </w:p>
    <w:p w:rsidR="006749E0" w:rsidRDefault="006749E0" w:rsidP="006749E0"/>
    <w:p w:rsidR="00D21B4E" w:rsidRDefault="00D21B4E" w:rsidP="006749E0"/>
    <w:p w:rsidR="00C75EFF" w:rsidRDefault="00C75EFF" w:rsidP="00C75EFF">
      <w:pPr>
        <w:jc w:val="both"/>
        <w:rPr>
          <w:b/>
        </w:rPr>
      </w:pPr>
      <w:r>
        <w:rPr>
          <w:b/>
        </w:rPr>
        <w:t>Z</w:t>
      </w:r>
      <w:r w:rsidRPr="00670DB6">
        <w:rPr>
          <w:b/>
        </w:rPr>
        <w:t>ávěr</w:t>
      </w:r>
    </w:p>
    <w:p w:rsidR="00E238B1" w:rsidRPr="00670DB6" w:rsidRDefault="00E238B1" w:rsidP="00C75EFF">
      <w:pPr>
        <w:jc w:val="both"/>
        <w:rPr>
          <w:b/>
        </w:rPr>
      </w:pPr>
    </w:p>
    <w:p w:rsidR="00C75EFF" w:rsidRDefault="00C75EFF" w:rsidP="00C75EFF">
      <w:pPr>
        <w:jc w:val="both"/>
      </w:pPr>
      <w:r w:rsidRPr="00670DB6">
        <w:t xml:space="preserve">Výroční zprávy o činnosti škol a školských zařízení zřizovaných Libereckým krajem jsou v listinné podobě k dispozici na </w:t>
      </w:r>
      <w:r>
        <w:t>Krajském</w:t>
      </w:r>
      <w:r w:rsidRPr="00670DB6">
        <w:t xml:space="preserve"> úřadu Libereckého kraje</w:t>
      </w:r>
      <w:r>
        <w:t xml:space="preserve">, </w:t>
      </w:r>
      <w:r w:rsidRPr="00670DB6">
        <w:t>odboru školství, mládeže</w:t>
      </w:r>
      <w:r w:rsidR="00E238B1">
        <w:t xml:space="preserve">, tělovýchovy a sportu. </w:t>
      </w:r>
    </w:p>
    <w:p w:rsidR="00F261B4" w:rsidRPr="00670DB6" w:rsidRDefault="00F261B4" w:rsidP="00C75EFF">
      <w:pPr>
        <w:jc w:val="both"/>
      </w:pPr>
    </w:p>
    <w:p w:rsidR="00C75EFF" w:rsidRPr="00670DB6" w:rsidRDefault="00C75EFF" w:rsidP="00C75EFF">
      <w:pPr>
        <w:jc w:val="both"/>
      </w:pPr>
      <w:r>
        <w:t xml:space="preserve">Výroční zprávy </w:t>
      </w:r>
      <w:r w:rsidR="00F261B4" w:rsidRPr="00670DB6">
        <w:t xml:space="preserve">o činnosti škol a školských zařízení zřizovaných Libereckým krajem </w:t>
      </w:r>
      <w:r>
        <w:t>poskytují ucelený obraz o</w:t>
      </w:r>
      <w:r w:rsidRPr="00670DB6">
        <w:t xml:space="preserve"> činnost</w:t>
      </w:r>
      <w:r>
        <w:t>i</w:t>
      </w:r>
      <w:r w:rsidRPr="00670DB6">
        <w:t xml:space="preserve"> organizace, a to nejen s ohledem na potřeby veřejné správy a zřizovatele, ale i např. uchazečů o vzdělávání, jejich rodičů či odborné veřejnosti. </w:t>
      </w:r>
    </w:p>
    <w:p w:rsidR="00C75EFF" w:rsidRDefault="00C75EFF" w:rsidP="00C75EFF"/>
    <w:p w:rsidR="00CE0392" w:rsidRDefault="00F261B4" w:rsidP="00F261B4">
      <w:pPr>
        <w:jc w:val="both"/>
      </w:pPr>
      <w:r>
        <w:t>Výroční zpráva o</w:t>
      </w:r>
      <w:r w:rsidRPr="00670DB6">
        <w:t xml:space="preserve"> činnosti škol a školských zařízení zřizovaných Libereckým krajem </w:t>
      </w:r>
      <w:r>
        <w:br/>
      </w:r>
      <w:r w:rsidRPr="00F261B4">
        <w:t>se zpracovává za období předch</w:t>
      </w:r>
      <w:r w:rsidR="007136CF">
        <w:t>ozího</w:t>
      </w:r>
      <w:r w:rsidRPr="00F261B4">
        <w:t xml:space="preserve"> školního roku, s výjimkou základních údajů </w:t>
      </w:r>
      <w:r>
        <w:br/>
      </w:r>
      <w:r w:rsidR="008F771A">
        <w:t>o hospodaření školy, a</w:t>
      </w:r>
      <w:r w:rsidRPr="00F261B4">
        <w:t xml:space="preserve"> předkládá </w:t>
      </w:r>
      <w:r w:rsidR="008F771A">
        <w:t xml:space="preserve">se </w:t>
      </w:r>
      <w:r w:rsidRPr="00F261B4">
        <w:t>školské radě ke schválení. Po schválení školskou radou zasílá ředitel školy výroční zprávu zřizovateli a zveřejní ji na přístupném místě ve škole.</w:t>
      </w:r>
    </w:p>
    <w:sectPr w:rsidR="00CE0392" w:rsidSect="006B6089">
      <w:headerReference w:type="even" r:id="rId27"/>
      <w:headerReference w:type="default" r:id="rId28"/>
      <w:footerReference w:type="even" r:id="rId29"/>
      <w:footerReference w:type="default" r:id="rId30"/>
      <w:headerReference w:type="first" r:id="rId31"/>
      <w:footerReference w:type="first" r:id="rId32"/>
      <w:pgSz w:w="11906" w:h="16838"/>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B00" w:rsidRDefault="00377B00">
      <w:r>
        <w:separator/>
      </w:r>
    </w:p>
  </w:endnote>
  <w:endnote w:type="continuationSeparator" w:id="0">
    <w:p w:rsidR="00377B00" w:rsidRDefault="0037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F6" w:rsidRDefault="00E76EF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76EF6" w:rsidRDefault="00E76EF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F6" w:rsidRDefault="00E76EF6">
    <w:pPr>
      <w:pStyle w:val="Zpat"/>
      <w:jc w:val="center"/>
    </w:pPr>
    <w:r>
      <w:fldChar w:fldCharType="begin"/>
    </w:r>
    <w:r>
      <w:instrText>PAGE   \* MERGEFORMAT</w:instrText>
    </w:r>
    <w:r>
      <w:fldChar w:fldCharType="separate"/>
    </w:r>
    <w:r w:rsidR="006C20A2">
      <w:rPr>
        <w:noProof/>
      </w:rPr>
      <w:t>1</w:t>
    </w:r>
    <w:r>
      <w:fldChar w:fldCharType="end"/>
    </w:r>
  </w:p>
  <w:p w:rsidR="00E76EF6" w:rsidRDefault="00E76EF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F6" w:rsidRDefault="00E76EF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B00" w:rsidRDefault="00377B00">
      <w:r>
        <w:separator/>
      </w:r>
    </w:p>
  </w:footnote>
  <w:footnote w:type="continuationSeparator" w:id="0">
    <w:p w:rsidR="00377B00" w:rsidRDefault="00377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F6" w:rsidRDefault="00E76EF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F6" w:rsidRDefault="00E76EF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F6" w:rsidRDefault="00E76EF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EE4"/>
    <w:multiLevelType w:val="hybridMultilevel"/>
    <w:tmpl w:val="557032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FE86DE8"/>
    <w:multiLevelType w:val="hybridMultilevel"/>
    <w:tmpl w:val="F86008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430B33BA"/>
    <w:multiLevelType w:val="hybridMultilevel"/>
    <w:tmpl w:val="5A34EC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66337A12"/>
    <w:multiLevelType w:val="hybridMultilevel"/>
    <w:tmpl w:val="CE041AD0"/>
    <w:lvl w:ilvl="0" w:tplc="60609A58">
      <w:start w:val="1"/>
      <w:numFmt w:val="bullet"/>
      <w:lvlText w:val="-"/>
      <w:lvlJc w:val="left"/>
      <w:pPr>
        <w:tabs>
          <w:tab w:val="num" w:pos="720"/>
        </w:tabs>
        <w:ind w:left="720" w:hanging="360"/>
      </w:pPr>
      <w:rPr>
        <w:rFonts w:ascii="Garamond" w:eastAsia="Times New Roman" w:hAnsi="Garamond"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EFF"/>
    <w:rsid w:val="00007D31"/>
    <w:rsid w:val="00013E9D"/>
    <w:rsid w:val="00014A68"/>
    <w:rsid w:val="00015800"/>
    <w:rsid w:val="00017934"/>
    <w:rsid w:val="00023701"/>
    <w:rsid w:val="000354DD"/>
    <w:rsid w:val="00035590"/>
    <w:rsid w:val="000444FE"/>
    <w:rsid w:val="00046FDF"/>
    <w:rsid w:val="00062160"/>
    <w:rsid w:val="00074346"/>
    <w:rsid w:val="000760BF"/>
    <w:rsid w:val="00077470"/>
    <w:rsid w:val="000815B6"/>
    <w:rsid w:val="000954C9"/>
    <w:rsid w:val="00097479"/>
    <w:rsid w:val="000A3ED1"/>
    <w:rsid w:val="000D26CB"/>
    <w:rsid w:val="000D3A5A"/>
    <w:rsid w:val="000D44CD"/>
    <w:rsid w:val="000F61D9"/>
    <w:rsid w:val="000F6C0E"/>
    <w:rsid w:val="000F7EC4"/>
    <w:rsid w:val="00104513"/>
    <w:rsid w:val="00124060"/>
    <w:rsid w:val="00133EE4"/>
    <w:rsid w:val="00135FBC"/>
    <w:rsid w:val="001503AB"/>
    <w:rsid w:val="001511DF"/>
    <w:rsid w:val="00164C4E"/>
    <w:rsid w:val="00181F30"/>
    <w:rsid w:val="00187CF5"/>
    <w:rsid w:val="001A23C7"/>
    <w:rsid w:val="001A541A"/>
    <w:rsid w:val="001B30B4"/>
    <w:rsid w:val="001B4A49"/>
    <w:rsid w:val="001C7E48"/>
    <w:rsid w:val="001D7B44"/>
    <w:rsid w:val="001F1341"/>
    <w:rsid w:val="001F217A"/>
    <w:rsid w:val="001F4270"/>
    <w:rsid w:val="00233ADA"/>
    <w:rsid w:val="0024181D"/>
    <w:rsid w:val="00246D9C"/>
    <w:rsid w:val="002513F1"/>
    <w:rsid w:val="00266C83"/>
    <w:rsid w:val="00274FD0"/>
    <w:rsid w:val="00275856"/>
    <w:rsid w:val="002822D8"/>
    <w:rsid w:val="00285F0E"/>
    <w:rsid w:val="00285FFD"/>
    <w:rsid w:val="00293F39"/>
    <w:rsid w:val="00297593"/>
    <w:rsid w:val="002A10F5"/>
    <w:rsid w:val="002A2257"/>
    <w:rsid w:val="002A3030"/>
    <w:rsid w:val="002B1AAD"/>
    <w:rsid w:val="002C57A2"/>
    <w:rsid w:val="002D17C2"/>
    <w:rsid w:val="002D6063"/>
    <w:rsid w:val="002D6758"/>
    <w:rsid w:val="002E5DCC"/>
    <w:rsid w:val="002F415B"/>
    <w:rsid w:val="00330C6A"/>
    <w:rsid w:val="00331F6F"/>
    <w:rsid w:val="0033516C"/>
    <w:rsid w:val="00340F6B"/>
    <w:rsid w:val="00357705"/>
    <w:rsid w:val="00360524"/>
    <w:rsid w:val="003637CB"/>
    <w:rsid w:val="00367055"/>
    <w:rsid w:val="00377B00"/>
    <w:rsid w:val="003827A0"/>
    <w:rsid w:val="0038711A"/>
    <w:rsid w:val="003B30FF"/>
    <w:rsid w:val="003C27D5"/>
    <w:rsid w:val="003C6430"/>
    <w:rsid w:val="003D5DEC"/>
    <w:rsid w:val="003E2F85"/>
    <w:rsid w:val="003F1EA7"/>
    <w:rsid w:val="003F4B62"/>
    <w:rsid w:val="003F4D97"/>
    <w:rsid w:val="004018AE"/>
    <w:rsid w:val="0040431E"/>
    <w:rsid w:val="004175E3"/>
    <w:rsid w:val="0043388C"/>
    <w:rsid w:val="00434B5A"/>
    <w:rsid w:val="00435CDF"/>
    <w:rsid w:val="00437032"/>
    <w:rsid w:val="004501CD"/>
    <w:rsid w:val="00454ACF"/>
    <w:rsid w:val="00464158"/>
    <w:rsid w:val="004717F3"/>
    <w:rsid w:val="004733FA"/>
    <w:rsid w:val="00484AB6"/>
    <w:rsid w:val="00497BFC"/>
    <w:rsid w:val="004A3999"/>
    <w:rsid w:val="004B32FC"/>
    <w:rsid w:val="004B3FA6"/>
    <w:rsid w:val="004C0CDB"/>
    <w:rsid w:val="004D02EF"/>
    <w:rsid w:val="004D3B3E"/>
    <w:rsid w:val="004F4F2E"/>
    <w:rsid w:val="00505395"/>
    <w:rsid w:val="0052547F"/>
    <w:rsid w:val="005275F2"/>
    <w:rsid w:val="0053263A"/>
    <w:rsid w:val="00532CCA"/>
    <w:rsid w:val="005363C7"/>
    <w:rsid w:val="0054772A"/>
    <w:rsid w:val="00552D6E"/>
    <w:rsid w:val="00564855"/>
    <w:rsid w:val="0058639F"/>
    <w:rsid w:val="00592377"/>
    <w:rsid w:val="00594509"/>
    <w:rsid w:val="00596C17"/>
    <w:rsid w:val="005A1C15"/>
    <w:rsid w:val="005A5FA0"/>
    <w:rsid w:val="005B35AB"/>
    <w:rsid w:val="005C1E9B"/>
    <w:rsid w:val="005D0039"/>
    <w:rsid w:val="005D26CE"/>
    <w:rsid w:val="005F5E85"/>
    <w:rsid w:val="005F6C66"/>
    <w:rsid w:val="005F7A1B"/>
    <w:rsid w:val="00600973"/>
    <w:rsid w:val="00620F15"/>
    <w:rsid w:val="00622940"/>
    <w:rsid w:val="006251C5"/>
    <w:rsid w:val="00627EDD"/>
    <w:rsid w:val="006448CA"/>
    <w:rsid w:val="00660DBC"/>
    <w:rsid w:val="00665CF3"/>
    <w:rsid w:val="00670931"/>
    <w:rsid w:val="006749E0"/>
    <w:rsid w:val="00683539"/>
    <w:rsid w:val="006A071B"/>
    <w:rsid w:val="006A2CA0"/>
    <w:rsid w:val="006A3D99"/>
    <w:rsid w:val="006A5455"/>
    <w:rsid w:val="006A7CC2"/>
    <w:rsid w:val="006B1A60"/>
    <w:rsid w:val="006B35E7"/>
    <w:rsid w:val="006B6089"/>
    <w:rsid w:val="006C000A"/>
    <w:rsid w:val="006C20A2"/>
    <w:rsid w:val="006F436E"/>
    <w:rsid w:val="00700FD3"/>
    <w:rsid w:val="00702649"/>
    <w:rsid w:val="0070286F"/>
    <w:rsid w:val="0070506D"/>
    <w:rsid w:val="007136CF"/>
    <w:rsid w:val="00716F58"/>
    <w:rsid w:val="00720900"/>
    <w:rsid w:val="00723A44"/>
    <w:rsid w:val="00726AA8"/>
    <w:rsid w:val="00726FA2"/>
    <w:rsid w:val="00731F2C"/>
    <w:rsid w:val="00732883"/>
    <w:rsid w:val="00732F62"/>
    <w:rsid w:val="00756135"/>
    <w:rsid w:val="00762589"/>
    <w:rsid w:val="0076417F"/>
    <w:rsid w:val="0077597A"/>
    <w:rsid w:val="00786695"/>
    <w:rsid w:val="0079779D"/>
    <w:rsid w:val="007A36C3"/>
    <w:rsid w:val="007A3DC9"/>
    <w:rsid w:val="007B1B5A"/>
    <w:rsid w:val="007E5894"/>
    <w:rsid w:val="007F0810"/>
    <w:rsid w:val="007F0B0D"/>
    <w:rsid w:val="007F3FFD"/>
    <w:rsid w:val="0080195F"/>
    <w:rsid w:val="008041A8"/>
    <w:rsid w:val="00804AB7"/>
    <w:rsid w:val="00805110"/>
    <w:rsid w:val="0081206A"/>
    <w:rsid w:val="00814599"/>
    <w:rsid w:val="00815464"/>
    <w:rsid w:val="00820CB4"/>
    <w:rsid w:val="008221F7"/>
    <w:rsid w:val="00831A04"/>
    <w:rsid w:val="0083599A"/>
    <w:rsid w:val="00841E6D"/>
    <w:rsid w:val="00883806"/>
    <w:rsid w:val="008A3692"/>
    <w:rsid w:val="008A6B71"/>
    <w:rsid w:val="008B0A5B"/>
    <w:rsid w:val="008D4E4D"/>
    <w:rsid w:val="008E3A8C"/>
    <w:rsid w:val="008F182B"/>
    <w:rsid w:val="008F450B"/>
    <w:rsid w:val="008F771A"/>
    <w:rsid w:val="008F7C17"/>
    <w:rsid w:val="009105E0"/>
    <w:rsid w:val="00920A97"/>
    <w:rsid w:val="00923DE0"/>
    <w:rsid w:val="0092537E"/>
    <w:rsid w:val="00927386"/>
    <w:rsid w:val="00940E14"/>
    <w:rsid w:val="00957B90"/>
    <w:rsid w:val="0096699F"/>
    <w:rsid w:val="009952D9"/>
    <w:rsid w:val="009A32E9"/>
    <w:rsid w:val="009B3AA9"/>
    <w:rsid w:val="009B7B05"/>
    <w:rsid w:val="009D0744"/>
    <w:rsid w:val="009D1C65"/>
    <w:rsid w:val="009D69BC"/>
    <w:rsid w:val="009D7274"/>
    <w:rsid w:val="009E3A80"/>
    <w:rsid w:val="009F3A0B"/>
    <w:rsid w:val="009F7112"/>
    <w:rsid w:val="00A04F55"/>
    <w:rsid w:val="00A06FDB"/>
    <w:rsid w:val="00A07AF3"/>
    <w:rsid w:val="00A3303C"/>
    <w:rsid w:val="00A45135"/>
    <w:rsid w:val="00A61C2D"/>
    <w:rsid w:val="00A61CB5"/>
    <w:rsid w:val="00A705FC"/>
    <w:rsid w:val="00A76271"/>
    <w:rsid w:val="00A86B44"/>
    <w:rsid w:val="00AA3094"/>
    <w:rsid w:val="00AB2FB0"/>
    <w:rsid w:val="00AB762E"/>
    <w:rsid w:val="00AD173F"/>
    <w:rsid w:val="00AD42F4"/>
    <w:rsid w:val="00AE1A5F"/>
    <w:rsid w:val="00AE2B7B"/>
    <w:rsid w:val="00AE407A"/>
    <w:rsid w:val="00AF5A8F"/>
    <w:rsid w:val="00B02981"/>
    <w:rsid w:val="00B0621F"/>
    <w:rsid w:val="00B110A5"/>
    <w:rsid w:val="00B24F14"/>
    <w:rsid w:val="00B254D8"/>
    <w:rsid w:val="00B51619"/>
    <w:rsid w:val="00B60823"/>
    <w:rsid w:val="00B76DA8"/>
    <w:rsid w:val="00B80236"/>
    <w:rsid w:val="00B81294"/>
    <w:rsid w:val="00B82F99"/>
    <w:rsid w:val="00B849A1"/>
    <w:rsid w:val="00B85BA0"/>
    <w:rsid w:val="00B91980"/>
    <w:rsid w:val="00B92E4C"/>
    <w:rsid w:val="00B951AF"/>
    <w:rsid w:val="00B95BDD"/>
    <w:rsid w:val="00BA3A5C"/>
    <w:rsid w:val="00BB4AFF"/>
    <w:rsid w:val="00BB66E8"/>
    <w:rsid w:val="00BC4F0D"/>
    <w:rsid w:val="00BC74D9"/>
    <w:rsid w:val="00BE00D6"/>
    <w:rsid w:val="00BE41DC"/>
    <w:rsid w:val="00BF4563"/>
    <w:rsid w:val="00BF5ABF"/>
    <w:rsid w:val="00BF70AB"/>
    <w:rsid w:val="00BF7AF0"/>
    <w:rsid w:val="00C133F9"/>
    <w:rsid w:val="00C34A2E"/>
    <w:rsid w:val="00C42017"/>
    <w:rsid w:val="00C45F05"/>
    <w:rsid w:val="00C63A59"/>
    <w:rsid w:val="00C700EE"/>
    <w:rsid w:val="00C75EFF"/>
    <w:rsid w:val="00C91A2B"/>
    <w:rsid w:val="00C94E83"/>
    <w:rsid w:val="00CA0ABE"/>
    <w:rsid w:val="00CD0284"/>
    <w:rsid w:val="00CE0392"/>
    <w:rsid w:val="00CE15F0"/>
    <w:rsid w:val="00CF00C9"/>
    <w:rsid w:val="00D03CFE"/>
    <w:rsid w:val="00D03FBC"/>
    <w:rsid w:val="00D112EE"/>
    <w:rsid w:val="00D1410D"/>
    <w:rsid w:val="00D21B4E"/>
    <w:rsid w:val="00D321AA"/>
    <w:rsid w:val="00D345B5"/>
    <w:rsid w:val="00D411BC"/>
    <w:rsid w:val="00D42C4E"/>
    <w:rsid w:val="00D51CBE"/>
    <w:rsid w:val="00D55B03"/>
    <w:rsid w:val="00D732F7"/>
    <w:rsid w:val="00D818E1"/>
    <w:rsid w:val="00D81D81"/>
    <w:rsid w:val="00D834E1"/>
    <w:rsid w:val="00D8501A"/>
    <w:rsid w:val="00D96431"/>
    <w:rsid w:val="00DD10A3"/>
    <w:rsid w:val="00E02699"/>
    <w:rsid w:val="00E06CC7"/>
    <w:rsid w:val="00E1193E"/>
    <w:rsid w:val="00E14F0E"/>
    <w:rsid w:val="00E2145E"/>
    <w:rsid w:val="00E238B1"/>
    <w:rsid w:val="00E25B82"/>
    <w:rsid w:val="00E31DCF"/>
    <w:rsid w:val="00E33819"/>
    <w:rsid w:val="00E33BA9"/>
    <w:rsid w:val="00E34A57"/>
    <w:rsid w:val="00E40F76"/>
    <w:rsid w:val="00E473BA"/>
    <w:rsid w:val="00E5614D"/>
    <w:rsid w:val="00E63228"/>
    <w:rsid w:val="00E70F19"/>
    <w:rsid w:val="00E76EF6"/>
    <w:rsid w:val="00E87FB7"/>
    <w:rsid w:val="00E91AF9"/>
    <w:rsid w:val="00E91FE5"/>
    <w:rsid w:val="00E95113"/>
    <w:rsid w:val="00EA4697"/>
    <w:rsid w:val="00EA63C5"/>
    <w:rsid w:val="00ED5E88"/>
    <w:rsid w:val="00ED5FAF"/>
    <w:rsid w:val="00EE564D"/>
    <w:rsid w:val="00EF1303"/>
    <w:rsid w:val="00EF6577"/>
    <w:rsid w:val="00EF75B8"/>
    <w:rsid w:val="00F01028"/>
    <w:rsid w:val="00F173C9"/>
    <w:rsid w:val="00F261B4"/>
    <w:rsid w:val="00F5658B"/>
    <w:rsid w:val="00F67A28"/>
    <w:rsid w:val="00F95828"/>
    <w:rsid w:val="00F972AA"/>
    <w:rsid w:val="00FA1127"/>
    <w:rsid w:val="00FA126E"/>
    <w:rsid w:val="00FA222E"/>
    <w:rsid w:val="00FC2F2F"/>
    <w:rsid w:val="00FC5AFD"/>
    <w:rsid w:val="00FD65F3"/>
    <w:rsid w:val="00FE50E6"/>
    <w:rsid w:val="00FE59E5"/>
    <w:rsid w:val="00FE7267"/>
    <w:rsid w:val="00FF1503"/>
    <w:rsid w:val="00FF5DBE"/>
    <w:rsid w:val="00FF62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75EF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75EFF"/>
    <w:pPr>
      <w:tabs>
        <w:tab w:val="center" w:pos="4536"/>
        <w:tab w:val="right" w:pos="9072"/>
      </w:tabs>
    </w:pPr>
  </w:style>
  <w:style w:type="character" w:customStyle="1" w:styleId="ZpatChar">
    <w:name w:val="Zápatí Char"/>
    <w:basedOn w:val="Standardnpsmoodstavce"/>
    <w:link w:val="Zpat"/>
    <w:uiPriority w:val="99"/>
    <w:rsid w:val="00C75EFF"/>
    <w:rPr>
      <w:sz w:val="24"/>
      <w:szCs w:val="24"/>
    </w:rPr>
  </w:style>
  <w:style w:type="character" w:styleId="slostrnky">
    <w:name w:val="page number"/>
    <w:basedOn w:val="Standardnpsmoodstavce"/>
    <w:rsid w:val="00C75EFF"/>
  </w:style>
  <w:style w:type="paragraph" w:styleId="Zhlav">
    <w:name w:val="header"/>
    <w:basedOn w:val="Normln"/>
    <w:link w:val="ZhlavChar"/>
    <w:rsid w:val="00C75EFF"/>
    <w:pPr>
      <w:tabs>
        <w:tab w:val="center" w:pos="4536"/>
        <w:tab w:val="right" w:pos="9072"/>
      </w:tabs>
    </w:pPr>
  </w:style>
  <w:style w:type="character" w:customStyle="1" w:styleId="ZhlavChar">
    <w:name w:val="Záhlaví Char"/>
    <w:basedOn w:val="Standardnpsmoodstavce"/>
    <w:link w:val="Zhlav"/>
    <w:rsid w:val="00C75EFF"/>
    <w:rPr>
      <w:sz w:val="24"/>
      <w:szCs w:val="24"/>
    </w:rPr>
  </w:style>
  <w:style w:type="paragraph" w:styleId="Textbubliny">
    <w:name w:val="Balloon Text"/>
    <w:basedOn w:val="Normln"/>
    <w:link w:val="TextbublinyChar"/>
    <w:rsid w:val="00C75EFF"/>
    <w:rPr>
      <w:rFonts w:ascii="Tahoma" w:hAnsi="Tahoma" w:cs="Tahoma"/>
      <w:sz w:val="16"/>
      <w:szCs w:val="16"/>
    </w:rPr>
  </w:style>
  <w:style w:type="character" w:customStyle="1" w:styleId="TextbublinyChar">
    <w:name w:val="Text bubliny Char"/>
    <w:basedOn w:val="Standardnpsmoodstavce"/>
    <w:link w:val="Textbubliny"/>
    <w:rsid w:val="00C75EFF"/>
    <w:rPr>
      <w:rFonts w:ascii="Tahoma" w:hAnsi="Tahoma" w:cs="Tahoma"/>
      <w:sz w:val="16"/>
      <w:szCs w:val="16"/>
    </w:rPr>
  </w:style>
  <w:style w:type="paragraph" w:styleId="Odstavecseseznamem">
    <w:name w:val="List Paragraph"/>
    <w:basedOn w:val="Normln"/>
    <w:uiPriority w:val="34"/>
    <w:qFormat/>
    <w:rsid w:val="008A6B71"/>
    <w:pPr>
      <w:ind w:left="708"/>
    </w:pPr>
  </w:style>
  <w:style w:type="paragraph" w:styleId="Bezmezer">
    <w:name w:val="No Spacing"/>
    <w:uiPriority w:val="1"/>
    <w:qFormat/>
    <w:rsid w:val="00104513"/>
    <w:rPr>
      <w:sz w:val="24"/>
      <w:szCs w:val="24"/>
    </w:rPr>
  </w:style>
  <w:style w:type="table" w:styleId="Mkatabulky">
    <w:name w:val="Table Grid"/>
    <w:basedOn w:val="Normlntabulka"/>
    <w:uiPriority w:val="59"/>
    <w:rsid w:val="006C00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qFormat/>
    <w:rsid w:val="00D345B5"/>
    <w:pPr>
      <w:spacing w:before="240"/>
      <w:jc w:val="both"/>
    </w:pPr>
    <w:rPr>
      <w:rFonts w:eastAsiaTheme="minorHAnsi"/>
      <w:b/>
      <w:szCs w:val="22"/>
      <w:lang w:eastAsia="en-US"/>
    </w:rPr>
  </w:style>
  <w:style w:type="paragraph" w:customStyle="1" w:styleId="Zdroj">
    <w:name w:val="Zdroj"/>
    <w:basedOn w:val="Normln"/>
    <w:qFormat/>
    <w:rsid w:val="00D345B5"/>
    <w:pPr>
      <w:spacing w:after="120"/>
      <w:jc w:val="both"/>
    </w:pPr>
    <w:rPr>
      <w:i/>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75EF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75EFF"/>
    <w:pPr>
      <w:tabs>
        <w:tab w:val="center" w:pos="4536"/>
        <w:tab w:val="right" w:pos="9072"/>
      </w:tabs>
    </w:pPr>
  </w:style>
  <w:style w:type="character" w:customStyle="1" w:styleId="ZpatChar">
    <w:name w:val="Zápatí Char"/>
    <w:basedOn w:val="Standardnpsmoodstavce"/>
    <w:link w:val="Zpat"/>
    <w:uiPriority w:val="99"/>
    <w:rsid w:val="00C75EFF"/>
    <w:rPr>
      <w:sz w:val="24"/>
      <w:szCs w:val="24"/>
    </w:rPr>
  </w:style>
  <w:style w:type="character" w:styleId="slostrnky">
    <w:name w:val="page number"/>
    <w:basedOn w:val="Standardnpsmoodstavce"/>
    <w:rsid w:val="00C75EFF"/>
  </w:style>
  <w:style w:type="paragraph" w:styleId="Zhlav">
    <w:name w:val="header"/>
    <w:basedOn w:val="Normln"/>
    <w:link w:val="ZhlavChar"/>
    <w:rsid w:val="00C75EFF"/>
    <w:pPr>
      <w:tabs>
        <w:tab w:val="center" w:pos="4536"/>
        <w:tab w:val="right" w:pos="9072"/>
      </w:tabs>
    </w:pPr>
  </w:style>
  <w:style w:type="character" w:customStyle="1" w:styleId="ZhlavChar">
    <w:name w:val="Záhlaví Char"/>
    <w:basedOn w:val="Standardnpsmoodstavce"/>
    <w:link w:val="Zhlav"/>
    <w:rsid w:val="00C75EFF"/>
    <w:rPr>
      <w:sz w:val="24"/>
      <w:szCs w:val="24"/>
    </w:rPr>
  </w:style>
  <w:style w:type="paragraph" w:styleId="Textbubliny">
    <w:name w:val="Balloon Text"/>
    <w:basedOn w:val="Normln"/>
    <w:link w:val="TextbublinyChar"/>
    <w:rsid w:val="00C75EFF"/>
    <w:rPr>
      <w:rFonts w:ascii="Tahoma" w:hAnsi="Tahoma" w:cs="Tahoma"/>
      <w:sz w:val="16"/>
      <w:szCs w:val="16"/>
    </w:rPr>
  </w:style>
  <w:style w:type="character" w:customStyle="1" w:styleId="TextbublinyChar">
    <w:name w:val="Text bubliny Char"/>
    <w:basedOn w:val="Standardnpsmoodstavce"/>
    <w:link w:val="Textbubliny"/>
    <w:rsid w:val="00C75EFF"/>
    <w:rPr>
      <w:rFonts w:ascii="Tahoma" w:hAnsi="Tahoma" w:cs="Tahoma"/>
      <w:sz w:val="16"/>
      <w:szCs w:val="16"/>
    </w:rPr>
  </w:style>
  <w:style w:type="paragraph" w:styleId="Odstavecseseznamem">
    <w:name w:val="List Paragraph"/>
    <w:basedOn w:val="Normln"/>
    <w:uiPriority w:val="34"/>
    <w:qFormat/>
    <w:rsid w:val="008A6B71"/>
    <w:pPr>
      <w:ind w:left="708"/>
    </w:pPr>
  </w:style>
  <w:style w:type="paragraph" w:styleId="Bezmezer">
    <w:name w:val="No Spacing"/>
    <w:uiPriority w:val="1"/>
    <w:qFormat/>
    <w:rsid w:val="00104513"/>
    <w:rPr>
      <w:sz w:val="24"/>
      <w:szCs w:val="24"/>
    </w:rPr>
  </w:style>
  <w:style w:type="table" w:styleId="Mkatabulky">
    <w:name w:val="Table Grid"/>
    <w:basedOn w:val="Normlntabulka"/>
    <w:uiPriority w:val="59"/>
    <w:rsid w:val="006C00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qFormat/>
    <w:rsid w:val="00D345B5"/>
    <w:pPr>
      <w:spacing w:before="240"/>
      <w:jc w:val="both"/>
    </w:pPr>
    <w:rPr>
      <w:rFonts w:eastAsiaTheme="minorHAnsi"/>
      <w:b/>
      <w:szCs w:val="22"/>
      <w:lang w:eastAsia="en-US"/>
    </w:rPr>
  </w:style>
  <w:style w:type="paragraph" w:customStyle="1" w:styleId="Zdroj">
    <w:name w:val="Zdroj"/>
    <w:basedOn w:val="Normln"/>
    <w:qFormat/>
    <w:rsid w:val="00D345B5"/>
    <w:pPr>
      <w:spacing w:after="120"/>
      <w:jc w:val="both"/>
    </w:pPr>
    <w:rPr>
      <w: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eader" Target="header1.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fs\04\ODD&#282;LEN&#205;%20VZD&#282;L&#193;V&#193;N&#205;%20A%20KONCEPC&#205;\24_VYROCNI%20ZPRAVY_skoly%20zrizovane%20LK\2016_2017\SOUHRN_2018.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s\04\ODD&#282;LEN&#205;%20VZD&#282;L&#193;V&#193;N&#205;%20A%20KONCEPC&#205;\24_VYROCNI%20ZPRAVY_skoly%20zrizovane%20LK\2016_2017\SOUHRN_2018.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s\04\ODD&#282;LEN&#205;%20VZD&#282;L&#193;V&#193;N&#205;%20A%20KONCEPC&#205;\24_VYROCNI%20ZPRAVY_skoly%20zrizovane%20LK\2016_2017\SOUHRN_2018.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seflm\Documents\08_KONCEPCNI_DOK\VZ_2016_2017_podklady\Radka\specialni_skolstvi_PPP_SPC.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seflm\Documents\08_KONCEPCNI_DOK\VZ_2016_2017_podklady\Radka\specialni_skolstvi_PPP_SPC.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fs\04\ODD&#282;LEN&#205;%20VZD&#282;L&#193;V&#193;N&#205;%20A%20KONCEPC&#205;\24_VYROCNI%20ZPRAVY_skoly%20zrizovane%20LK\2016_2017\SOUHRN_2018.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s\04\ODD&#282;LEN&#205;%20VZD&#282;L&#193;V&#193;N&#205;%20A%20KONCEPC&#205;\24_VYROCNI%20ZPRAVY_skoly%20zrizovane%20LK\2016_2017\SOUHRN_2018.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s\04\ODD&#282;LEN&#205;%20VZD&#282;L&#193;V&#193;N&#205;%20A%20KONCEPC&#205;\24_VYROCNI%20ZPRAVY_skoly%20zrizovane%20LK\2016_2017\SOUHRN_2018.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s\04\ODD&#282;LEN&#205;%20VZD&#282;L&#193;V&#193;N&#205;%20A%20KONCEPC&#205;\24_VYROCNI%20ZPRAVY_skoly%20zrizovane%20LK\2016_2017\SOUHRN_2018.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s\04\ODD&#282;LEN&#205;%20VZD&#282;L&#193;V&#193;N&#205;%20A%20KONCEPC&#205;\24_VYROCNI%20ZPRAVY_skoly%20zrizovane%20LK\2016_2017\SOUHRN_2018.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s\04\ODD&#282;LEN&#205;%20VZD&#282;L&#193;V&#193;N&#205;%20A%20KONCEPC&#205;\24_VYROCNI%20ZPRAVY_skoly%20zrizovane%20LK\2016_2017\SOUHRN_201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0673575129533682E-2"/>
          <c:y val="7.8125149011896156E-2"/>
          <c:w val="0.56476683937823835"/>
          <c:h val="0.8515641242296681"/>
        </c:manualLayout>
      </c:layout>
      <c:pieChart>
        <c:varyColors val="1"/>
        <c:ser>
          <c:idx val="0"/>
          <c:order val="0"/>
          <c:dPt>
            <c:idx val="0"/>
            <c:bubble3D val="0"/>
          </c:dPt>
          <c:dPt>
            <c:idx val="1"/>
            <c:bubble3D val="0"/>
            <c:spPr>
              <a:solidFill>
                <a:srgbClr val="FFC000"/>
              </a:solidFill>
            </c:spPr>
          </c:dPt>
          <c:dLbls>
            <c:dLbl>
              <c:idx val="0"/>
              <c:layout>
                <c:manualLayout>
                  <c:x val="-0.14421416234887738"/>
                  <c:y val="-0.27581765668412789"/>
                </c:manualLayout>
              </c:layout>
              <c:spPr/>
              <c:txPr>
                <a:bodyPr/>
                <a:lstStyle/>
                <a:p>
                  <a:pPr>
                    <a:defRPr>
                      <a:solidFill>
                        <a:schemeClr val="bg1"/>
                      </a:solidFill>
                    </a:defRPr>
                  </a:pPr>
                  <a:endParaRPr lang="cs-CZ"/>
                </a:p>
              </c:txPr>
              <c:dLblPos val="bestFit"/>
              <c:showLegendKey val="0"/>
              <c:showVal val="1"/>
              <c:showCatName val="0"/>
              <c:showSerName val="0"/>
              <c:showPercent val="0"/>
              <c:showBubbleSize val="0"/>
            </c:dLbl>
            <c:dLbl>
              <c:idx val="1"/>
              <c:layout>
                <c:manualLayout>
                  <c:x val="4.3433288455523369E-2"/>
                  <c:y val="0.12676748042477953"/>
                </c:manualLayout>
              </c:layout>
              <c:spPr/>
              <c:txPr>
                <a:bodyPr/>
                <a:lstStyle/>
                <a:p>
                  <a:pPr>
                    <a:defRPr/>
                  </a:pPr>
                  <a:endParaRPr lang="cs-CZ"/>
                </a:p>
              </c:txPr>
              <c:dLblPos val="bestFit"/>
              <c:showLegendKey val="0"/>
              <c:showVal val="1"/>
              <c:showCatName val="0"/>
              <c:showSerName val="0"/>
              <c:showPercent val="0"/>
              <c:showBubbleSize val="0"/>
            </c:dLbl>
            <c:dLbl>
              <c:idx val="2"/>
              <c:tx>
                <c:rich>
                  <a:bodyPr/>
                  <a:lstStyle/>
                  <a:p>
                    <a:pPr>
                      <a:defRPr/>
                    </a:pPr>
                    <a:r>
                      <a:t>6,2%</a:t>
                    </a:r>
                  </a:p>
                </c:rich>
              </c:tx>
              <c:spPr/>
              <c:showLegendKey val="0"/>
              <c:showVal val="0"/>
              <c:showCatName val="0"/>
              <c:showSerName val="0"/>
              <c:showPercent val="0"/>
              <c:showBubbleSize val="0"/>
            </c:dLbl>
            <c:dLbl>
              <c:idx val="3"/>
              <c:tx>
                <c:rich>
                  <a:bodyPr/>
                  <a:lstStyle/>
                  <a:p>
                    <a:pPr>
                      <a:defRPr/>
                    </a:pPr>
                    <a:r>
                      <a:t>8,1%</a:t>
                    </a:r>
                  </a:p>
                </c:rich>
              </c:tx>
              <c:spPr/>
              <c:showLegendKey val="0"/>
              <c:showVal val="0"/>
              <c:showCatName val="0"/>
              <c:showSerName val="0"/>
              <c:showPercent val="0"/>
              <c:showBubbleSize val="0"/>
            </c:dLbl>
            <c:showLegendKey val="0"/>
            <c:showVal val="1"/>
            <c:showCatName val="0"/>
            <c:showSerName val="0"/>
            <c:showPercent val="0"/>
            <c:showBubbleSize val="0"/>
            <c:showLeaderLines val="1"/>
          </c:dLbls>
          <c:cat>
            <c:strRef>
              <c:f>'ODBORNÁ ZPŮSOBILOST_ČÁST1'!$A$4:$B$4</c:f>
              <c:strCache>
                <c:ptCount val="2"/>
                <c:pt idx="0">
                  <c:v>počet                      (přepočtení na plně zaměstnané)</c:v>
                </c:pt>
                <c:pt idx="1">
                  <c:v>bez odborné kvalifikace</c:v>
                </c:pt>
              </c:strCache>
            </c:strRef>
          </c:cat>
          <c:val>
            <c:numRef>
              <c:f>'ODBORNÁ ZPŮSOBILOST_ČÁST1'!$A$43:$B$43</c:f>
              <c:numCache>
                <c:formatCode>0.00"%"</c:formatCode>
                <c:ptCount val="2"/>
                <c:pt idx="0">
                  <c:v>95.592849537889109</c:v>
                </c:pt>
                <c:pt idx="1">
                  <c:v>4.4071504621108941</c:v>
                </c:pt>
              </c:numCache>
            </c:numRef>
          </c:val>
        </c:ser>
        <c:dLbls>
          <c:showLegendKey val="0"/>
          <c:showVal val="0"/>
          <c:showCatName val="0"/>
          <c:showSerName val="0"/>
          <c:showPercent val="0"/>
          <c:showBubbleSize val="0"/>
          <c:showLeaderLines val="1"/>
        </c:dLbls>
        <c:firstSliceAng val="360"/>
      </c:pieChart>
      <c:spPr>
        <a:noFill/>
        <a:ln w="25400">
          <a:noFill/>
        </a:ln>
      </c:spPr>
    </c:plotArea>
    <c:legend>
      <c:legendPos val="r"/>
      <c:layout>
        <c:manualLayout>
          <c:xMode val="edge"/>
          <c:yMode val="edge"/>
          <c:x val="0.66594127806563042"/>
          <c:y val="0.48187570695922427"/>
          <c:w val="0.33405872193436958"/>
          <c:h val="0.47139459032056136"/>
        </c:manualLayout>
      </c:layout>
      <c:overlay val="0"/>
    </c:legend>
    <c:plotVisOnly val="1"/>
    <c:dispBlanksAs val="zero"/>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551805421441789E-2"/>
          <c:y val="9.8630136986301367E-2"/>
          <c:w val="0.78620755843174028"/>
          <c:h val="0.68493150684931503"/>
        </c:manualLayout>
      </c:layout>
      <c:barChart>
        <c:barDir val="col"/>
        <c:grouping val="stacked"/>
        <c:varyColors val="0"/>
        <c:ser>
          <c:idx val="2"/>
          <c:order val="0"/>
          <c:tx>
            <c:v>prospěli</c:v>
          </c:tx>
          <c:spPr>
            <a:solidFill>
              <a:srgbClr val="9F60CE"/>
            </a:solidFill>
            <a:ln w="25400">
              <a:noFill/>
            </a:ln>
          </c:spPr>
          <c:invertIfNegative val="0"/>
          <c:dLbls>
            <c:spPr>
              <a:noFill/>
              <a:ln w="25400">
                <a:noFill/>
              </a:ln>
            </c:spPr>
            <c:txPr>
              <a:bodyPr rot="-5400000" vert="horz"/>
              <a:lstStyle/>
              <a:p>
                <a:pPr algn="ctr">
                  <a:defRPr sz="800" b="0" i="0" u="none" strike="noStrike" baseline="0">
                    <a:solidFill>
                      <a:srgbClr val="FFFFFF"/>
                    </a:solidFill>
                    <a:latin typeface="Arial"/>
                    <a:ea typeface="Arial"/>
                    <a:cs typeface="Arial"/>
                  </a:defRPr>
                </a:pPr>
                <a:endParaRPr lang="cs-CZ"/>
              </a:p>
            </c:txPr>
            <c:dLblPos val="ctr"/>
            <c:showLegendKey val="0"/>
            <c:showVal val="1"/>
            <c:showCatName val="0"/>
            <c:showSerName val="0"/>
            <c:showPercent val="0"/>
            <c:showBubbleSize val="0"/>
            <c:showLeaderLines val="0"/>
          </c:dLbls>
          <c:cat>
            <c:strRef>
              <c:f>('C:\Documents and Settings\exnerovav\Local Settings\Temporary Internet Files\OLK43\[Kopie - souhrn_0910_grafy.xls]ad 5 - ZZ, MZ, A'!$A$4,'C:\Documents and Settings\exnerovav\Local Settings\Temporary Internet Files\OLK43\[Kopie - souhrn_0910_grafy.xls]ad 5 - ZZ, MZ, A'!$D$4,'C:\Documents and Settings\exnerovav\Local Settings\Temporary Internet Files\OLK43\[Kopie - souhrn_0910_grafy.xls]ad 5 - ZZ, MZ, A'!$G$4)</c:f>
              <c:strCache>
                <c:ptCount val="3"/>
                <c:pt idx="0">
                  <c:v>zkoušky v řádném (jarním) termínu</c:v>
                </c:pt>
                <c:pt idx="1">
                  <c:v>zkoušky v náhradním termínu</c:v>
                </c:pt>
                <c:pt idx="2">
                  <c:v>opravné zkoušky</c:v>
                </c:pt>
              </c:strCache>
            </c:strRef>
          </c:cat>
          <c:val>
            <c:numRef>
              <c:f>('ZZ, MZ, A'!$B$22,'ZZ, MZ, A'!$E$22,'ZZ, MZ, A'!$H$22)</c:f>
              <c:numCache>
                <c:formatCode>0.00"%"</c:formatCode>
                <c:ptCount val="3"/>
                <c:pt idx="0">
                  <c:v>84.077892325315005</c:v>
                </c:pt>
                <c:pt idx="1">
                  <c:v>54.878048780487802</c:v>
                </c:pt>
                <c:pt idx="2">
                  <c:v>69.444444444444443</c:v>
                </c:pt>
              </c:numCache>
            </c:numRef>
          </c:val>
        </c:ser>
        <c:ser>
          <c:idx val="3"/>
          <c:order val="1"/>
          <c:tx>
            <c:v>neprospěli</c:v>
          </c:tx>
          <c:spPr>
            <a:solidFill>
              <a:srgbClr val="FFC000"/>
            </a:solidFill>
            <a:ln w="25400">
              <a:noFill/>
            </a:ln>
          </c:spPr>
          <c:invertIfNegative val="0"/>
          <c:dLbls>
            <c:dLbl>
              <c:idx val="1"/>
              <c:layout>
                <c:manualLayout>
                  <c:x val="4.2472621956738165E-3"/>
                  <c:y val="-1.1388055945061662E-2"/>
                </c:manualLayout>
              </c:layout>
              <c:dLblPos val="ctr"/>
              <c:showLegendKey val="0"/>
              <c:showVal val="1"/>
              <c:showCatName val="0"/>
              <c:showSerName val="0"/>
              <c:showPercent val="0"/>
              <c:showBubbleSize val="0"/>
            </c:dLbl>
            <c:dLbl>
              <c:idx val="2"/>
              <c:layout>
                <c:manualLayout>
                  <c:x val="0"/>
                  <c:y val="-2.1917808219178082E-2"/>
                </c:manualLayout>
              </c:layout>
              <c:dLblPos val="ctr"/>
              <c:showLegendKey val="0"/>
              <c:showVal val="1"/>
              <c:showCatName val="0"/>
              <c:showSerName val="0"/>
              <c:showPercent val="0"/>
              <c:showBubbleSize val="0"/>
            </c:dLbl>
            <c:spPr>
              <a:noFill/>
              <a:ln w="25400">
                <a:noFill/>
              </a:ln>
            </c:spPr>
            <c:txPr>
              <a:bodyPr rot="-5400000" vert="horz"/>
              <a:lstStyle/>
              <a:p>
                <a:pPr algn="ctr">
                  <a:defRPr sz="800" b="0" i="0" u="none" strike="noStrike" baseline="0">
                    <a:solidFill>
                      <a:srgbClr val="000000"/>
                    </a:solidFill>
                    <a:latin typeface="Arial"/>
                    <a:ea typeface="Arial"/>
                    <a:cs typeface="Arial"/>
                  </a:defRPr>
                </a:pPr>
                <a:endParaRPr lang="cs-CZ"/>
              </a:p>
            </c:txPr>
            <c:dLblPos val="ctr"/>
            <c:showLegendKey val="0"/>
            <c:showVal val="1"/>
            <c:showCatName val="0"/>
            <c:showSerName val="0"/>
            <c:showPercent val="0"/>
            <c:showBubbleSize val="0"/>
            <c:showLeaderLines val="0"/>
          </c:dLbls>
          <c:cat>
            <c:strRef>
              <c:f>('C:\Documents and Settings\exnerovav\Local Settings\Temporary Internet Files\OLK43\[Kopie - souhrn_0910_grafy.xls]ad 5 - ZZ, MZ, A'!$A$4,'C:\Documents and Settings\exnerovav\Local Settings\Temporary Internet Files\OLK43\[Kopie - souhrn_0910_grafy.xls]ad 5 - ZZ, MZ, A'!$D$4,'C:\Documents and Settings\exnerovav\Local Settings\Temporary Internet Files\OLK43\[Kopie - souhrn_0910_grafy.xls]ad 5 - ZZ, MZ, A'!$G$4)</c:f>
              <c:strCache>
                <c:ptCount val="3"/>
                <c:pt idx="0">
                  <c:v>zkoušky v řádném (jarním) termínu</c:v>
                </c:pt>
                <c:pt idx="1">
                  <c:v>zkoušky v náhradním termínu</c:v>
                </c:pt>
                <c:pt idx="2">
                  <c:v>opravné zkoušky</c:v>
                </c:pt>
              </c:strCache>
            </c:strRef>
          </c:cat>
          <c:val>
            <c:numRef>
              <c:f>('ZZ, MZ, A'!$C$22,'ZZ, MZ, A'!$F$22,'ZZ, MZ, A'!$I$22)</c:f>
              <c:numCache>
                <c:formatCode>0.00"%"</c:formatCode>
                <c:ptCount val="3"/>
                <c:pt idx="0">
                  <c:v>15.922107674684995</c:v>
                </c:pt>
                <c:pt idx="1">
                  <c:v>45.121951219512198</c:v>
                </c:pt>
                <c:pt idx="2">
                  <c:v>30.555555555555557</c:v>
                </c:pt>
              </c:numCache>
            </c:numRef>
          </c:val>
        </c:ser>
        <c:dLbls>
          <c:showLegendKey val="0"/>
          <c:showVal val="0"/>
          <c:showCatName val="0"/>
          <c:showSerName val="0"/>
          <c:showPercent val="0"/>
          <c:showBubbleSize val="0"/>
        </c:dLbls>
        <c:gapWidth val="200"/>
        <c:overlap val="100"/>
        <c:axId val="248747520"/>
        <c:axId val="248749056"/>
      </c:barChart>
      <c:catAx>
        <c:axId val="2487475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cs-CZ"/>
          </a:p>
        </c:txPr>
        <c:crossAx val="248749056"/>
        <c:crosses val="autoZero"/>
        <c:auto val="1"/>
        <c:lblAlgn val="ctr"/>
        <c:lblOffset val="100"/>
        <c:tickLblSkip val="1"/>
        <c:tickMarkSkip val="1"/>
        <c:noMultiLvlLbl val="0"/>
      </c:catAx>
      <c:valAx>
        <c:axId val="248749056"/>
        <c:scaling>
          <c:orientation val="minMax"/>
          <c:max val="120"/>
        </c:scaling>
        <c:delete val="0"/>
        <c:axPos val="l"/>
        <c:majorGridlines>
          <c:spPr>
            <a:ln w="3175">
              <a:solidFill>
                <a:srgbClr val="C0C0C0"/>
              </a:solidFill>
              <a:prstDash val="solid"/>
            </a:ln>
          </c:spPr>
        </c:majorGridlines>
        <c:numFmt formatCode="0&quot;%&quot;"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cs-CZ"/>
          </a:p>
        </c:txPr>
        <c:crossAx val="248747520"/>
        <c:crosses val="autoZero"/>
        <c:crossBetween val="between"/>
        <c:majorUnit val="20"/>
      </c:valAx>
      <c:spPr>
        <a:solidFill>
          <a:srgbClr val="FFFFFF"/>
        </a:solidFill>
        <a:ln w="25400">
          <a:noFill/>
        </a:ln>
      </c:spPr>
    </c:plotArea>
    <c:legend>
      <c:legendPos val="r"/>
      <c:legendEntry>
        <c:idx val="0"/>
        <c:txPr>
          <a:bodyPr/>
          <a:lstStyle/>
          <a:p>
            <a:pPr>
              <a:defRPr sz="1000" b="0" i="0" u="none" strike="noStrike" baseline="0">
                <a:solidFill>
                  <a:srgbClr val="000000"/>
                </a:solidFill>
                <a:latin typeface="+mn-lt"/>
                <a:ea typeface="Arial"/>
                <a:cs typeface="Arial"/>
              </a:defRPr>
            </a:pPr>
            <a:endParaRPr lang="cs-CZ"/>
          </a:p>
        </c:txPr>
      </c:legendEntry>
      <c:legendEntry>
        <c:idx val="1"/>
        <c:txPr>
          <a:bodyPr/>
          <a:lstStyle/>
          <a:p>
            <a:pPr>
              <a:defRPr sz="1000" b="0" i="0" u="none" strike="noStrike" baseline="0">
                <a:solidFill>
                  <a:srgbClr val="000000"/>
                </a:solidFill>
                <a:latin typeface="+mn-lt"/>
                <a:ea typeface="Arial"/>
                <a:cs typeface="Arial"/>
              </a:defRPr>
            </a:pPr>
            <a:endParaRPr lang="cs-CZ"/>
          </a:p>
        </c:txPr>
      </c:legendEntry>
      <c:layout>
        <c:manualLayout>
          <c:xMode val="edge"/>
          <c:yMode val="edge"/>
          <c:x val="0.83046049416236767"/>
          <c:y val="0.87762557077625569"/>
          <c:w val="0.14712661779346548"/>
          <c:h val="0.11415525114155251"/>
        </c:manualLayout>
      </c:layout>
      <c:overlay val="0"/>
      <c:spPr>
        <a:solidFill>
          <a:srgbClr val="FFFFFF"/>
        </a:solidFill>
        <a:ln w="25400">
          <a:noFill/>
        </a:ln>
      </c:spPr>
      <c:txPr>
        <a:bodyPr/>
        <a:lstStyle/>
        <a:p>
          <a:pPr>
            <a:defRPr sz="1100" b="0" i="0" u="none" strike="noStrike" baseline="0">
              <a:solidFill>
                <a:srgbClr val="000000"/>
              </a:solidFill>
              <a:latin typeface="Arial"/>
              <a:ea typeface="Arial"/>
              <a:cs typeface="Arial"/>
            </a:defRPr>
          </a:pPr>
          <a:endParaRPr lang="cs-CZ"/>
        </a:p>
      </c:txPr>
    </c:legend>
    <c:plotVisOnly val="1"/>
    <c:dispBlanksAs val="gap"/>
    <c:showDLblsOverMax val="0"/>
  </c:chart>
  <c:spPr>
    <a:noFill/>
    <a:ln w="9525">
      <a:noFill/>
    </a:ln>
  </c:spPr>
  <c:txPr>
    <a:bodyPr/>
    <a:lstStyle/>
    <a:p>
      <a:pPr>
        <a:defRPr sz="1200" b="0" i="0" u="none" strike="noStrike" baseline="0">
          <a:solidFill>
            <a:srgbClr val="000000"/>
          </a:solidFill>
          <a:latin typeface="Arial"/>
          <a:ea typeface="Arial"/>
          <a:cs typeface="Arial"/>
        </a:defRPr>
      </a:pPr>
      <a:endParaRPr lang="cs-CZ"/>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551805421441789E-2"/>
          <c:y val="9.8630136986301367E-2"/>
          <c:w val="0.78620755843174028"/>
          <c:h val="0.68493150684931503"/>
        </c:manualLayout>
      </c:layout>
      <c:barChart>
        <c:barDir val="col"/>
        <c:grouping val="stacked"/>
        <c:varyColors val="0"/>
        <c:ser>
          <c:idx val="2"/>
          <c:order val="0"/>
          <c:tx>
            <c:v>prospěli</c:v>
          </c:tx>
          <c:spPr>
            <a:solidFill>
              <a:srgbClr val="9F60CE"/>
            </a:solidFill>
            <a:ln w="25400">
              <a:noFill/>
            </a:ln>
          </c:spPr>
          <c:invertIfNegative val="0"/>
          <c:dLbls>
            <c:spPr>
              <a:noFill/>
              <a:ln w="25400">
                <a:noFill/>
              </a:ln>
            </c:spPr>
            <c:txPr>
              <a:bodyPr rot="-5400000" vert="horz"/>
              <a:lstStyle/>
              <a:p>
                <a:pPr algn="ctr">
                  <a:defRPr sz="800" b="0" i="0" u="none" strike="noStrike" baseline="0">
                    <a:solidFill>
                      <a:srgbClr val="FFFFFF"/>
                    </a:solidFill>
                    <a:latin typeface="Arial"/>
                    <a:ea typeface="Arial"/>
                    <a:cs typeface="Arial"/>
                  </a:defRPr>
                </a:pPr>
                <a:endParaRPr lang="cs-CZ"/>
              </a:p>
            </c:txPr>
            <c:dLblPos val="ctr"/>
            <c:showLegendKey val="0"/>
            <c:showVal val="1"/>
            <c:showCatName val="0"/>
            <c:showSerName val="0"/>
            <c:showPercent val="0"/>
            <c:showBubbleSize val="0"/>
            <c:showLeaderLines val="0"/>
          </c:dLbls>
          <c:cat>
            <c:strRef>
              <c:f>('C:\Documents and Settings\exnerovav\Local Settings\Temporary Internet Files\OLK43\[Kopie - souhrn_0910_grafy.xls]ad 5 - ZZ, MZ, A'!$A$4,'C:\Documents and Settings\exnerovav\Local Settings\Temporary Internet Files\OLK43\[Kopie - souhrn_0910_grafy.xls]ad 5 - ZZ, MZ, A'!$D$4,'C:\Documents and Settings\exnerovav\Local Settings\Temporary Internet Files\OLK43\[Kopie - souhrn_0910_grafy.xls]ad 5 - ZZ, MZ, A'!$G$4)</c:f>
              <c:strCache>
                <c:ptCount val="3"/>
                <c:pt idx="0">
                  <c:v>zkoušky v řádném (jarním) termínu</c:v>
                </c:pt>
                <c:pt idx="1">
                  <c:v>zkoušky v náhradním termínu</c:v>
                </c:pt>
                <c:pt idx="2">
                  <c:v>opravné zkoušky</c:v>
                </c:pt>
              </c:strCache>
            </c:strRef>
          </c:cat>
          <c:val>
            <c:numRef>
              <c:f>('ZZ, MZ, A'!$W$12,'ZZ, MZ, A'!$Z$12,'ZZ, MZ, A'!$AC$12)</c:f>
              <c:numCache>
                <c:formatCode>0.00"%"</c:formatCode>
                <c:ptCount val="3"/>
                <c:pt idx="0">
                  <c:v>75</c:v>
                </c:pt>
                <c:pt idx="1">
                  <c:v>33.333333333333336</c:v>
                </c:pt>
                <c:pt idx="2">
                  <c:v>100</c:v>
                </c:pt>
              </c:numCache>
            </c:numRef>
          </c:val>
        </c:ser>
        <c:ser>
          <c:idx val="3"/>
          <c:order val="1"/>
          <c:tx>
            <c:v>neprospěli</c:v>
          </c:tx>
          <c:spPr>
            <a:solidFill>
              <a:srgbClr val="FFC000"/>
            </a:solidFill>
            <a:ln w="25400">
              <a:noFill/>
            </a:ln>
          </c:spPr>
          <c:invertIfNegative val="0"/>
          <c:dLbls>
            <c:dLbl>
              <c:idx val="0"/>
              <c:layout>
                <c:manualLayout>
                  <c:x val="-3.3791293329713096E-3"/>
                  <c:y val="-3.1294718297199152E-3"/>
                </c:manualLayout>
              </c:layout>
              <c:dLblPos val="ctr"/>
              <c:showLegendKey val="0"/>
              <c:showVal val="1"/>
              <c:showCatName val="0"/>
              <c:showSerName val="0"/>
              <c:showPercent val="0"/>
              <c:showBubbleSize val="0"/>
            </c:dLbl>
            <c:dLbl>
              <c:idx val="2"/>
              <c:layout>
                <c:manualLayout>
                  <c:x val="-5.6783419313965067E-3"/>
                  <c:y val="-9.4306978750943807E-3"/>
                </c:manualLayout>
              </c:layout>
              <c:dLblPos val="ctr"/>
              <c:showLegendKey val="0"/>
              <c:showVal val="1"/>
              <c:showCatName val="0"/>
              <c:showSerName val="0"/>
              <c:showPercent val="0"/>
              <c:showBubbleSize val="0"/>
            </c:dLbl>
            <c:spPr>
              <a:noFill/>
              <a:ln w="25400">
                <a:noFill/>
              </a:ln>
            </c:spPr>
            <c:txPr>
              <a:bodyPr rot="-5400000" vert="horz"/>
              <a:lstStyle/>
              <a:p>
                <a:pPr algn="ctr">
                  <a:defRPr sz="800" b="0" i="0" u="none" strike="noStrike" baseline="0">
                    <a:solidFill>
                      <a:srgbClr val="000000"/>
                    </a:solidFill>
                    <a:latin typeface="Arial"/>
                    <a:ea typeface="Arial"/>
                    <a:cs typeface="Arial"/>
                  </a:defRPr>
                </a:pPr>
                <a:endParaRPr lang="cs-CZ"/>
              </a:p>
            </c:txPr>
            <c:dLblPos val="ctr"/>
            <c:showLegendKey val="0"/>
            <c:showVal val="1"/>
            <c:showCatName val="0"/>
            <c:showSerName val="0"/>
            <c:showPercent val="0"/>
            <c:showBubbleSize val="0"/>
            <c:showLeaderLines val="0"/>
          </c:dLbls>
          <c:cat>
            <c:strRef>
              <c:f>('C:\Documents and Settings\exnerovav\Local Settings\Temporary Internet Files\OLK43\[Kopie - souhrn_0910_grafy.xls]ad 5 - ZZ, MZ, A'!$A$4,'C:\Documents and Settings\exnerovav\Local Settings\Temporary Internet Files\OLK43\[Kopie - souhrn_0910_grafy.xls]ad 5 - ZZ, MZ, A'!$D$4,'C:\Documents and Settings\exnerovav\Local Settings\Temporary Internet Files\OLK43\[Kopie - souhrn_0910_grafy.xls]ad 5 - ZZ, MZ, A'!$G$4)</c:f>
              <c:strCache>
                <c:ptCount val="3"/>
                <c:pt idx="0">
                  <c:v>zkoušky v řádném (jarním) termínu</c:v>
                </c:pt>
                <c:pt idx="1">
                  <c:v>zkoušky v náhradním termínu</c:v>
                </c:pt>
                <c:pt idx="2">
                  <c:v>opravné zkoušky</c:v>
                </c:pt>
              </c:strCache>
            </c:strRef>
          </c:cat>
          <c:val>
            <c:numRef>
              <c:f>('ZZ, MZ, A'!$X$12,'ZZ, MZ, A'!$AA$12,'ZZ, MZ, A'!$AD$12)</c:f>
              <c:numCache>
                <c:formatCode>0.00"%"</c:formatCode>
                <c:ptCount val="3"/>
                <c:pt idx="0">
                  <c:v>25</c:v>
                </c:pt>
                <c:pt idx="1">
                  <c:v>66.666666666666671</c:v>
                </c:pt>
                <c:pt idx="2">
                  <c:v>0</c:v>
                </c:pt>
              </c:numCache>
            </c:numRef>
          </c:val>
        </c:ser>
        <c:dLbls>
          <c:showLegendKey val="0"/>
          <c:showVal val="0"/>
          <c:showCatName val="0"/>
          <c:showSerName val="0"/>
          <c:showPercent val="0"/>
          <c:showBubbleSize val="0"/>
        </c:dLbls>
        <c:gapWidth val="200"/>
        <c:overlap val="100"/>
        <c:axId val="246363264"/>
        <c:axId val="246364800"/>
      </c:barChart>
      <c:catAx>
        <c:axId val="246363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cs-CZ"/>
          </a:p>
        </c:txPr>
        <c:crossAx val="246364800"/>
        <c:crosses val="autoZero"/>
        <c:auto val="1"/>
        <c:lblAlgn val="ctr"/>
        <c:lblOffset val="100"/>
        <c:tickLblSkip val="1"/>
        <c:tickMarkSkip val="1"/>
        <c:noMultiLvlLbl val="0"/>
      </c:catAx>
      <c:valAx>
        <c:axId val="246364800"/>
        <c:scaling>
          <c:orientation val="minMax"/>
          <c:max val="100"/>
        </c:scaling>
        <c:delete val="0"/>
        <c:axPos val="l"/>
        <c:majorGridlines>
          <c:spPr>
            <a:ln w="3175">
              <a:solidFill>
                <a:srgbClr val="C0C0C0"/>
              </a:solidFill>
              <a:prstDash val="solid"/>
            </a:ln>
          </c:spPr>
        </c:majorGridlines>
        <c:numFmt formatCode="0&quot;%&quot;"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cs-CZ"/>
          </a:p>
        </c:txPr>
        <c:crossAx val="246363264"/>
        <c:crosses val="autoZero"/>
        <c:crossBetween val="between"/>
        <c:majorUnit val="20"/>
      </c:valAx>
      <c:spPr>
        <a:solidFill>
          <a:srgbClr val="FFFFFF"/>
        </a:solidFill>
        <a:ln w="25400">
          <a:noFill/>
        </a:ln>
      </c:spPr>
    </c:plotArea>
    <c:legend>
      <c:legendPos val="r"/>
      <c:legendEntry>
        <c:idx val="0"/>
        <c:txPr>
          <a:bodyPr/>
          <a:lstStyle/>
          <a:p>
            <a:pPr>
              <a:defRPr sz="1000" b="0" i="0" u="none" strike="noStrike" baseline="0">
                <a:solidFill>
                  <a:srgbClr val="000000"/>
                </a:solidFill>
                <a:latin typeface="+mn-lt"/>
                <a:ea typeface="Arial"/>
                <a:cs typeface="Arial"/>
              </a:defRPr>
            </a:pPr>
            <a:endParaRPr lang="cs-CZ"/>
          </a:p>
        </c:txPr>
      </c:legendEntry>
      <c:legendEntry>
        <c:idx val="1"/>
        <c:txPr>
          <a:bodyPr/>
          <a:lstStyle/>
          <a:p>
            <a:pPr>
              <a:defRPr sz="1000" b="0" i="0" u="none" strike="noStrike" baseline="0">
                <a:solidFill>
                  <a:srgbClr val="000000"/>
                </a:solidFill>
                <a:latin typeface="+mn-lt"/>
                <a:ea typeface="Arial"/>
                <a:cs typeface="Arial"/>
              </a:defRPr>
            </a:pPr>
            <a:endParaRPr lang="cs-CZ"/>
          </a:p>
        </c:txPr>
      </c:legendEntry>
      <c:layout>
        <c:manualLayout>
          <c:xMode val="edge"/>
          <c:yMode val="edge"/>
          <c:x val="0.82126509186351704"/>
          <c:y val="0.81187214611872149"/>
          <c:w val="0.14942546836817816"/>
          <c:h val="0.16529680365296806"/>
        </c:manualLayout>
      </c:layout>
      <c:overlay val="0"/>
      <c:spPr>
        <a:solidFill>
          <a:srgbClr val="FFFFFF"/>
        </a:solidFill>
        <a:ln w="25400">
          <a:noFill/>
        </a:ln>
      </c:spPr>
      <c:txPr>
        <a:bodyPr/>
        <a:lstStyle/>
        <a:p>
          <a:pPr>
            <a:defRPr sz="1000" b="0" i="0" u="none" strike="noStrike" baseline="0">
              <a:solidFill>
                <a:srgbClr val="000000"/>
              </a:solidFill>
              <a:latin typeface="+mn-lt"/>
              <a:ea typeface="Arial"/>
              <a:cs typeface="Arial"/>
            </a:defRPr>
          </a:pPr>
          <a:endParaRPr lang="cs-CZ"/>
        </a:p>
      </c:txPr>
    </c:legend>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Arial"/>
          <a:ea typeface="Arial"/>
          <a:cs typeface="Arial"/>
        </a:defRPr>
      </a:pPr>
      <a:endParaRPr lang="cs-CZ"/>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manualLayout>
          <c:layoutTarget val="inner"/>
          <c:xMode val="edge"/>
          <c:yMode val="edge"/>
          <c:x val="0.11197945144513816"/>
          <c:y val="0.17187532782617154"/>
          <c:w val="0.50000127156898899"/>
          <c:h val="0.75000143051420309"/>
        </c:manualLayout>
      </c:layout>
      <c:pieChart>
        <c:varyColors val="1"/>
        <c:ser>
          <c:idx val="0"/>
          <c:order val="0"/>
          <c:dPt>
            <c:idx val="0"/>
            <c:bubble3D val="0"/>
          </c:dPt>
          <c:dPt>
            <c:idx val="1"/>
            <c:bubble3D val="0"/>
            <c:spPr>
              <a:solidFill>
                <a:srgbClr val="FFC000"/>
              </a:solidFill>
            </c:spPr>
          </c:dPt>
          <c:dPt>
            <c:idx val="2"/>
            <c:bubble3D val="0"/>
          </c:dPt>
          <c:dLbls>
            <c:dLbl>
              <c:idx val="0"/>
              <c:layout>
                <c:manualLayout>
                  <c:x val="-0.19157206911636046"/>
                  <c:y val="-8.0620898950131234E-2"/>
                </c:manualLayout>
              </c:layout>
              <c:spPr/>
              <c:txPr>
                <a:bodyPr/>
                <a:lstStyle/>
                <a:p>
                  <a:pPr>
                    <a:defRPr>
                      <a:solidFill>
                        <a:schemeClr val="bg1"/>
                      </a:solidFill>
                    </a:defRPr>
                  </a:pPr>
                  <a:endParaRPr lang="cs-CZ"/>
                </a:p>
              </c:txPr>
              <c:dLblPos val="bestFit"/>
              <c:showLegendKey val="0"/>
              <c:showVal val="1"/>
              <c:showCatName val="0"/>
              <c:showSerName val="0"/>
              <c:showPercent val="0"/>
              <c:showBubbleSize val="0"/>
            </c:dLbl>
            <c:dLbl>
              <c:idx val="1"/>
              <c:layout>
                <c:manualLayout>
                  <c:x val="0.15968394575678041"/>
                  <c:y val="5.0943241469816273E-3"/>
                </c:manualLayout>
              </c:layout>
              <c:spPr/>
              <c:txPr>
                <a:bodyPr/>
                <a:lstStyle/>
                <a:p>
                  <a:pPr>
                    <a:defRPr/>
                  </a:pPr>
                  <a:endParaRPr lang="cs-CZ"/>
                </a:p>
              </c:txPr>
              <c:dLblPos val="bestFit"/>
              <c:showLegendKey val="0"/>
              <c:showVal val="1"/>
              <c:showCatName val="0"/>
              <c:showSerName val="0"/>
              <c:showPercent val="0"/>
              <c:showBubbleSize val="0"/>
            </c:dLbl>
            <c:dLbl>
              <c:idx val="2"/>
              <c:layout>
                <c:manualLayout>
                  <c:x val="6.4724682852143486E-2"/>
                  <c:y val="0.12717109580052494"/>
                </c:manualLayout>
              </c:layout>
              <c:spPr/>
              <c:txPr>
                <a:bodyPr/>
                <a:lstStyle/>
                <a:p>
                  <a:pPr>
                    <a:defRPr/>
                  </a:pPr>
                  <a:endParaRPr lang="cs-CZ"/>
                </a:p>
              </c:txPr>
              <c:dLblPos val="bestFit"/>
              <c:showLegendKey val="0"/>
              <c:showVal val="1"/>
              <c:showCatName val="0"/>
              <c:showSerName val="0"/>
              <c:showPercent val="0"/>
              <c:showBubbleSize val="0"/>
            </c:dLbl>
            <c:showLegendKey val="0"/>
            <c:showVal val="1"/>
            <c:showCatName val="0"/>
            <c:showSerName val="0"/>
            <c:showPercent val="0"/>
            <c:showBubbleSize val="0"/>
            <c:showLeaderLines val="1"/>
          </c:dLbls>
          <c:cat>
            <c:strRef>
              <c:f>('PRACOVNÍCI DM'!$A$4,'PRACOVNÍCI DM'!$C$4,'PRACOVNÍCI DM'!$B$4)</c:f>
              <c:strCache>
                <c:ptCount val="3"/>
                <c:pt idx="0">
                  <c:v>vychovatelé</c:v>
                </c:pt>
                <c:pt idx="1">
                  <c:v>ostatní</c:v>
                </c:pt>
                <c:pt idx="2">
                  <c:v>asistenti pedagoga</c:v>
                </c:pt>
              </c:strCache>
            </c:strRef>
          </c:cat>
          <c:val>
            <c:numRef>
              <c:f>('PRACOVNÍCI DM'!$A$24,'PRACOVNÍCI DM'!$C$24,'PRACOVNÍCI DM'!$B$24)</c:f>
              <c:numCache>
                <c:formatCode>0.00"%"</c:formatCode>
                <c:ptCount val="3"/>
                <c:pt idx="0">
                  <c:v>59.534895260463628</c:v>
                </c:pt>
                <c:pt idx="1">
                  <c:v>32.252995807110551</c:v>
                </c:pt>
                <c:pt idx="2">
                  <c:v>8.2121089324258403</c:v>
                </c:pt>
              </c:numCache>
            </c:numRef>
          </c:val>
        </c:ser>
        <c:dLbls>
          <c:showLegendKey val="0"/>
          <c:showVal val="0"/>
          <c:showCatName val="0"/>
          <c:showSerName val="0"/>
          <c:showPercent val="0"/>
          <c:showBubbleSize val="0"/>
          <c:showLeaderLines val="1"/>
        </c:dLbls>
        <c:firstSliceAng val="357"/>
      </c:pieChart>
      <c:spPr>
        <a:noFill/>
        <a:ln w="25400">
          <a:noFill/>
        </a:ln>
      </c:spPr>
    </c:plotArea>
    <c:legend>
      <c:legendPos val="r"/>
      <c:layout>
        <c:manualLayout>
          <c:xMode val="edge"/>
          <c:yMode val="edge"/>
          <c:x val="0.64887193788276465"/>
          <c:y val="0.63476870078740155"/>
          <c:w val="0.32335028433945756"/>
          <c:h val="0.2825455216535433"/>
        </c:manualLayout>
      </c:layout>
      <c:overlay val="0"/>
    </c:legend>
    <c:plotVisOnly val="1"/>
    <c:dispBlanksAs val="zero"/>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PPP_2016_grafy!$D$3</c:f>
              <c:strCache>
                <c:ptCount val="1"/>
                <c:pt idx="0">
                  <c:v>2012/2013</c:v>
                </c:pt>
              </c:strCache>
            </c:strRef>
          </c:tx>
          <c:invertIfNegative val="0"/>
          <c:cat>
            <c:strRef>
              <c:f>PPP_2016_grafy!$B$4:$B$8</c:f>
              <c:strCache>
                <c:ptCount val="5"/>
                <c:pt idx="0">
                  <c:v>školní zralost</c:v>
                </c:pt>
                <c:pt idx="1">
                  <c:v>výukové problémy</c:v>
                </c:pt>
                <c:pt idx="2">
                  <c:v>výchovné problémy</c:v>
                </c:pt>
                <c:pt idx="3">
                  <c:v>profesní orientace</c:v>
                </c:pt>
                <c:pt idx="4">
                  <c:v>ostatní</c:v>
                </c:pt>
              </c:strCache>
            </c:strRef>
          </c:cat>
          <c:val>
            <c:numRef>
              <c:f>PPP_2016_grafy!$D$4:$D$8</c:f>
              <c:numCache>
                <c:formatCode>#,##0</c:formatCode>
                <c:ptCount val="5"/>
                <c:pt idx="0">
                  <c:v>1195</c:v>
                </c:pt>
                <c:pt idx="1">
                  <c:v>3884</c:v>
                </c:pt>
                <c:pt idx="2">
                  <c:v>681</c:v>
                </c:pt>
                <c:pt idx="3">
                  <c:v>311</c:v>
                </c:pt>
                <c:pt idx="4">
                  <c:v>766</c:v>
                </c:pt>
              </c:numCache>
            </c:numRef>
          </c:val>
        </c:ser>
        <c:ser>
          <c:idx val="1"/>
          <c:order val="1"/>
          <c:tx>
            <c:strRef>
              <c:f>PPP_2016_grafy!$E$3</c:f>
              <c:strCache>
                <c:ptCount val="1"/>
                <c:pt idx="0">
                  <c:v>2013/2014</c:v>
                </c:pt>
              </c:strCache>
            </c:strRef>
          </c:tx>
          <c:invertIfNegative val="0"/>
          <c:cat>
            <c:strRef>
              <c:f>PPP_2016_grafy!$B$4:$B$8</c:f>
              <c:strCache>
                <c:ptCount val="5"/>
                <c:pt idx="0">
                  <c:v>školní zralost</c:v>
                </c:pt>
                <c:pt idx="1">
                  <c:v>výukové problémy</c:v>
                </c:pt>
                <c:pt idx="2">
                  <c:v>výchovné problémy</c:v>
                </c:pt>
                <c:pt idx="3">
                  <c:v>profesní orientace</c:v>
                </c:pt>
                <c:pt idx="4">
                  <c:v>ostatní</c:v>
                </c:pt>
              </c:strCache>
            </c:strRef>
          </c:cat>
          <c:val>
            <c:numRef>
              <c:f>PPP_2016_grafy!$E$4:$E$8</c:f>
              <c:numCache>
                <c:formatCode>#,##0</c:formatCode>
                <c:ptCount val="5"/>
                <c:pt idx="0">
                  <c:v>1381</c:v>
                </c:pt>
                <c:pt idx="1">
                  <c:v>3803</c:v>
                </c:pt>
                <c:pt idx="2">
                  <c:v>498</c:v>
                </c:pt>
                <c:pt idx="3">
                  <c:v>207</c:v>
                </c:pt>
                <c:pt idx="4">
                  <c:v>1799</c:v>
                </c:pt>
              </c:numCache>
            </c:numRef>
          </c:val>
        </c:ser>
        <c:ser>
          <c:idx val="2"/>
          <c:order val="2"/>
          <c:tx>
            <c:strRef>
              <c:f>PPP_2016_grafy!$F$3</c:f>
              <c:strCache>
                <c:ptCount val="1"/>
                <c:pt idx="0">
                  <c:v>2014/2015</c:v>
                </c:pt>
              </c:strCache>
            </c:strRef>
          </c:tx>
          <c:invertIfNegative val="0"/>
          <c:cat>
            <c:strRef>
              <c:f>PPP_2016_grafy!$B$4:$B$8</c:f>
              <c:strCache>
                <c:ptCount val="5"/>
                <c:pt idx="0">
                  <c:v>školní zralost</c:v>
                </c:pt>
                <c:pt idx="1">
                  <c:v>výukové problémy</c:v>
                </c:pt>
                <c:pt idx="2">
                  <c:v>výchovné problémy</c:v>
                </c:pt>
                <c:pt idx="3">
                  <c:v>profesní orientace</c:v>
                </c:pt>
                <c:pt idx="4">
                  <c:v>ostatní</c:v>
                </c:pt>
              </c:strCache>
            </c:strRef>
          </c:cat>
          <c:val>
            <c:numRef>
              <c:f>PPP_2016_grafy!$F$4:$F$8</c:f>
              <c:numCache>
                <c:formatCode>#,##0</c:formatCode>
                <c:ptCount val="5"/>
                <c:pt idx="0">
                  <c:v>1259</c:v>
                </c:pt>
                <c:pt idx="1">
                  <c:v>3727</c:v>
                </c:pt>
                <c:pt idx="2">
                  <c:v>454</c:v>
                </c:pt>
                <c:pt idx="3">
                  <c:v>119</c:v>
                </c:pt>
                <c:pt idx="4">
                  <c:v>1674</c:v>
                </c:pt>
              </c:numCache>
            </c:numRef>
          </c:val>
        </c:ser>
        <c:ser>
          <c:idx val="3"/>
          <c:order val="3"/>
          <c:tx>
            <c:strRef>
              <c:f>PPP_2016_grafy!$G$3</c:f>
              <c:strCache>
                <c:ptCount val="1"/>
                <c:pt idx="0">
                  <c:v>2015/2016</c:v>
                </c:pt>
              </c:strCache>
            </c:strRef>
          </c:tx>
          <c:invertIfNegative val="0"/>
          <c:cat>
            <c:strRef>
              <c:f>PPP_2016_grafy!$B$4:$B$8</c:f>
              <c:strCache>
                <c:ptCount val="5"/>
                <c:pt idx="0">
                  <c:v>školní zralost</c:v>
                </c:pt>
                <c:pt idx="1">
                  <c:v>výukové problémy</c:v>
                </c:pt>
                <c:pt idx="2">
                  <c:v>výchovné problémy</c:v>
                </c:pt>
                <c:pt idx="3">
                  <c:v>profesní orientace</c:v>
                </c:pt>
                <c:pt idx="4">
                  <c:v>ostatní</c:v>
                </c:pt>
              </c:strCache>
            </c:strRef>
          </c:cat>
          <c:val>
            <c:numRef>
              <c:f>PPP_2016_grafy!$G$4:$G$8</c:f>
              <c:numCache>
                <c:formatCode>#,##0</c:formatCode>
                <c:ptCount val="5"/>
                <c:pt idx="0">
                  <c:v>1589</c:v>
                </c:pt>
                <c:pt idx="1">
                  <c:v>4014</c:v>
                </c:pt>
                <c:pt idx="2">
                  <c:v>483</c:v>
                </c:pt>
                <c:pt idx="3">
                  <c:v>114</c:v>
                </c:pt>
                <c:pt idx="4">
                  <c:v>1693</c:v>
                </c:pt>
              </c:numCache>
            </c:numRef>
          </c:val>
        </c:ser>
        <c:ser>
          <c:idx val="4"/>
          <c:order val="4"/>
          <c:tx>
            <c:strRef>
              <c:f>PPP_2016_grafy!$H$3</c:f>
              <c:strCache>
                <c:ptCount val="1"/>
                <c:pt idx="0">
                  <c:v>2016/2017</c:v>
                </c:pt>
              </c:strCache>
            </c:strRef>
          </c:tx>
          <c:invertIfNegative val="0"/>
          <c:cat>
            <c:strRef>
              <c:f>PPP_2016_grafy!$B$4:$B$8</c:f>
              <c:strCache>
                <c:ptCount val="5"/>
                <c:pt idx="0">
                  <c:v>školní zralost</c:v>
                </c:pt>
                <c:pt idx="1">
                  <c:v>výukové problémy</c:v>
                </c:pt>
                <c:pt idx="2">
                  <c:v>výchovné problémy</c:v>
                </c:pt>
                <c:pt idx="3">
                  <c:v>profesní orientace</c:v>
                </c:pt>
                <c:pt idx="4">
                  <c:v>ostatní</c:v>
                </c:pt>
              </c:strCache>
            </c:strRef>
          </c:cat>
          <c:val>
            <c:numRef>
              <c:f>PPP_2016_grafy!$H$4:$H$8</c:f>
              <c:numCache>
                <c:formatCode>#,##0</c:formatCode>
                <c:ptCount val="5"/>
                <c:pt idx="0">
                  <c:v>1194</c:v>
                </c:pt>
                <c:pt idx="1">
                  <c:v>4185</c:v>
                </c:pt>
                <c:pt idx="2">
                  <c:v>422</c:v>
                </c:pt>
                <c:pt idx="3">
                  <c:v>70</c:v>
                </c:pt>
                <c:pt idx="4">
                  <c:v>2258</c:v>
                </c:pt>
              </c:numCache>
            </c:numRef>
          </c:val>
        </c:ser>
        <c:dLbls>
          <c:showLegendKey val="0"/>
          <c:showVal val="0"/>
          <c:showCatName val="0"/>
          <c:showSerName val="0"/>
          <c:showPercent val="0"/>
          <c:showBubbleSize val="0"/>
        </c:dLbls>
        <c:gapWidth val="150"/>
        <c:axId val="248789248"/>
        <c:axId val="248795136"/>
      </c:barChart>
      <c:catAx>
        <c:axId val="248789248"/>
        <c:scaling>
          <c:orientation val="minMax"/>
        </c:scaling>
        <c:delete val="0"/>
        <c:axPos val="b"/>
        <c:majorTickMark val="out"/>
        <c:minorTickMark val="none"/>
        <c:tickLblPos val="nextTo"/>
        <c:txPr>
          <a:bodyPr/>
          <a:lstStyle/>
          <a:p>
            <a:pPr>
              <a:defRPr sz="1100"/>
            </a:pPr>
            <a:endParaRPr lang="cs-CZ"/>
          </a:p>
        </c:txPr>
        <c:crossAx val="248795136"/>
        <c:crosses val="autoZero"/>
        <c:auto val="1"/>
        <c:lblAlgn val="ctr"/>
        <c:lblOffset val="100"/>
        <c:noMultiLvlLbl val="0"/>
      </c:catAx>
      <c:valAx>
        <c:axId val="248795136"/>
        <c:scaling>
          <c:orientation val="minMax"/>
          <c:max val="4000"/>
        </c:scaling>
        <c:delete val="0"/>
        <c:axPos val="l"/>
        <c:majorGridlines/>
        <c:numFmt formatCode="#,##0" sourceLinked="1"/>
        <c:majorTickMark val="out"/>
        <c:minorTickMark val="none"/>
        <c:tickLblPos val="nextTo"/>
        <c:txPr>
          <a:bodyPr/>
          <a:lstStyle/>
          <a:p>
            <a:pPr>
              <a:defRPr sz="1100"/>
            </a:pPr>
            <a:endParaRPr lang="cs-CZ"/>
          </a:p>
        </c:txPr>
        <c:crossAx val="248789248"/>
        <c:crosses val="autoZero"/>
        <c:crossBetween val="between"/>
      </c:valAx>
      <c:spPr>
        <a:ln>
          <a:noFill/>
        </a:ln>
      </c:spPr>
    </c:plotArea>
    <c:legend>
      <c:legendPos val="b"/>
      <c:overlay val="0"/>
      <c:txPr>
        <a:bodyPr/>
        <a:lstStyle/>
        <a:p>
          <a:pPr>
            <a:defRPr sz="1100"/>
          </a:pPr>
          <a:endParaRPr lang="cs-CZ"/>
        </a:p>
      </c:txPr>
    </c:legend>
    <c:plotVisOnly val="1"/>
    <c:dispBlanksAs val="gap"/>
    <c:showDLblsOverMax val="0"/>
  </c:chart>
  <c:spPr>
    <a:ln>
      <a:solidFill>
        <a:schemeClr val="bg1">
          <a:lumMod val="50000"/>
        </a:schemeClr>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SPC_2016_grafy!$D$19</c:f>
              <c:strCache>
                <c:ptCount val="1"/>
                <c:pt idx="0">
                  <c:v>2012/2013</c:v>
                </c:pt>
              </c:strCache>
            </c:strRef>
          </c:tx>
          <c:invertIfNegative val="0"/>
          <c:cat>
            <c:strRef>
              <c:f>SPC_2016_grafy!$B$20:$B$27</c:f>
              <c:strCache>
                <c:ptCount val="8"/>
                <c:pt idx="0">
                  <c:v>mentální</c:v>
                </c:pt>
                <c:pt idx="1">
                  <c:v>sluchové</c:v>
                </c:pt>
                <c:pt idx="2">
                  <c:v>zrakové</c:v>
                </c:pt>
                <c:pt idx="3">
                  <c:v>vady řeči</c:v>
                </c:pt>
                <c:pt idx="4">
                  <c:v>tělesné</c:v>
                </c:pt>
                <c:pt idx="5">
                  <c:v>s více vadami</c:v>
                </c:pt>
                <c:pt idx="6">
                  <c:v>autisté</c:v>
                </c:pt>
                <c:pt idx="7">
                  <c:v>ostatní</c:v>
                </c:pt>
              </c:strCache>
            </c:strRef>
          </c:cat>
          <c:val>
            <c:numRef>
              <c:f>SPC_2016_grafy!$D$20:$D$27</c:f>
              <c:numCache>
                <c:formatCode>#,##0</c:formatCode>
                <c:ptCount val="8"/>
                <c:pt idx="0">
                  <c:v>369</c:v>
                </c:pt>
                <c:pt idx="1">
                  <c:v>145</c:v>
                </c:pt>
                <c:pt idx="2">
                  <c:v>102</c:v>
                </c:pt>
                <c:pt idx="3">
                  <c:v>1063</c:v>
                </c:pt>
                <c:pt idx="4">
                  <c:v>195</c:v>
                </c:pt>
                <c:pt idx="5">
                  <c:v>276</c:v>
                </c:pt>
                <c:pt idx="6">
                  <c:v>219</c:v>
                </c:pt>
                <c:pt idx="7">
                  <c:v>173</c:v>
                </c:pt>
              </c:numCache>
            </c:numRef>
          </c:val>
        </c:ser>
        <c:ser>
          <c:idx val="1"/>
          <c:order val="1"/>
          <c:tx>
            <c:strRef>
              <c:f>SPC_2016_grafy!$E$19</c:f>
              <c:strCache>
                <c:ptCount val="1"/>
                <c:pt idx="0">
                  <c:v>2013/2014</c:v>
                </c:pt>
              </c:strCache>
            </c:strRef>
          </c:tx>
          <c:invertIfNegative val="0"/>
          <c:cat>
            <c:strRef>
              <c:f>SPC_2016_grafy!$B$20:$B$27</c:f>
              <c:strCache>
                <c:ptCount val="8"/>
                <c:pt idx="0">
                  <c:v>mentální</c:v>
                </c:pt>
                <c:pt idx="1">
                  <c:v>sluchové</c:v>
                </c:pt>
                <c:pt idx="2">
                  <c:v>zrakové</c:v>
                </c:pt>
                <c:pt idx="3">
                  <c:v>vady řeči</c:v>
                </c:pt>
                <c:pt idx="4">
                  <c:v>tělesné</c:v>
                </c:pt>
                <c:pt idx="5">
                  <c:v>s více vadami</c:v>
                </c:pt>
                <c:pt idx="6">
                  <c:v>autisté</c:v>
                </c:pt>
                <c:pt idx="7">
                  <c:v>ostatní</c:v>
                </c:pt>
              </c:strCache>
            </c:strRef>
          </c:cat>
          <c:val>
            <c:numRef>
              <c:f>SPC_2016_grafy!$E$20:$E$27</c:f>
              <c:numCache>
                <c:formatCode>#,##0</c:formatCode>
                <c:ptCount val="8"/>
                <c:pt idx="0">
                  <c:v>294</c:v>
                </c:pt>
                <c:pt idx="1">
                  <c:v>156</c:v>
                </c:pt>
                <c:pt idx="2">
                  <c:v>113</c:v>
                </c:pt>
                <c:pt idx="3">
                  <c:v>1154</c:v>
                </c:pt>
                <c:pt idx="4">
                  <c:v>164</c:v>
                </c:pt>
                <c:pt idx="5">
                  <c:v>250</c:v>
                </c:pt>
                <c:pt idx="6">
                  <c:v>333</c:v>
                </c:pt>
                <c:pt idx="7">
                  <c:v>211</c:v>
                </c:pt>
              </c:numCache>
            </c:numRef>
          </c:val>
        </c:ser>
        <c:ser>
          <c:idx val="2"/>
          <c:order val="2"/>
          <c:tx>
            <c:strRef>
              <c:f>SPC_2016_grafy!$F$19</c:f>
              <c:strCache>
                <c:ptCount val="1"/>
                <c:pt idx="0">
                  <c:v>2014/2015</c:v>
                </c:pt>
              </c:strCache>
            </c:strRef>
          </c:tx>
          <c:invertIfNegative val="0"/>
          <c:cat>
            <c:strRef>
              <c:f>SPC_2016_grafy!$B$20:$B$27</c:f>
              <c:strCache>
                <c:ptCount val="8"/>
                <c:pt idx="0">
                  <c:v>mentální</c:v>
                </c:pt>
                <c:pt idx="1">
                  <c:v>sluchové</c:v>
                </c:pt>
                <c:pt idx="2">
                  <c:v>zrakové</c:v>
                </c:pt>
                <c:pt idx="3">
                  <c:v>vady řeči</c:v>
                </c:pt>
                <c:pt idx="4">
                  <c:v>tělesné</c:v>
                </c:pt>
                <c:pt idx="5">
                  <c:v>s více vadami</c:v>
                </c:pt>
                <c:pt idx="6">
                  <c:v>autisté</c:v>
                </c:pt>
                <c:pt idx="7">
                  <c:v>ostatní</c:v>
                </c:pt>
              </c:strCache>
            </c:strRef>
          </c:cat>
          <c:val>
            <c:numRef>
              <c:f>SPC_2016_grafy!$F$20:$F$27</c:f>
              <c:numCache>
                <c:formatCode>#,##0</c:formatCode>
                <c:ptCount val="8"/>
                <c:pt idx="0">
                  <c:v>296</c:v>
                </c:pt>
                <c:pt idx="1">
                  <c:v>171</c:v>
                </c:pt>
                <c:pt idx="2">
                  <c:v>130</c:v>
                </c:pt>
                <c:pt idx="3">
                  <c:v>1167</c:v>
                </c:pt>
                <c:pt idx="4">
                  <c:v>178</c:v>
                </c:pt>
                <c:pt idx="5">
                  <c:v>265</c:v>
                </c:pt>
                <c:pt idx="6">
                  <c:v>327</c:v>
                </c:pt>
                <c:pt idx="7">
                  <c:v>368</c:v>
                </c:pt>
              </c:numCache>
            </c:numRef>
          </c:val>
        </c:ser>
        <c:ser>
          <c:idx val="3"/>
          <c:order val="3"/>
          <c:tx>
            <c:strRef>
              <c:f>SPC_2016_grafy!$G$19</c:f>
              <c:strCache>
                <c:ptCount val="1"/>
                <c:pt idx="0">
                  <c:v>2015/2016</c:v>
                </c:pt>
              </c:strCache>
            </c:strRef>
          </c:tx>
          <c:invertIfNegative val="0"/>
          <c:cat>
            <c:strRef>
              <c:f>SPC_2016_grafy!$B$20:$B$27</c:f>
              <c:strCache>
                <c:ptCount val="8"/>
                <c:pt idx="0">
                  <c:v>mentální</c:v>
                </c:pt>
                <c:pt idx="1">
                  <c:v>sluchové</c:v>
                </c:pt>
                <c:pt idx="2">
                  <c:v>zrakové</c:v>
                </c:pt>
                <c:pt idx="3">
                  <c:v>vady řeči</c:v>
                </c:pt>
                <c:pt idx="4">
                  <c:v>tělesné</c:v>
                </c:pt>
                <c:pt idx="5">
                  <c:v>s více vadami</c:v>
                </c:pt>
                <c:pt idx="6">
                  <c:v>autisté</c:v>
                </c:pt>
                <c:pt idx="7">
                  <c:v>ostatní</c:v>
                </c:pt>
              </c:strCache>
            </c:strRef>
          </c:cat>
          <c:val>
            <c:numRef>
              <c:f>SPC_2016_grafy!$G$20:$G$27</c:f>
              <c:numCache>
                <c:formatCode>#,##0</c:formatCode>
                <c:ptCount val="8"/>
                <c:pt idx="0">
                  <c:v>192</c:v>
                </c:pt>
                <c:pt idx="1">
                  <c:v>167</c:v>
                </c:pt>
                <c:pt idx="2">
                  <c:v>108</c:v>
                </c:pt>
                <c:pt idx="3">
                  <c:v>1173</c:v>
                </c:pt>
                <c:pt idx="4">
                  <c:v>158</c:v>
                </c:pt>
                <c:pt idx="5">
                  <c:v>292</c:v>
                </c:pt>
                <c:pt idx="6">
                  <c:v>197</c:v>
                </c:pt>
                <c:pt idx="7">
                  <c:v>179</c:v>
                </c:pt>
              </c:numCache>
            </c:numRef>
          </c:val>
        </c:ser>
        <c:ser>
          <c:idx val="4"/>
          <c:order val="4"/>
          <c:tx>
            <c:strRef>
              <c:f>SPC_2016_grafy!$H$19</c:f>
              <c:strCache>
                <c:ptCount val="1"/>
                <c:pt idx="0">
                  <c:v>2016/2017</c:v>
                </c:pt>
              </c:strCache>
            </c:strRef>
          </c:tx>
          <c:invertIfNegative val="0"/>
          <c:cat>
            <c:strRef>
              <c:f>SPC_2016_grafy!$B$20:$B$27</c:f>
              <c:strCache>
                <c:ptCount val="8"/>
                <c:pt idx="0">
                  <c:v>mentální</c:v>
                </c:pt>
                <c:pt idx="1">
                  <c:v>sluchové</c:v>
                </c:pt>
                <c:pt idx="2">
                  <c:v>zrakové</c:v>
                </c:pt>
                <c:pt idx="3">
                  <c:v>vady řeči</c:v>
                </c:pt>
                <c:pt idx="4">
                  <c:v>tělesné</c:v>
                </c:pt>
                <c:pt idx="5">
                  <c:v>s více vadami</c:v>
                </c:pt>
                <c:pt idx="6">
                  <c:v>autisté</c:v>
                </c:pt>
                <c:pt idx="7">
                  <c:v>ostatní</c:v>
                </c:pt>
              </c:strCache>
            </c:strRef>
          </c:cat>
          <c:val>
            <c:numRef>
              <c:f>SPC_2016_grafy!$H$20:$H$27</c:f>
              <c:numCache>
                <c:formatCode>#,##0</c:formatCode>
                <c:ptCount val="8"/>
                <c:pt idx="0">
                  <c:v>179</c:v>
                </c:pt>
                <c:pt idx="1">
                  <c:v>127</c:v>
                </c:pt>
                <c:pt idx="2">
                  <c:v>144</c:v>
                </c:pt>
                <c:pt idx="3">
                  <c:v>1167</c:v>
                </c:pt>
                <c:pt idx="4">
                  <c:v>137</c:v>
                </c:pt>
                <c:pt idx="5">
                  <c:v>438</c:v>
                </c:pt>
                <c:pt idx="6">
                  <c:v>46</c:v>
                </c:pt>
                <c:pt idx="7">
                  <c:v>112</c:v>
                </c:pt>
              </c:numCache>
            </c:numRef>
          </c:val>
        </c:ser>
        <c:dLbls>
          <c:showLegendKey val="0"/>
          <c:showVal val="0"/>
          <c:showCatName val="0"/>
          <c:showSerName val="0"/>
          <c:showPercent val="0"/>
          <c:showBubbleSize val="0"/>
        </c:dLbls>
        <c:gapWidth val="150"/>
        <c:axId val="248820096"/>
        <c:axId val="248821632"/>
      </c:barChart>
      <c:catAx>
        <c:axId val="248820096"/>
        <c:scaling>
          <c:orientation val="minMax"/>
        </c:scaling>
        <c:delete val="0"/>
        <c:axPos val="b"/>
        <c:majorTickMark val="out"/>
        <c:minorTickMark val="none"/>
        <c:tickLblPos val="nextTo"/>
        <c:txPr>
          <a:bodyPr/>
          <a:lstStyle/>
          <a:p>
            <a:pPr>
              <a:defRPr sz="1100"/>
            </a:pPr>
            <a:endParaRPr lang="cs-CZ"/>
          </a:p>
        </c:txPr>
        <c:crossAx val="248821632"/>
        <c:crosses val="autoZero"/>
        <c:auto val="1"/>
        <c:lblAlgn val="ctr"/>
        <c:lblOffset val="100"/>
        <c:noMultiLvlLbl val="0"/>
      </c:catAx>
      <c:valAx>
        <c:axId val="248821632"/>
        <c:scaling>
          <c:orientation val="minMax"/>
          <c:max val="1200"/>
        </c:scaling>
        <c:delete val="0"/>
        <c:axPos val="l"/>
        <c:majorGridlines/>
        <c:numFmt formatCode="#,##0" sourceLinked="1"/>
        <c:majorTickMark val="out"/>
        <c:minorTickMark val="none"/>
        <c:tickLblPos val="nextTo"/>
        <c:txPr>
          <a:bodyPr/>
          <a:lstStyle/>
          <a:p>
            <a:pPr>
              <a:defRPr sz="1100"/>
            </a:pPr>
            <a:endParaRPr lang="cs-CZ"/>
          </a:p>
        </c:txPr>
        <c:crossAx val="248820096"/>
        <c:crosses val="autoZero"/>
        <c:crossBetween val="between"/>
      </c:valAx>
    </c:plotArea>
    <c:legend>
      <c:legendPos val="b"/>
      <c:overlay val="0"/>
    </c:legend>
    <c:plotVisOnly val="1"/>
    <c:dispBlanksAs val="gap"/>
    <c:showDLblsOverMax val="0"/>
  </c:chart>
  <c:spPr>
    <a:ln>
      <a:solidFill>
        <a:schemeClr val="bg1">
          <a:lumMod val="50000"/>
        </a:schemeClr>
      </a:solid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howLegendKey val="0"/>
            <c:showVal val="1"/>
            <c:showCatName val="0"/>
            <c:showSerName val="0"/>
            <c:showPercent val="0"/>
            <c:showBubbleSize val="0"/>
            <c:showLeaderLines val="1"/>
          </c:dLbls>
          <c:cat>
            <c:strRef>
              <c:f>List1!$C$7:$C$11</c:f>
              <c:strCache>
                <c:ptCount val="5"/>
                <c:pt idx="0">
                  <c:v>bez postižení</c:v>
                </c:pt>
                <c:pt idx="1">
                  <c:v>mentálně postižení</c:v>
                </c:pt>
                <c:pt idx="2">
                  <c:v>sluchově postižení</c:v>
                </c:pt>
                <c:pt idx="3">
                  <c:v>autisté</c:v>
                </c:pt>
                <c:pt idx="4">
                  <c:v>souběžné postižení více vadami</c:v>
                </c:pt>
              </c:strCache>
            </c:strRef>
          </c:cat>
          <c:val>
            <c:numRef>
              <c:f>List1!$D$7:$D$11</c:f>
              <c:numCache>
                <c:formatCode>General</c:formatCode>
                <c:ptCount val="5"/>
                <c:pt idx="0">
                  <c:v>122</c:v>
                </c:pt>
                <c:pt idx="1">
                  <c:v>59</c:v>
                </c:pt>
                <c:pt idx="2">
                  <c:v>1</c:v>
                </c:pt>
                <c:pt idx="3">
                  <c:v>1</c:v>
                </c:pt>
                <c:pt idx="4">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List1!$B$8</c:f>
              <c:strCache>
                <c:ptCount val="1"/>
                <c:pt idx="0">
                  <c:v>Děti před zahájením povinné školní docházky</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cs-CZ"/>
              </a:p>
            </c:txPr>
            <c:showLegendKey val="0"/>
            <c:showVal val="1"/>
            <c:showCatName val="0"/>
            <c:showSerName val="0"/>
            <c:showPercent val="0"/>
            <c:showBubbleSize val="0"/>
            <c:showLeaderLines val="0"/>
          </c:dLbls>
          <c:cat>
            <c:strRef>
              <c:f>List1!$C$7:$E$7</c:f>
              <c:strCache>
                <c:ptCount val="3"/>
                <c:pt idx="0">
                  <c:v>2014/2015</c:v>
                </c:pt>
                <c:pt idx="1">
                  <c:v>2015/2016</c:v>
                </c:pt>
                <c:pt idx="2">
                  <c:v>2016/2017</c:v>
                </c:pt>
              </c:strCache>
            </c:strRef>
          </c:cat>
          <c:val>
            <c:numRef>
              <c:f>List1!$C$8:$E$8</c:f>
              <c:numCache>
                <c:formatCode>0.00%</c:formatCode>
                <c:ptCount val="3"/>
                <c:pt idx="0">
                  <c:v>0.1011</c:v>
                </c:pt>
                <c:pt idx="1">
                  <c:v>0.16669999999999999</c:v>
                </c:pt>
                <c:pt idx="2">
                  <c:v>0.16389999999999999</c:v>
                </c:pt>
              </c:numCache>
            </c:numRef>
          </c:val>
        </c:ser>
        <c:ser>
          <c:idx val="1"/>
          <c:order val="1"/>
          <c:tx>
            <c:strRef>
              <c:f>List1!$B$9</c:f>
              <c:strCache>
                <c:ptCount val="1"/>
                <c:pt idx="0">
                  <c:v>Děti plnící povinnou školní docházku</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cs-CZ"/>
              </a:p>
            </c:txPr>
            <c:showLegendKey val="0"/>
            <c:showVal val="1"/>
            <c:showCatName val="0"/>
            <c:showSerName val="0"/>
            <c:showPercent val="0"/>
            <c:showBubbleSize val="0"/>
            <c:showLeaderLines val="0"/>
          </c:dLbls>
          <c:cat>
            <c:strRef>
              <c:f>List1!$C$7:$E$7</c:f>
              <c:strCache>
                <c:ptCount val="3"/>
                <c:pt idx="0">
                  <c:v>2014/2015</c:v>
                </c:pt>
                <c:pt idx="1">
                  <c:v>2015/2016</c:v>
                </c:pt>
                <c:pt idx="2">
                  <c:v>2016/2017</c:v>
                </c:pt>
              </c:strCache>
            </c:strRef>
          </c:cat>
          <c:val>
            <c:numRef>
              <c:f>List1!$C$9:$E$9</c:f>
              <c:numCache>
                <c:formatCode>0.00%</c:formatCode>
                <c:ptCount val="3"/>
                <c:pt idx="0">
                  <c:v>0.57450000000000001</c:v>
                </c:pt>
                <c:pt idx="1">
                  <c:v>0.59799999999999998</c:v>
                </c:pt>
                <c:pt idx="2">
                  <c:v>0.60660000000000003</c:v>
                </c:pt>
              </c:numCache>
            </c:numRef>
          </c:val>
        </c:ser>
        <c:ser>
          <c:idx val="2"/>
          <c:order val="2"/>
          <c:tx>
            <c:strRef>
              <c:f>List1!$B$10</c:f>
              <c:strCache>
                <c:ptCount val="1"/>
                <c:pt idx="0">
                  <c:v>Děti po ukončení povinné školní docházky</c:v>
                </c:pt>
              </c:strCache>
            </c:strRef>
          </c:tx>
          <c:invertIfNegative val="0"/>
          <c:dLbls>
            <c:txPr>
              <a:bodyPr/>
              <a:lstStyle/>
              <a:p>
                <a:pPr>
                  <a:defRPr sz="1000">
                    <a:latin typeface="Times New Roman" panose="02020603050405020304" pitchFamily="18" charset="0"/>
                    <a:cs typeface="Times New Roman" panose="02020603050405020304" pitchFamily="18" charset="0"/>
                  </a:defRPr>
                </a:pPr>
                <a:endParaRPr lang="cs-CZ"/>
              </a:p>
            </c:txPr>
            <c:showLegendKey val="0"/>
            <c:showVal val="1"/>
            <c:showCatName val="0"/>
            <c:showSerName val="0"/>
            <c:showPercent val="0"/>
            <c:showBubbleSize val="0"/>
            <c:showLeaderLines val="0"/>
          </c:dLbls>
          <c:cat>
            <c:strRef>
              <c:f>List1!$C$7:$E$7</c:f>
              <c:strCache>
                <c:ptCount val="3"/>
                <c:pt idx="0">
                  <c:v>2014/2015</c:v>
                </c:pt>
                <c:pt idx="1">
                  <c:v>2015/2016</c:v>
                </c:pt>
                <c:pt idx="2">
                  <c:v>2016/2017</c:v>
                </c:pt>
              </c:strCache>
            </c:strRef>
          </c:cat>
          <c:val>
            <c:numRef>
              <c:f>List1!$C$10:$E$10</c:f>
              <c:numCache>
                <c:formatCode>0.00%</c:formatCode>
                <c:ptCount val="3"/>
                <c:pt idx="0">
                  <c:v>0.32450000000000001</c:v>
                </c:pt>
                <c:pt idx="1">
                  <c:v>0.23530000000000001</c:v>
                </c:pt>
                <c:pt idx="2">
                  <c:v>0.22950000000000001</c:v>
                </c:pt>
              </c:numCache>
            </c:numRef>
          </c:val>
        </c:ser>
        <c:dLbls>
          <c:showLegendKey val="0"/>
          <c:showVal val="0"/>
          <c:showCatName val="0"/>
          <c:showSerName val="0"/>
          <c:showPercent val="0"/>
          <c:showBubbleSize val="0"/>
        </c:dLbls>
        <c:gapWidth val="150"/>
        <c:overlap val="100"/>
        <c:axId val="253184640"/>
        <c:axId val="253194624"/>
      </c:barChart>
      <c:catAx>
        <c:axId val="253184640"/>
        <c:scaling>
          <c:orientation val="minMax"/>
        </c:scaling>
        <c:delete val="0"/>
        <c:axPos val="b"/>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cs-CZ"/>
          </a:p>
        </c:txPr>
        <c:crossAx val="253194624"/>
        <c:crosses val="autoZero"/>
        <c:auto val="1"/>
        <c:lblAlgn val="ctr"/>
        <c:lblOffset val="100"/>
        <c:noMultiLvlLbl val="0"/>
      </c:catAx>
      <c:valAx>
        <c:axId val="253194624"/>
        <c:scaling>
          <c:orientation val="minMax"/>
        </c:scaling>
        <c:delete val="0"/>
        <c:axPos val="l"/>
        <c:majorGridlines/>
        <c:numFmt formatCode="0%"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cs-CZ"/>
          </a:p>
        </c:txPr>
        <c:crossAx val="253184640"/>
        <c:crosses val="autoZero"/>
        <c:crossBetween val="between"/>
      </c:valAx>
    </c:plotArea>
    <c:legend>
      <c:legendPos val="r"/>
      <c:overlay val="0"/>
      <c:txPr>
        <a:bodyPr/>
        <a:lstStyle/>
        <a:p>
          <a:pPr>
            <a:defRPr sz="1100">
              <a:latin typeface="Times New Roman" panose="02020603050405020304" pitchFamily="18" charset="0"/>
              <a:cs typeface="Times New Roman" panose="02020603050405020304" pitchFamily="18" charset="0"/>
            </a:defRPr>
          </a:pPr>
          <a:endParaRPr lang="cs-CZ"/>
        </a:p>
      </c:txPr>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List1!$C$8:$C$14</c:f>
              <c:strCache>
                <c:ptCount val="7"/>
                <c:pt idx="0">
                  <c:v>Dětský domov, Česká Lípa</c:v>
                </c:pt>
                <c:pt idx="1">
                  <c:v>Dětský domov, Dubá - Deštná</c:v>
                </c:pt>
                <c:pt idx="2">
                  <c:v>Dětský domov, Frýdlant</c:v>
                </c:pt>
                <c:pt idx="3">
                  <c:v>Dětský domov, Jablonec nad Nisou</c:v>
                </c:pt>
                <c:pt idx="4">
                  <c:v>Dětský domov, Jablonné v Podještědí</c:v>
                </c:pt>
                <c:pt idx="5">
                  <c:v>Dětský domov, Základní škola a Mateřská škola, Krompach</c:v>
                </c:pt>
                <c:pt idx="6">
                  <c:v>Dětský domov, Semily</c:v>
                </c:pt>
              </c:strCache>
            </c:strRef>
          </c:cat>
          <c:val>
            <c:numRef>
              <c:f>List1!$F$8:$F$14</c:f>
              <c:numCache>
                <c:formatCode>0.00%</c:formatCode>
                <c:ptCount val="7"/>
                <c:pt idx="0">
                  <c:v>0.75</c:v>
                </c:pt>
                <c:pt idx="1">
                  <c:v>0.8</c:v>
                </c:pt>
                <c:pt idx="2">
                  <c:v>0.71875</c:v>
                </c:pt>
                <c:pt idx="3">
                  <c:v>0.90909090909090906</c:v>
                </c:pt>
                <c:pt idx="4">
                  <c:v>0.79166666666666663</c:v>
                </c:pt>
                <c:pt idx="5">
                  <c:v>0.875</c:v>
                </c:pt>
                <c:pt idx="6">
                  <c:v>0.6875</c:v>
                </c:pt>
              </c:numCache>
            </c:numRef>
          </c:val>
        </c:ser>
        <c:dLbls>
          <c:showLegendKey val="0"/>
          <c:showVal val="0"/>
          <c:showCatName val="0"/>
          <c:showSerName val="0"/>
          <c:showPercent val="0"/>
          <c:showBubbleSize val="0"/>
        </c:dLbls>
        <c:gapWidth val="150"/>
        <c:axId val="253227392"/>
        <c:axId val="253228928"/>
      </c:barChart>
      <c:catAx>
        <c:axId val="253227392"/>
        <c:scaling>
          <c:orientation val="minMax"/>
        </c:scaling>
        <c:delete val="0"/>
        <c:axPos val="b"/>
        <c:majorTickMark val="out"/>
        <c:minorTickMark val="none"/>
        <c:tickLblPos val="nextTo"/>
        <c:txPr>
          <a:bodyPr/>
          <a:lstStyle/>
          <a:p>
            <a:pPr>
              <a:defRPr sz="900" baseline="0"/>
            </a:pPr>
            <a:endParaRPr lang="cs-CZ"/>
          </a:p>
        </c:txPr>
        <c:crossAx val="253228928"/>
        <c:crosses val="autoZero"/>
        <c:auto val="1"/>
        <c:lblAlgn val="ctr"/>
        <c:lblOffset val="100"/>
        <c:noMultiLvlLbl val="0"/>
      </c:catAx>
      <c:valAx>
        <c:axId val="253228928"/>
        <c:scaling>
          <c:orientation val="minMax"/>
        </c:scaling>
        <c:delete val="0"/>
        <c:axPos val="l"/>
        <c:majorGridlines/>
        <c:numFmt formatCode="0.00%" sourceLinked="1"/>
        <c:majorTickMark val="out"/>
        <c:minorTickMark val="none"/>
        <c:tickLblPos val="nextTo"/>
        <c:crossAx val="2532273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394463667820071E-2"/>
          <c:y val="0.1019286488696864"/>
          <c:w val="0.86159169550173009"/>
          <c:h val="0.60606223652245961"/>
        </c:manualLayout>
      </c:layout>
      <c:barChart>
        <c:barDir val="col"/>
        <c:grouping val="stacked"/>
        <c:varyColors val="0"/>
        <c:ser>
          <c:idx val="2"/>
          <c:order val="0"/>
          <c:tx>
            <c:strRef>
              <c:f>'ODBORNÁ ZPŮSOBILOST_ČÁST 2'!$CB$6</c:f>
              <c:strCache>
                <c:ptCount val="1"/>
                <c:pt idx="0">
                  <c:v>s kvalifikací</c:v>
                </c:pt>
              </c:strCache>
            </c:strRef>
          </c:tx>
          <c:spPr>
            <a:solidFill>
              <a:srgbClr val="9F60CE"/>
            </a:solidFill>
            <a:ln w="25400">
              <a:noFill/>
            </a:ln>
          </c:spPr>
          <c:invertIfNegative val="0"/>
          <c:dLbls>
            <c:dLbl>
              <c:idx val="2"/>
              <c:layout>
                <c:manualLayout>
                  <c:x val="0"/>
                  <c:y val="-4.3596717773615172E-2"/>
                </c:manualLayout>
              </c:layout>
              <c:dLblPos val="ctr"/>
              <c:showLegendKey val="0"/>
              <c:showVal val="1"/>
              <c:showCatName val="0"/>
              <c:showSerName val="0"/>
              <c:showPercent val="0"/>
              <c:showBubbleSize val="0"/>
            </c:dLbl>
            <c:dLbl>
              <c:idx val="3"/>
              <c:layout>
                <c:manualLayout>
                  <c:x val="0"/>
                  <c:y val="-4.3596717773615172E-2"/>
                </c:manualLayout>
              </c:layout>
              <c:dLblPos val="ctr"/>
              <c:showLegendKey val="0"/>
              <c:showVal val="1"/>
              <c:showCatName val="0"/>
              <c:showSerName val="0"/>
              <c:showPercent val="0"/>
              <c:showBubbleSize val="0"/>
            </c:dLbl>
            <c:spPr>
              <a:noFill/>
              <a:ln w="25400">
                <a:noFill/>
              </a:ln>
            </c:spPr>
            <c:txPr>
              <a:bodyPr rot="-5400000" vert="horz"/>
              <a:lstStyle/>
              <a:p>
                <a:pPr algn="ctr">
                  <a:defRPr sz="800" b="0" i="0" u="none" strike="noStrike" baseline="0">
                    <a:solidFill>
                      <a:sysClr val="windowText" lastClr="000000"/>
                    </a:solidFill>
                    <a:latin typeface="Arial"/>
                    <a:ea typeface="Arial"/>
                    <a:cs typeface="Arial"/>
                  </a:defRPr>
                </a:pPr>
                <a:endParaRPr lang="cs-CZ"/>
              </a:p>
            </c:txPr>
            <c:dLblPos val="ctr"/>
            <c:showLegendKey val="0"/>
            <c:showVal val="1"/>
            <c:showCatName val="0"/>
            <c:showSerName val="0"/>
            <c:showPercent val="0"/>
            <c:showBubbleSize val="0"/>
            <c:showLeaderLines val="0"/>
          </c:dLbls>
          <c:cat>
            <c:strRef>
              <c:f>'ODBORNÁ ZPŮSOBILOST_ČÁST 2'!$A$7:$C$13</c:f>
              <c:strCache>
                <c:ptCount val="7"/>
                <c:pt idx="0">
                  <c:v>výchovný poradce</c:v>
                </c:pt>
                <c:pt idx="1">
                  <c:v>školní metodik prevence</c:v>
                </c:pt>
                <c:pt idx="2">
                  <c:v>školní speciální pedagog</c:v>
                </c:pt>
                <c:pt idx="3">
                  <c:v>školní psycholog</c:v>
                </c:pt>
                <c:pt idx="4">
                  <c:v>koordinátor školního vzdělávacího programu a vzdělávacích programů VOŠ</c:v>
                </c:pt>
                <c:pt idx="5">
                  <c:v>koordinátor informačních a komunikačních technologií</c:v>
                </c:pt>
                <c:pt idx="6">
                  <c:v>koordinátor environmentální výchovy</c:v>
                </c:pt>
              </c:strCache>
            </c:strRef>
          </c:cat>
          <c:val>
            <c:numRef>
              <c:f>('ODBORNÁ ZPŮSOBILOST_ČÁST 2'!$CB$7;'ODBORNÁ ZPŮSOBILOST_ČÁST 2'!$CB$8;'ODBORNÁ ZPŮSOBILOST_ČÁST 2'!$CB$9;'ODBORNÁ ZPŮSOBILOST_ČÁST 2'!$CB$10;'ODBORNÁ ZPŮSOBILOST_ČÁST 2'!$CB$11;'ODBORNÁ ZPŮSOBILOST_ČÁST 2'!$CB$12;'ODBORNÁ ZPŮSOBILOST_ČÁST 2'!$CB$13)</c:f>
              <c:numCache>
                <c:formatCode>0.00"%"</c:formatCode>
                <c:ptCount val="7"/>
                <c:pt idx="0">
                  <c:v>82.978723404255319</c:v>
                </c:pt>
                <c:pt idx="1">
                  <c:v>61.111111111111114</c:v>
                </c:pt>
                <c:pt idx="2">
                  <c:v>100</c:v>
                </c:pt>
                <c:pt idx="3">
                  <c:v>100</c:v>
                </c:pt>
                <c:pt idx="4">
                  <c:v>60.526315789473685</c:v>
                </c:pt>
                <c:pt idx="5">
                  <c:v>73.913043478260875</c:v>
                </c:pt>
                <c:pt idx="6">
                  <c:v>54.545454545454547</c:v>
                </c:pt>
              </c:numCache>
            </c:numRef>
          </c:val>
        </c:ser>
        <c:ser>
          <c:idx val="3"/>
          <c:order val="1"/>
          <c:tx>
            <c:strRef>
              <c:f>'ODBORNÁ ZPŮSOBILOST_ČÁST 2'!$CC$6</c:f>
              <c:strCache>
                <c:ptCount val="1"/>
                <c:pt idx="0">
                  <c:v>bez kvalifikace</c:v>
                </c:pt>
              </c:strCache>
            </c:strRef>
          </c:tx>
          <c:spPr>
            <a:solidFill>
              <a:srgbClr val="FFC000"/>
            </a:solidFill>
            <a:ln w="25400">
              <a:noFill/>
            </a:ln>
          </c:spPr>
          <c:invertIfNegative val="0"/>
          <c:dLbls>
            <c:dLbl>
              <c:idx val="0"/>
              <c:layout>
                <c:manualLayout>
                  <c:x val="1.9408054342552159E-3"/>
                  <c:y val="-2.1798358886807586E-2"/>
                </c:manualLayout>
              </c:layout>
              <c:dLblPos val="ctr"/>
              <c:showLegendKey val="0"/>
              <c:showVal val="1"/>
              <c:showCatName val="0"/>
              <c:showSerName val="0"/>
              <c:showPercent val="0"/>
              <c:showBubbleSize val="0"/>
            </c:dLbl>
            <c:dLbl>
              <c:idx val="1"/>
              <c:layout>
                <c:manualLayout>
                  <c:x val="0"/>
                  <c:y val="-1.8165299072339658E-2"/>
                </c:manualLayout>
              </c:layout>
              <c:dLblPos val="ctr"/>
              <c:showLegendKey val="0"/>
              <c:showVal val="1"/>
              <c:showCatName val="0"/>
              <c:showSerName val="0"/>
              <c:showPercent val="0"/>
              <c:showBubbleSize val="0"/>
            </c:dLbl>
            <c:dLbl>
              <c:idx val="2"/>
              <c:delete val="1"/>
            </c:dLbl>
            <c:dLbl>
              <c:idx val="3"/>
              <c:delete val="1"/>
            </c:dLbl>
            <c:dLbl>
              <c:idx val="4"/>
              <c:layout>
                <c:manualLayout>
                  <c:x val="1.9408054342552159E-3"/>
                  <c:y val="-2.1798358886807586E-2"/>
                </c:manualLayout>
              </c:layout>
              <c:dLblPos val="ctr"/>
              <c:showLegendKey val="0"/>
              <c:showVal val="1"/>
              <c:showCatName val="0"/>
              <c:showSerName val="0"/>
              <c:showPercent val="0"/>
              <c:showBubbleSize val="0"/>
            </c:dLbl>
            <c:dLbl>
              <c:idx val="5"/>
              <c:layout>
                <c:manualLayout>
                  <c:x val="0"/>
                  <c:y val="-3.2697538330211384E-2"/>
                </c:manualLayout>
              </c:layout>
              <c:dLblPos val="ctr"/>
              <c:showLegendKey val="0"/>
              <c:showVal val="1"/>
              <c:showCatName val="0"/>
              <c:showSerName val="0"/>
              <c:showPercent val="0"/>
              <c:showBubbleSize val="0"/>
            </c:dLbl>
            <c:dLbl>
              <c:idx val="6"/>
              <c:layout>
                <c:manualLayout>
                  <c:x val="0"/>
                  <c:y val="-2.1798358886807586E-2"/>
                </c:manualLayout>
              </c:layout>
              <c:dLblPos val="ctr"/>
              <c:showLegendKey val="0"/>
              <c:showVal val="1"/>
              <c:showCatName val="0"/>
              <c:showSerName val="0"/>
              <c:showPercent val="0"/>
              <c:showBubbleSize val="0"/>
            </c:dLbl>
            <c:spPr>
              <a:noFill/>
              <a:ln w="25400">
                <a:noFill/>
              </a:ln>
            </c:spPr>
            <c:txPr>
              <a:bodyPr rot="-5400000" vert="horz"/>
              <a:lstStyle/>
              <a:p>
                <a:pPr algn="ctr">
                  <a:defRPr sz="800" b="0" i="0" u="none" strike="noStrike" baseline="0">
                    <a:solidFill>
                      <a:srgbClr val="000000"/>
                    </a:solidFill>
                    <a:latin typeface="Arial"/>
                    <a:ea typeface="Arial"/>
                    <a:cs typeface="Arial"/>
                  </a:defRPr>
                </a:pPr>
                <a:endParaRPr lang="cs-CZ"/>
              </a:p>
            </c:txPr>
            <c:dLblPos val="ctr"/>
            <c:showLegendKey val="0"/>
            <c:showVal val="1"/>
            <c:showCatName val="0"/>
            <c:showSerName val="0"/>
            <c:showPercent val="0"/>
            <c:showBubbleSize val="0"/>
            <c:showLeaderLines val="0"/>
          </c:dLbls>
          <c:cat>
            <c:strRef>
              <c:f>'ODBORNÁ ZPŮSOBILOST_ČÁST 2'!$A$7:$C$13</c:f>
              <c:strCache>
                <c:ptCount val="7"/>
                <c:pt idx="0">
                  <c:v>výchovný poradce</c:v>
                </c:pt>
                <c:pt idx="1">
                  <c:v>školní metodik prevence</c:v>
                </c:pt>
                <c:pt idx="2">
                  <c:v>školní speciální pedagog</c:v>
                </c:pt>
                <c:pt idx="3">
                  <c:v>školní psycholog</c:v>
                </c:pt>
                <c:pt idx="4">
                  <c:v>koordinátor školního vzdělávacího programu a vzdělávacích programů VOŠ</c:v>
                </c:pt>
                <c:pt idx="5">
                  <c:v>koordinátor informačních a komunikačních technologií</c:v>
                </c:pt>
                <c:pt idx="6">
                  <c:v>koordinátor environmentální výchovy</c:v>
                </c:pt>
              </c:strCache>
            </c:strRef>
          </c:cat>
          <c:val>
            <c:numRef>
              <c:f>('ODBORNÁ ZPŮSOBILOST_ČÁST 2'!$CC$7;'ODBORNÁ ZPŮSOBILOST_ČÁST 2'!$CC$8;'ODBORNÁ ZPŮSOBILOST_ČÁST 2'!$CC$9;'ODBORNÁ ZPŮSOBILOST_ČÁST 2'!$CC$10;'ODBORNÁ ZPŮSOBILOST_ČÁST 2'!$CC$11;'ODBORNÁ ZPŮSOBILOST_ČÁST 2'!$CC$12;'ODBORNÁ ZPŮSOBILOST_ČÁST 2'!$CC$13)</c:f>
              <c:numCache>
                <c:formatCode>0.00"%"</c:formatCode>
                <c:ptCount val="7"/>
                <c:pt idx="0">
                  <c:v>17.021276595744681</c:v>
                </c:pt>
                <c:pt idx="1">
                  <c:v>38.888888888888886</c:v>
                </c:pt>
                <c:pt idx="2">
                  <c:v>0</c:v>
                </c:pt>
                <c:pt idx="3">
                  <c:v>0</c:v>
                </c:pt>
                <c:pt idx="4">
                  <c:v>39.473684210526315</c:v>
                </c:pt>
                <c:pt idx="5">
                  <c:v>26.086956521739129</c:v>
                </c:pt>
                <c:pt idx="6">
                  <c:v>45.454545454545453</c:v>
                </c:pt>
              </c:numCache>
            </c:numRef>
          </c:val>
        </c:ser>
        <c:dLbls>
          <c:showLegendKey val="0"/>
          <c:showVal val="0"/>
          <c:showCatName val="0"/>
          <c:showSerName val="0"/>
          <c:showPercent val="0"/>
          <c:showBubbleSize val="0"/>
        </c:dLbls>
        <c:gapWidth val="200"/>
        <c:overlap val="100"/>
        <c:axId val="242515328"/>
        <c:axId val="242517120"/>
      </c:barChart>
      <c:catAx>
        <c:axId val="2425153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cs-CZ"/>
          </a:p>
        </c:txPr>
        <c:crossAx val="242517120"/>
        <c:crosses val="autoZero"/>
        <c:auto val="1"/>
        <c:lblAlgn val="ctr"/>
        <c:lblOffset val="100"/>
        <c:tickLblSkip val="1"/>
        <c:tickMarkSkip val="1"/>
        <c:noMultiLvlLbl val="0"/>
      </c:catAx>
      <c:valAx>
        <c:axId val="242517120"/>
        <c:scaling>
          <c:orientation val="minMax"/>
          <c:max val="100"/>
        </c:scaling>
        <c:delete val="0"/>
        <c:axPos val="l"/>
        <c:majorGridlines>
          <c:spPr>
            <a:ln w="3175">
              <a:solidFill>
                <a:srgbClr val="C0C0C0"/>
              </a:solidFill>
              <a:prstDash val="solid"/>
            </a:ln>
          </c:spPr>
        </c:majorGridlines>
        <c:numFmt formatCode="0&quot;%&quot;"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cs-CZ"/>
          </a:p>
        </c:txPr>
        <c:crossAx val="242515328"/>
        <c:crosses val="autoZero"/>
        <c:crossBetween val="between"/>
        <c:majorUnit val="20"/>
      </c:valAx>
      <c:spPr>
        <a:solidFill>
          <a:srgbClr val="FFFFFF"/>
        </a:solidFill>
        <a:ln w="25400">
          <a:noFill/>
        </a:ln>
      </c:spPr>
    </c:plotArea>
    <c:legend>
      <c:legendPos val="r"/>
      <c:legendEntry>
        <c:idx val="0"/>
        <c:txPr>
          <a:bodyPr/>
          <a:lstStyle/>
          <a:p>
            <a:pPr>
              <a:defRPr sz="1000" b="0" i="0" u="none" strike="noStrike" baseline="0">
                <a:solidFill>
                  <a:srgbClr val="000000"/>
                </a:solidFill>
                <a:latin typeface="+mn-lt"/>
                <a:ea typeface="Arial"/>
                <a:cs typeface="Arial"/>
              </a:defRPr>
            </a:pPr>
            <a:endParaRPr lang="cs-CZ"/>
          </a:p>
        </c:txPr>
      </c:legendEntry>
      <c:legendEntry>
        <c:idx val="1"/>
        <c:txPr>
          <a:bodyPr/>
          <a:lstStyle/>
          <a:p>
            <a:pPr>
              <a:defRPr sz="1000" b="0" i="0" u="none" strike="noStrike" baseline="0">
                <a:solidFill>
                  <a:srgbClr val="000000"/>
                </a:solidFill>
                <a:latin typeface="+mn-lt"/>
                <a:ea typeface="Arial"/>
                <a:cs typeface="Arial"/>
              </a:defRPr>
            </a:pPr>
            <a:endParaRPr lang="cs-CZ"/>
          </a:p>
        </c:txPr>
      </c:legendEntry>
      <c:layout>
        <c:manualLayout>
          <c:xMode val="edge"/>
          <c:yMode val="edge"/>
          <c:x val="0.74004897859383301"/>
          <c:y val="0.84389595714704602"/>
          <c:w val="0.16449472200254445"/>
          <c:h val="0.13284072460969631"/>
        </c:manualLayout>
      </c:layout>
      <c:overlay val="0"/>
      <c:spPr>
        <a:solidFill>
          <a:srgbClr val="FFFFFF"/>
        </a:solidFill>
        <a:ln w="25400">
          <a:noFill/>
        </a:ln>
      </c:spPr>
      <c:txPr>
        <a:bodyPr/>
        <a:lstStyle/>
        <a:p>
          <a:pPr>
            <a:defRPr sz="1000" b="0" i="0" u="none" strike="noStrike" baseline="0">
              <a:solidFill>
                <a:srgbClr val="000000"/>
              </a:solidFill>
              <a:latin typeface="+mn-lt"/>
              <a:ea typeface="Arial"/>
              <a:cs typeface="Arial"/>
            </a:defRPr>
          </a:pPr>
          <a:endParaRPr lang="cs-CZ"/>
        </a:p>
      </c:txPr>
    </c:legend>
    <c:plotVisOnly val="1"/>
    <c:dispBlanksAs val="gap"/>
    <c:showDLblsOverMax val="0"/>
  </c:chart>
  <c:spPr>
    <a:noFill/>
    <a:ln w="9525">
      <a:noFill/>
    </a:ln>
  </c:spPr>
  <c:txPr>
    <a:bodyPr/>
    <a:lstStyle/>
    <a:p>
      <a:pPr>
        <a:defRPr sz="1200" b="0" i="0" u="none" strike="noStrike" baseline="0">
          <a:solidFill>
            <a:srgbClr val="000000"/>
          </a:solidFill>
          <a:latin typeface="Arial"/>
          <a:ea typeface="Arial"/>
          <a:cs typeface="Arial"/>
        </a:defRPr>
      </a:pPr>
      <a:endParaRPr lang="cs-CZ"/>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7607417096867604"/>
          <c:y val="0.12967032967032968"/>
          <c:w val="0.43762868583182724"/>
          <c:h val="0.47032967032967032"/>
        </c:manualLayout>
      </c:layout>
      <c:pieChart>
        <c:varyColors val="1"/>
        <c:ser>
          <c:idx val="0"/>
          <c:order val="0"/>
          <c:dPt>
            <c:idx val="0"/>
            <c:bubble3D val="0"/>
          </c:dPt>
          <c:dPt>
            <c:idx val="1"/>
            <c:bubble3D val="0"/>
            <c:spPr>
              <a:solidFill>
                <a:srgbClr val="FFC000"/>
              </a:solidFill>
            </c:spPr>
          </c:dPt>
          <c:dPt>
            <c:idx val="2"/>
            <c:bubble3D val="0"/>
            <c:spPr>
              <a:solidFill>
                <a:schemeClr val="accent4">
                  <a:lumMod val="40000"/>
                  <a:lumOff val="60000"/>
                </a:schemeClr>
              </a:solidFill>
            </c:spPr>
          </c:dPt>
          <c:dPt>
            <c:idx val="3"/>
            <c:bubble3D val="0"/>
          </c:dPt>
          <c:dPt>
            <c:idx val="4"/>
            <c:bubble3D val="0"/>
            <c:spPr>
              <a:solidFill>
                <a:schemeClr val="accent6">
                  <a:lumMod val="75000"/>
                </a:schemeClr>
              </a:solidFill>
            </c:spPr>
          </c:dPt>
          <c:dPt>
            <c:idx val="5"/>
            <c:bubble3D val="0"/>
            <c:explosion val="2"/>
          </c:dPt>
          <c:dPt>
            <c:idx val="6"/>
            <c:bubble3D val="0"/>
            <c:spPr>
              <a:solidFill>
                <a:schemeClr val="accent3">
                  <a:lumMod val="60000"/>
                  <a:lumOff val="40000"/>
                </a:schemeClr>
              </a:solidFill>
            </c:spPr>
          </c:dPt>
          <c:dPt>
            <c:idx val="7"/>
            <c:bubble3D val="0"/>
          </c:dPt>
          <c:dLbls>
            <c:dLbl>
              <c:idx val="0"/>
              <c:layout>
                <c:manualLayout>
                  <c:x val="-0.15978530291075579"/>
                  <c:y val="-4.4917539153759629E-2"/>
                </c:manualLayout>
              </c:layout>
              <c:spPr/>
              <c:txPr>
                <a:bodyPr/>
                <a:lstStyle/>
                <a:p>
                  <a:pPr>
                    <a:defRPr>
                      <a:solidFill>
                        <a:schemeClr val="bg1"/>
                      </a:solidFill>
                    </a:defRPr>
                  </a:pPr>
                  <a:endParaRPr lang="cs-CZ"/>
                </a:p>
              </c:txPr>
              <c:dLblPos val="bestFit"/>
              <c:showLegendKey val="0"/>
              <c:showVal val="1"/>
              <c:showCatName val="0"/>
              <c:showSerName val="0"/>
              <c:showPercent val="0"/>
              <c:showBubbleSize val="0"/>
            </c:dLbl>
            <c:dLbl>
              <c:idx val="1"/>
              <c:layout>
                <c:manualLayout>
                  <c:x val="0.16539576724688554"/>
                  <c:y val="-2.1885956563121919E-2"/>
                </c:manualLayout>
              </c:layout>
              <c:spPr/>
              <c:txPr>
                <a:bodyPr/>
                <a:lstStyle/>
                <a:p>
                  <a:pPr>
                    <a:defRPr/>
                  </a:pPr>
                  <a:endParaRPr lang="cs-CZ"/>
                </a:p>
              </c:txPr>
              <c:dLblPos val="bestFit"/>
              <c:showLegendKey val="0"/>
              <c:showVal val="1"/>
              <c:showCatName val="0"/>
              <c:showSerName val="0"/>
              <c:showPercent val="0"/>
              <c:showBubbleSize val="0"/>
            </c:dLbl>
            <c:dLbl>
              <c:idx val="2"/>
              <c:layout>
                <c:manualLayout>
                  <c:x val="7.9499111690793253E-2"/>
                  <c:y val="8.2536298347321999E-2"/>
                </c:manualLayout>
              </c:layout>
              <c:spPr/>
              <c:txPr>
                <a:bodyPr/>
                <a:lstStyle/>
                <a:p>
                  <a:pPr>
                    <a:defRPr/>
                  </a:pPr>
                  <a:endParaRPr lang="cs-CZ"/>
                </a:p>
              </c:txPr>
              <c:dLblPos val="bestFit"/>
              <c:showLegendKey val="0"/>
              <c:showVal val="1"/>
              <c:showCatName val="0"/>
              <c:showSerName val="0"/>
              <c:showPercent val="0"/>
              <c:showBubbleSize val="0"/>
            </c:dLbl>
            <c:dLbl>
              <c:idx val="3"/>
              <c:layout>
                <c:manualLayout>
                  <c:x val="-8.4785934064340821E-3"/>
                  <c:y val="1.6595540941997628E-2"/>
                </c:manualLayout>
              </c:layout>
              <c:spPr/>
              <c:txPr>
                <a:bodyPr/>
                <a:lstStyle/>
                <a:p>
                  <a:pPr>
                    <a:defRPr/>
                  </a:pPr>
                  <a:endParaRPr lang="cs-CZ"/>
                </a:p>
              </c:txPr>
              <c:dLblPos val="bestFit"/>
              <c:showLegendKey val="0"/>
              <c:showVal val="1"/>
              <c:showCatName val="0"/>
              <c:showSerName val="0"/>
              <c:showPercent val="0"/>
              <c:showBubbleSize val="0"/>
            </c:dLbl>
            <c:dLbl>
              <c:idx val="4"/>
              <c:layout>
                <c:manualLayout>
                  <c:x val="3.3577551272348627E-2"/>
                  <c:y val="6.5381904185053796E-2"/>
                </c:manualLayout>
              </c:layout>
              <c:spPr/>
              <c:txPr>
                <a:bodyPr/>
                <a:lstStyle/>
                <a:p>
                  <a:pPr>
                    <a:defRPr/>
                  </a:pPr>
                  <a:endParaRPr lang="cs-CZ"/>
                </a:p>
              </c:txPr>
              <c:dLblPos val="bestFit"/>
              <c:showLegendKey val="0"/>
              <c:showVal val="1"/>
              <c:showCatName val="0"/>
              <c:showSerName val="0"/>
              <c:showPercent val="0"/>
              <c:showBubbleSize val="0"/>
            </c:dLbl>
            <c:dLbl>
              <c:idx val="5"/>
              <c:layout>
                <c:manualLayout>
                  <c:x val="-4.7115276234642449E-2"/>
                  <c:y val="-6.9598223299010701E-3"/>
                </c:manualLayout>
              </c:layout>
              <c:spPr/>
              <c:txPr>
                <a:bodyPr/>
                <a:lstStyle/>
                <a:p>
                  <a:pPr>
                    <a:defRPr/>
                  </a:pPr>
                  <a:endParaRPr lang="cs-CZ"/>
                </a:p>
              </c:txPr>
              <c:dLblPos val="bestFit"/>
              <c:showLegendKey val="0"/>
              <c:showVal val="1"/>
              <c:showCatName val="0"/>
              <c:showSerName val="0"/>
              <c:showPercent val="0"/>
              <c:showBubbleSize val="0"/>
            </c:dLbl>
            <c:dLbl>
              <c:idx val="6"/>
              <c:layout>
                <c:manualLayout>
                  <c:x val="4.0281897278177652E-2"/>
                  <c:y val="-4.259652158864758E-2"/>
                </c:manualLayout>
              </c:layout>
              <c:spPr/>
              <c:txPr>
                <a:bodyPr/>
                <a:lstStyle/>
                <a:p>
                  <a:pPr>
                    <a:defRPr/>
                  </a:pPr>
                  <a:endParaRPr lang="cs-CZ"/>
                </a:p>
              </c:txPr>
              <c:dLblPos val="bestFit"/>
              <c:showLegendKey val="0"/>
              <c:showVal val="1"/>
              <c:showCatName val="0"/>
              <c:showSerName val="0"/>
              <c:showPercent val="0"/>
              <c:showBubbleSize val="0"/>
            </c:dLbl>
            <c:dLbl>
              <c:idx val="7"/>
              <c:layout>
                <c:manualLayout>
                  <c:x val="6.8834892570943967E-2"/>
                  <c:y val="7.0417351677194333E-3"/>
                </c:manualLayout>
              </c:layout>
              <c:spPr/>
              <c:txPr>
                <a:bodyPr/>
                <a:lstStyle/>
                <a:p>
                  <a:pPr>
                    <a:defRPr/>
                  </a:pPr>
                  <a:endParaRPr lang="cs-CZ"/>
                </a:p>
              </c:txPr>
              <c:dLblPos val="bestFit"/>
              <c:showLegendKey val="0"/>
              <c:showVal val="1"/>
              <c:showCatName val="0"/>
              <c:showSerName val="0"/>
              <c:showPercent val="0"/>
              <c:showBubbleSize val="0"/>
            </c:dLbl>
            <c:showLegendKey val="0"/>
            <c:showVal val="1"/>
            <c:showCatName val="0"/>
            <c:showSerName val="0"/>
            <c:showPercent val="0"/>
            <c:showBubbleSize val="0"/>
            <c:showLeaderLines val="1"/>
          </c:dLbls>
          <c:cat>
            <c:strRef>
              <c:f>('PŘIJÍMACÍ ŘÍZENÍ'!$A$7:$A$8;'PŘIJÍMACÍ ŘÍZENÍ'!$A$12:$A$15;'PŘIJÍMACÍ ŘÍZENÍ'!$A$18:$A$19)</c:f>
              <c:strCache>
                <c:ptCount val="8"/>
                <c:pt idx="0">
                  <c:v>Rozhodnutí o přijetí do 1. ročníku SŠ po 1. kole přijímacího řízení (včetně autoremedur)</c:v>
                </c:pt>
                <c:pt idx="1">
                  <c:v>Rozhodnutí o nepřijetí do 1. ročníku SŠ po 1. kole přijímacího řízení</c:v>
                </c:pt>
                <c:pt idx="2">
                  <c:v>Rozhodnutí o přijetí do 1. ročníku SŠ po 2. a dalším kole přijímacího řízení</c:v>
                </c:pt>
                <c:pt idx="3">
                  <c:v>Rozhodnutí o nepřijetí do 1. ročníku SŠ po 2. a dalším kole přijímacího řízení</c:v>
                </c:pt>
                <c:pt idx="4">
                  <c:v>Rozhodnutí o přijetí do vyššího ročníku</c:v>
                </c:pt>
                <c:pt idx="5">
                  <c:v>Rozhodnutí o nepřijetí do vyššího ročníku</c:v>
                </c:pt>
                <c:pt idx="6">
                  <c:v>Rozhodnutí o přijetí do 1. ročníku VOŠ po 1. kole přijímacího řízení (včetně autoremedur)</c:v>
                </c:pt>
                <c:pt idx="7">
                  <c:v>Rozhodnutí o nepřijetí do 1. ročníku VOŠ po 1. kole přijímacího řízení</c:v>
                </c:pt>
              </c:strCache>
            </c:strRef>
          </c:cat>
          <c:val>
            <c:numRef>
              <c:f>('PŘIJÍMACÍ ŘÍZENÍ'!$AN$7:$AN$8;'PŘIJÍMACÍ ŘÍZENÍ'!$AN$12:$AN$15;'PŘIJÍMACÍ ŘÍZENÍ'!$AN$18:$AN$19)</c:f>
              <c:numCache>
                <c:formatCode>0.00"%"</c:formatCode>
                <c:ptCount val="8"/>
                <c:pt idx="0">
                  <c:v>65.10014546268323</c:v>
                </c:pt>
                <c:pt idx="1">
                  <c:v>22.591473648875461</c:v>
                </c:pt>
                <c:pt idx="2">
                  <c:v>7.8773637686024394</c:v>
                </c:pt>
                <c:pt idx="3">
                  <c:v>0.17903099474096454</c:v>
                </c:pt>
                <c:pt idx="4">
                  <c:v>3.4351572115922568</c:v>
                </c:pt>
                <c:pt idx="5">
                  <c:v>0.19022043191227481</c:v>
                </c:pt>
                <c:pt idx="6">
                  <c:v>0.58185073290813472</c:v>
                </c:pt>
                <c:pt idx="7">
                  <c:v>4.4757748685241135E-2</c:v>
                </c:pt>
              </c:numCache>
            </c:numRef>
          </c:val>
        </c:ser>
        <c:dLbls>
          <c:showLegendKey val="0"/>
          <c:showVal val="0"/>
          <c:showCatName val="0"/>
          <c:showSerName val="0"/>
          <c:showPercent val="0"/>
          <c:showBubbleSize val="0"/>
          <c:showLeaderLines val="1"/>
        </c:dLbls>
        <c:firstSliceAng val="360"/>
      </c:pieChart>
      <c:spPr>
        <a:noFill/>
        <a:ln w="25400">
          <a:noFill/>
        </a:ln>
      </c:spPr>
    </c:plotArea>
    <c:legend>
      <c:legendPos val="r"/>
      <c:layout>
        <c:manualLayout>
          <c:xMode val="edge"/>
          <c:yMode val="edge"/>
          <c:x val="0"/>
          <c:y val="0.65714285714285714"/>
          <c:w val="0.99591195272370092"/>
          <c:h val="0.29010989010989008"/>
        </c:manualLayout>
      </c:layout>
      <c:overlay val="0"/>
      <c:txPr>
        <a:bodyPr/>
        <a:lstStyle/>
        <a:p>
          <a:pPr>
            <a:defRPr sz="900"/>
          </a:pPr>
          <a:endParaRPr lang="cs-CZ"/>
        </a:p>
      </c:txPr>
    </c:legend>
    <c:plotVisOnly val="1"/>
    <c:dispBlanksAs val="zero"/>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manualLayout>
          <c:layoutTarget val="inner"/>
          <c:xMode val="edge"/>
          <c:yMode val="edge"/>
          <c:x val="0.10593264824947729"/>
          <c:y val="0.29521543383719373"/>
          <c:w val="0.46115863695004228"/>
          <c:h val="0.52960310618107043"/>
        </c:manualLayout>
      </c:layout>
      <c:pieChart>
        <c:varyColors val="1"/>
        <c:ser>
          <c:idx val="0"/>
          <c:order val="0"/>
          <c:dPt>
            <c:idx val="0"/>
            <c:bubble3D val="0"/>
          </c:dPt>
          <c:dPt>
            <c:idx val="1"/>
            <c:bubble3D val="0"/>
            <c:spPr>
              <a:solidFill>
                <a:srgbClr val="FFC000"/>
              </a:solidFill>
            </c:spPr>
          </c:dPt>
          <c:dPt>
            <c:idx val="2"/>
            <c:bubble3D val="0"/>
            <c:spPr>
              <a:solidFill>
                <a:schemeClr val="accent4">
                  <a:lumMod val="40000"/>
                  <a:lumOff val="60000"/>
                </a:schemeClr>
              </a:solidFill>
            </c:spPr>
          </c:dPt>
          <c:dPt>
            <c:idx val="3"/>
            <c:bubble3D val="0"/>
            <c:spPr>
              <a:solidFill>
                <a:schemeClr val="accent6">
                  <a:lumMod val="75000"/>
                </a:schemeClr>
              </a:solidFill>
            </c:spPr>
          </c:dPt>
          <c:dPt>
            <c:idx val="4"/>
            <c:bubble3D val="0"/>
            <c:spPr>
              <a:solidFill>
                <a:schemeClr val="accent3">
                  <a:lumMod val="75000"/>
                </a:schemeClr>
              </a:solidFill>
            </c:spPr>
          </c:dPt>
          <c:dPt>
            <c:idx val="5"/>
            <c:bubble3D val="0"/>
            <c:spPr>
              <a:solidFill>
                <a:schemeClr val="accent2">
                  <a:lumMod val="75000"/>
                </a:schemeClr>
              </a:solidFill>
            </c:spPr>
          </c:dPt>
          <c:dPt>
            <c:idx val="6"/>
            <c:bubble3D val="0"/>
            <c:spPr>
              <a:solidFill>
                <a:srgbClr val="FFFF85"/>
              </a:solidFill>
            </c:spPr>
          </c:dPt>
          <c:dLbls>
            <c:dLbl>
              <c:idx val="0"/>
              <c:layout>
                <c:manualLayout>
                  <c:x val="-9.5447083945015346E-2"/>
                  <c:y val="0.11700672452439795"/>
                </c:manualLayout>
              </c:layout>
              <c:spPr/>
              <c:txPr>
                <a:bodyPr/>
                <a:lstStyle/>
                <a:p>
                  <a:pPr>
                    <a:defRPr baseline="0">
                      <a:solidFill>
                        <a:schemeClr val="bg1"/>
                      </a:solidFill>
                    </a:defRPr>
                  </a:pPr>
                  <a:endParaRPr lang="cs-CZ"/>
                </a:p>
              </c:txPr>
              <c:dLblPos val="bestFit"/>
              <c:showLegendKey val="0"/>
              <c:showVal val="1"/>
              <c:showCatName val="0"/>
              <c:showSerName val="0"/>
              <c:showPercent val="0"/>
              <c:showBubbleSize val="0"/>
            </c:dLbl>
            <c:dLbl>
              <c:idx val="1"/>
              <c:layout>
                <c:manualLayout>
                  <c:x val="-0.10998509720183282"/>
                  <c:y val="-6.6500373584688771E-2"/>
                </c:manualLayout>
              </c:layout>
              <c:spPr/>
              <c:txPr>
                <a:bodyPr/>
                <a:lstStyle/>
                <a:p>
                  <a:pPr>
                    <a:defRPr/>
                  </a:pPr>
                  <a:endParaRPr lang="cs-CZ"/>
                </a:p>
              </c:txPr>
              <c:dLblPos val="bestFit"/>
              <c:showLegendKey val="0"/>
              <c:showVal val="1"/>
              <c:showCatName val="0"/>
              <c:showSerName val="0"/>
              <c:showPercent val="0"/>
              <c:showBubbleSize val="0"/>
            </c:dLbl>
            <c:dLbl>
              <c:idx val="2"/>
              <c:layout>
                <c:manualLayout>
                  <c:x val="4.5902620223319542E-2"/>
                  <c:y val="-9.9899994252543256E-2"/>
                </c:manualLayout>
              </c:layout>
              <c:spPr/>
              <c:txPr>
                <a:bodyPr/>
                <a:lstStyle/>
                <a:p>
                  <a:pPr>
                    <a:defRPr/>
                  </a:pPr>
                  <a:endParaRPr lang="cs-CZ"/>
                </a:p>
              </c:txPr>
              <c:dLblPos val="bestFit"/>
              <c:showLegendKey val="0"/>
              <c:showVal val="1"/>
              <c:showCatName val="0"/>
              <c:showSerName val="0"/>
              <c:showPercent val="0"/>
              <c:showBubbleSize val="0"/>
            </c:dLbl>
            <c:dLbl>
              <c:idx val="3"/>
              <c:layout>
                <c:manualLayout>
                  <c:x val="0.15101427999466169"/>
                  <c:y val="-4.5147422265647448E-2"/>
                </c:manualLayout>
              </c:layout>
              <c:spPr/>
              <c:txPr>
                <a:bodyPr/>
                <a:lstStyle/>
                <a:p>
                  <a:pPr>
                    <a:defRPr/>
                  </a:pPr>
                  <a:endParaRPr lang="cs-CZ"/>
                </a:p>
              </c:txPr>
              <c:dLblPos val="bestFit"/>
              <c:showLegendKey val="0"/>
              <c:showVal val="1"/>
              <c:showCatName val="0"/>
              <c:showSerName val="0"/>
              <c:showPercent val="0"/>
              <c:showBubbleSize val="0"/>
            </c:dLbl>
            <c:dLbl>
              <c:idx val="4"/>
              <c:layout>
                <c:manualLayout>
                  <c:x val="9.2989901686018062E-2"/>
                  <c:y val="3.6205912217177234E-2"/>
                </c:manualLayout>
              </c:layout>
              <c:spPr/>
              <c:txPr>
                <a:bodyPr/>
                <a:lstStyle/>
                <a:p>
                  <a:pPr>
                    <a:defRPr>
                      <a:solidFill>
                        <a:schemeClr val="bg1"/>
                      </a:solidFill>
                    </a:defRPr>
                  </a:pPr>
                  <a:endParaRPr lang="cs-CZ"/>
                </a:p>
              </c:txPr>
              <c:dLblPos val="bestFit"/>
              <c:showLegendKey val="0"/>
              <c:showVal val="1"/>
              <c:showCatName val="0"/>
              <c:showSerName val="0"/>
              <c:showPercent val="0"/>
              <c:showBubbleSize val="0"/>
            </c:dLbl>
            <c:dLbl>
              <c:idx val="5"/>
              <c:layout>
                <c:manualLayout>
                  <c:x val="6.3031718492815511E-2"/>
                  <c:y val="8.3605826643932277E-2"/>
                </c:manualLayout>
              </c:layout>
              <c:spPr/>
              <c:txPr>
                <a:bodyPr/>
                <a:lstStyle/>
                <a:p>
                  <a:pPr>
                    <a:defRPr>
                      <a:solidFill>
                        <a:schemeClr val="bg1"/>
                      </a:solidFill>
                    </a:defRPr>
                  </a:pPr>
                  <a:endParaRPr lang="cs-CZ"/>
                </a:p>
              </c:txPr>
              <c:dLblPos val="bestFit"/>
              <c:showLegendKey val="0"/>
              <c:showVal val="1"/>
              <c:showCatName val="0"/>
              <c:showSerName val="0"/>
              <c:showPercent val="0"/>
              <c:showBubbleSize val="0"/>
            </c:dLbl>
            <c:dLbl>
              <c:idx val="6"/>
              <c:layout>
                <c:manualLayout>
                  <c:x val="2.52468971039637E-2"/>
                  <c:y val="-2.9848458723681364E-3"/>
                </c:manualLayout>
              </c:layout>
              <c:spPr/>
              <c:txPr>
                <a:bodyPr/>
                <a:lstStyle/>
                <a:p>
                  <a:pPr>
                    <a:defRPr/>
                  </a:pPr>
                  <a:endParaRPr lang="cs-CZ"/>
                </a:p>
              </c:txPr>
              <c:dLblPos val="bestFit"/>
              <c:showLegendKey val="0"/>
              <c:showVal val="1"/>
              <c:showCatName val="0"/>
              <c:showSerName val="0"/>
              <c:showPercent val="0"/>
              <c:showBubbleSize val="0"/>
            </c:dLbl>
            <c:dLbl>
              <c:idx val="7"/>
              <c:layout>
                <c:manualLayout>
                  <c:x val="-7.025903920828757E-3"/>
                  <c:y val="2.7256534411198512E-2"/>
                </c:manualLayout>
              </c:layout>
              <c:spPr/>
              <c:txPr>
                <a:bodyPr/>
                <a:lstStyle/>
                <a:p>
                  <a:pPr>
                    <a:defRPr/>
                  </a:pPr>
                  <a:endParaRPr lang="cs-CZ"/>
                </a:p>
              </c:txPr>
              <c:dLblPos val="bestFit"/>
              <c:showLegendKey val="0"/>
              <c:showVal val="1"/>
              <c:showCatName val="0"/>
              <c:showSerName val="0"/>
              <c:showPercent val="0"/>
              <c:showBubbleSize val="0"/>
            </c:dLbl>
            <c:dLbl>
              <c:idx val="8"/>
              <c:layout>
                <c:manualLayout>
                  <c:x val="-9.5948499882595559E-2"/>
                  <c:y val="5.7034848793559847E-3"/>
                </c:manualLayout>
              </c:layout>
              <c:spPr/>
              <c:txPr>
                <a:bodyPr/>
                <a:lstStyle/>
                <a:p>
                  <a:pPr>
                    <a:defRPr/>
                  </a:pPr>
                  <a:endParaRPr lang="cs-CZ"/>
                </a:p>
              </c:txPr>
              <c:dLblPos val="bestFit"/>
              <c:showLegendKey val="0"/>
              <c:showVal val="1"/>
              <c:showCatName val="0"/>
              <c:showSerName val="0"/>
              <c:showPercent val="0"/>
              <c:showBubbleSize val="0"/>
            </c:dLbl>
            <c:dLbl>
              <c:idx val="9"/>
              <c:layout>
                <c:manualLayout>
                  <c:x val="-2.703337448228119E-2"/>
                  <c:y val="-1.9402503131930211E-2"/>
                </c:manualLayout>
              </c:layout>
              <c:spPr/>
              <c:txPr>
                <a:bodyPr/>
                <a:lstStyle/>
                <a:p>
                  <a:pPr>
                    <a:defRPr/>
                  </a:pPr>
                  <a:endParaRPr lang="cs-CZ"/>
                </a:p>
              </c:txPr>
              <c:dLblPos val="bestFit"/>
              <c:showLegendKey val="0"/>
              <c:showVal val="1"/>
              <c:showCatName val="0"/>
              <c:showSerName val="0"/>
              <c:showPercent val="0"/>
              <c:showBubbleSize val="0"/>
            </c:dLbl>
            <c:dLbl>
              <c:idx val="10"/>
              <c:layout>
                <c:manualLayout>
                  <c:x val="0.10199096615304531"/>
                  <c:y val="-1.194765121931614E-2"/>
                </c:manualLayout>
              </c:layout>
              <c:spPr/>
              <c:txPr>
                <a:bodyPr/>
                <a:lstStyle/>
                <a:p>
                  <a:pPr>
                    <a:defRPr/>
                  </a:pPr>
                  <a:endParaRPr lang="cs-CZ"/>
                </a:p>
              </c:txPr>
              <c:dLblPos val="bestFit"/>
              <c:showLegendKey val="0"/>
              <c:showVal val="1"/>
              <c:showCatName val="0"/>
              <c:showSerName val="0"/>
              <c:showPercent val="0"/>
              <c:showBubbleSize val="0"/>
            </c:dLbl>
            <c:dLbl>
              <c:idx val="11"/>
              <c:layout>
                <c:manualLayout>
                  <c:x val="3.4419836264382844E-2"/>
                  <c:y val="-4.3518889468483174E-2"/>
                </c:manualLayout>
              </c:layout>
              <c:spPr/>
              <c:txPr>
                <a:bodyPr/>
                <a:lstStyle/>
                <a:p>
                  <a:pPr>
                    <a:defRPr/>
                  </a:pPr>
                  <a:endParaRPr lang="cs-CZ"/>
                </a:p>
              </c:txPr>
              <c:dLblPos val="bestFit"/>
              <c:showLegendKey val="0"/>
              <c:showVal val="1"/>
              <c:showCatName val="0"/>
              <c:showSerName val="0"/>
              <c:showPercent val="0"/>
              <c:showBubbleSize val="0"/>
            </c:dLbl>
            <c:dLbl>
              <c:idx val="12"/>
              <c:layout>
                <c:manualLayout>
                  <c:x val="4.3699619454879775E-2"/>
                  <c:y val="-1.4319951704546554E-2"/>
                </c:manualLayout>
              </c:layout>
              <c:spPr/>
              <c:txPr>
                <a:bodyPr/>
                <a:lstStyle/>
                <a:p>
                  <a:pPr>
                    <a:defRPr/>
                  </a:pPr>
                  <a:endParaRPr lang="cs-CZ"/>
                </a:p>
              </c:txPr>
              <c:dLblPos val="bestFit"/>
              <c:showLegendKey val="0"/>
              <c:showVal val="1"/>
              <c:showCatName val="0"/>
              <c:showSerName val="0"/>
              <c:showPercent val="0"/>
              <c:showBubbleSize val="0"/>
            </c:dLbl>
            <c:showLegendKey val="0"/>
            <c:showVal val="1"/>
            <c:showCatName val="0"/>
            <c:showSerName val="0"/>
            <c:showPercent val="0"/>
            <c:showBubbleSize val="0"/>
            <c:showLeaderLines val="0"/>
          </c:dLbls>
          <c:cat>
            <c:strRef>
              <c:f>('VYDANÁ ROZHODNUTÍ'!$A$8,'VYDANÁ ROZHODNUTÍ'!$A$10,'VYDANÁ ROZHODNUTÍ'!$A$5,'VYDANÁ ROZHODNUTÍ'!$A$6,'VYDANÁ ROZHODNUTÍ'!$A$13,'VYDANÁ ROZHODNUTÍ'!$A$7,'VYDANÁ ROZHODNUTÍ'!$A$20)</c:f>
              <c:strCache>
                <c:ptCount val="7"/>
                <c:pt idx="0">
                  <c:v>o opakování ročníku</c:v>
                </c:pt>
                <c:pt idx="1">
                  <c:v>o podmíněném vyloučení podle § 31 ŠZ</c:v>
                </c:pt>
                <c:pt idx="2">
                  <c:v>o přestupu do jiné SŠ</c:v>
                </c:pt>
                <c:pt idx="3">
                  <c:v>o změně oboru vzdělání</c:v>
                </c:pt>
                <c:pt idx="4">
                  <c:v>o povolení individuálního vzdělávání žáka</c:v>
                </c:pt>
                <c:pt idx="5">
                  <c:v>o přerušení vzdělávání</c:v>
                </c:pt>
                <c:pt idx="6">
                  <c:v>ostatní</c:v>
                </c:pt>
              </c:strCache>
            </c:strRef>
          </c:cat>
          <c:val>
            <c:numRef>
              <c:f>('VYDANÁ ROZHODNUTÍ'!$AN$8,'VYDANÁ ROZHODNUTÍ'!$AN$10,'VYDANÁ ROZHODNUTÍ'!$AN$5,'VYDANÁ ROZHODNUTÍ'!$AN$6,'VYDANÁ ROZHODNUTÍ'!$AN$13,'VYDANÁ ROZHODNUTÍ'!$AN$7,'VYDANÁ ROZHODNUTÍ'!$AN$20)</c:f>
              <c:numCache>
                <c:formatCode>0.00"%"</c:formatCode>
                <c:ptCount val="7"/>
                <c:pt idx="0">
                  <c:v>24.911785462244179</c:v>
                </c:pt>
                <c:pt idx="1">
                  <c:v>16.372618207480592</c:v>
                </c:pt>
                <c:pt idx="2">
                  <c:v>25.899788285109388</c:v>
                </c:pt>
                <c:pt idx="3">
                  <c:v>12.773465067043048</c:v>
                </c:pt>
                <c:pt idx="4">
                  <c:v>5.998588567395907</c:v>
                </c:pt>
                <c:pt idx="5">
                  <c:v>11.291460832745237</c:v>
                </c:pt>
                <c:pt idx="6">
                  <c:v>2.4700070571630204</c:v>
                </c:pt>
              </c:numCache>
            </c:numRef>
          </c:val>
        </c:ser>
        <c:dLbls>
          <c:showLegendKey val="0"/>
          <c:showVal val="0"/>
          <c:showCatName val="0"/>
          <c:showSerName val="0"/>
          <c:showPercent val="0"/>
          <c:showBubbleSize val="0"/>
          <c:showLeaderLines val="0"/>
        </c:dLbls>
        <c:firstSliceAng val="360"/>
      </c:pieChart>
      <c:spPr>
        <a:noFill/>
        <a:ln w="25400">
          <a:noFill/>
        </a:ln>
      </c:spPr>
    </c:plotArea>
    <c:legend>
      <c:legendPos val="r"/>
      <c:layout>
        <c:manualLayout>
          <c:xMode val="edge"/>
          <c:yMode val="edge"/>
          <c:x val="0.64429334045108766"/>
          <c:y val="0.37808456424698739"/>
          <c:w val="0.33875750700653939"/>
          <c:h val="0.51309257875612269"/>
        </c:manualLayout>
      </c:layout>
      <c:overlay val="0"/>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manualLayout>
          <c:layoutTarget val="inner"/>
          <c:xMode val="edge"/>
          <c:yMode val="edge"/>
          <c:x val="9.5607476399680036E-2"/>
          <c:y val="0.10116731517509728"/>
          <c:w val="0.5529729716089602"/>
          <c:h val="0.83268482490272377"/>
        </c:manualLayout>
      </c:layout>
      <c:pieChart>
        <c:varyColors val="1"/>
        <c:ser>
          <c:idx val="0"/>
          <c:order val="0"/>
          <c:dPt>
            <c:idx val="0"/>
            <c:bubble3D val="0"/>
          </c:dPt>
          <c:dPt>
            <c:idx val="1"/>
            <c:bubble3D val="0"/>
            <c:spPr>
              <a:solidFill>
                <a:srgbClr val="FFC000"/>
              </a:solidFill>
            </c:spPr>
          </c:dPt>
          <c:dPt>
            <c:idx val="2"/>
            <c:bubble3D val="0"/>
            <c:spPr>
              <a:solidFill>
                <a:schemeClr val="accent4">
                  <a:lumMod val="40000"/>
                  <a:lumOff val="60000"/>
                </a:schemeClr>
              </a:solidFill>
            </c:spPr>
          </c:dPt>
          <c:dPt>
            <c:idx val="3"/>
            <c:bubble3D val="0"/>
            <c:spPr>
              <a:solidFill>
                <a:schemeClr val="accent6">
                  <a:lumMod val="75000"/>
                </a:schemeClr>
              </a:solidFill>
            </c:spPr>
          </c:dPt>
          <c:dPt>
            <c:idx val="4"/>
            <c:bubble3D val="0"/>
            <c:spPr>
              <a:solidFill>
                <a:schemeClr val="accent3">
                  <a:lumMod val="75000"/>
                </a:schemeClr>
              </a:solidFill>
            </c:spPr>
          </c:dPt>
          <c:dPt>
            <c:idx val="5"/>
            <c:bubble3D val="0"/>
            <c:spPr>
              <a:solidFill>
                <a:schemeClr val="accent2">
                  <a:lumMod val="75000"/>
                </a:schemeClr>
              </a:solidFill>
            </c:spPr>
          </c:dPt>
          <c:dPt>
            <c:idx val="6"/>
            <c:bubble3D val="0"/>
            <c:spPr>
              <a:solidFill>
                <a:srgbClr val="FFFF85"/>
              </a:solidFill>
            </c:spPr>
          </c:dPt>
          <c:dPt>
            <c:idx val="7"/>
            <c:bubble3D val="0"/>
            <c:spPr>
              <a:solidFill>
                <a:schemeClr val="tx2">
                  <a:lumMod val="40000"/>
                  <a:lumOff val="60000"/>
                </a:schemeClr>
              </a:solidFill>
            </c:spPr>
          </c:dPt>
          <c:dPt>
            <c:idx val="8"/>
            <c:bubble3D val="0"/>
            <c:spPr>
              <a:solidFill>
                <a:srgbClr val="FF66FF"/>
              </a:solidFill>
            </c:spPr>
          </c:dPt>
          <c:dLbls>
            <c:dLbl>
              <c:idx val="0"/>
              <c:layout>
                <c:manualLayout>
                  <c:x val="-0.12363330552673164"/>
                  <c:y val="0.13731592328388423"/>
                </c:manualLayout>
              </c:layout>
              <c:spPr/>
              <c:txPr>
                <a:bodyPr/>
                <a:lstStyle/>
                <a:p>
                  <a:pPr>
                    <a:defRPr>
                      <a:solidFill>
                        <a:schemeClr val="bg1"/>
                      </a:solidFill>
                    </a:defRPr>
                  </a:pPr>
                  <a:endParaRPr lang="cs-CZ"/>
                </a:p>
              </c:txPr>
              <c:dLblPos val="bestFit"/>
              <c:showLegendKey val="0"/>
              <c:showVal val="1"/>
              <c:showCatName val="0"/>
              <c:showSerName val="0"/>
              <c:showPercent val="0"/>
              <c:showBubbleSize val="0"/>
            </c:dLbl>
            <c:dLbl>
              <c:idx val="1"/>
              <c:layout>
                <c:manualLayout>
                  <c:x val="-0.16916939646110127"/>
                  <c:y val="-7.6849406363389536E-2"/>
                </c:manualLayout>
              </c:layout>
              <c:spPr/>
              <c:txPr>
                <a:bodyPr/>
                <a:lstStyle/>
                <a:p>
                  <a:pPr>
                    <a:defRPr/>
                  </a:pPr>
                  <a:endParaRPr lang="cs-CZ"/>
                </a:p>
              </c:txPr>
              <c:dLblPos val="bestFit"/>
              <c:showLegendKey val="0"/>
              <c:showVal val="1"/>
              <c:showCatName val="0"/>
              <c:showSerName val="0"/>
              <c:showPercent val="0"/>
              <c:showBubbleSize val="0"/>
            </c:dLbl>
            <c:dLbl>
              <c:idx val="2"/>
              <c:layout>
                <c:manualLayout>
                  <c:x val="5.6047257658684132E-4"/>
                  <c:y val="-0.11245081825586849"/>
                </c:manualLayout>
              </c:layout>
              <c:spPr/>
              <c:txPr>
                <a:bodyPr/>
                <a:lstStyle/>
                <a:p>
                  <a:pPr>
                    <a:defRPr/>
                  </a:pPr>
                  <a:endParaRPr lang="cs-CZ"/>
                </a:p>
              </c:txPr>
              <c:dLblPos val="bestFit"/>
              <c:showLegendKey val="0"/>
              <c:showVal val="1"/>
              <c:showCatName val="0"/>
              <c:showSerName val="0"/>
              <c:showPercent val="0"/>
              <c:showBubbleSize val="0"/>
            </c:dLbl>
            <c:dLbl>
              <c:idx val="3"/>
              <c:layout>
                <c:manualLayout>
                  <c:x val="0.16418780985710119"/>
                  <c:y val="-0.10664000855692411"/>
                </c:manualLayout>
              </c:layout>
              <c:spPr/>
              <c:txPr>
                <a:bodyPr/>
                <a:lstStyle/>
                <a:p>
                  <a:pPr>
                    <a:defRPr/>
                  </a:pPr>
                  <a:endParaRPr lang="cs-CZ"/>
                </a:p>
              </c:txPr>
              <c:dLblPos val="bestFit"/>
              <c:showLegendKey val="0"/>
              <c:showVal val="1"/>
              <c:showCatName val="0"/>
              <c:showSerName val="0"/>
              <c:showPercent val="0"/>
              <c:showBubbleSize val="0"/>
            </c:dLbl>
            <c:dLbl>
              <c:idx val="4"/>
              <c:layout>
                <c:manualLayout>
                  <c:x val="0.15516789083535101"/>
                  <c:y val="7.3087321765030161E-2"/>
                </c:manualLayout>
              </c:layout>
              <c:spPr/>
              <c:txPr>
                <a:bodyPr/>
                <a:lstStyle/>
                <a:p>
                  <a:pPr>
                    <a:defRPr/>
                  </a:pPr>
                  <a:endParaRPr lang="cs-CZ"/>
                </a:p>
              </c:txPr>
              <c:dLblPos val="bestFit"/>
              <c:showLegendKey val="0"/>
              <c:showVal val="1"/>
              <c:showCatName val="0"/>
              <c:showSerName val="0"/>
              <c:showPercent val="0"/>
              <c:showBubbleSize val="0"/>
            </c:dLbl>
            <c:dLbl>
              <c:idx val="5"/>
              <c:layout>
                <c:manualLayout>
                  <c:x val="7.407407407407407E-2"/>
                  <c:y val="8.2688519734406246E-2"/>
                </c:manualLayout>
              </c:layout>
              <c:spPr/>
              <c:txPr>
                <a:bodyPr/>
                <a:lstStyle/>
                <a:p>
                  <a:pPr>
                    <a:defRPr>
                      <a:solidFill>
                        <a:schemeClr val="bg1"/>
                      </a:solidFill>
                    </a:defRPr>
                  </a:pPr>
                  <a:endParaRPr lang="cs-CZ"/>
                </a:p>
              </c:txPr>
              <c:dLblPos val="bestFit"/>
              <c:showLegendKey val="0"/>
              <c:showVal val="1"/>
              <c:showCatName val="0"/>
              <c:showSerName val="0"/>
              <c:showPercent val="0"/>
              <c:showBubbleSize val="0"/>
            </c:dLbl>
            <c:dLbl>
              <c:idx val="6"/>
              <c:layout>
                <c:manualLayout>
                  <c:x val="1.062849701926794E-2"/>
                  <c:y val="1.8807131867137297E-2"/>
                </c:manualLayout>
              </c:layout>
              <c:spPr/>
              <c:txPr>
                <a:bodyPr/>
                <a:lstStyle/>
                <a:p>
                  <a:pPr>
                    <a:defRPr/>
                  </a:pPr>
                  <a:endParaRPr lang="cs-CZ"/>
                </a:p>
              </c:txPr>
              <c:dLblPos val="bestFit"/>
              <c:showLegendKey val="0"/>
              <c:showVal val="1"/>
              <c:showCatName val="0"/>
              <c:showSerName val="0"/>
              <c:showPercent val="0"/>
              <c:showBubbleSize val="0"/>
            </c:dLbl>
            <c:showLegendKey val="0"/>
            <c:showVal val="1"/>
            <c:showCatName val="0"/>
            <c:showSerName val="0"/>
            <c:showPercent val="0"/>
            <c:showBubbleSize val="0"/>
            <c:showLeaderLines val="1"/>
          </c:dLbls>
          <c:cat>
            <c:strRef>
              <c:f>('VÝCHOVNÁ OPATŘENÍ'!$A$5,'VÝCHOVNÁ OPATŘENÍ'!$A$10,'VÝCHOVNÁ OPATŘENÍ'!$A$12,'VÝCHOVNÁ OPATŘENÍ'!$A$9,'VÝCHOVNÁ OPATŘENÍ'!$A$13,'VÝCHOVNÁ OPATŘENÍ'!$A$7,'VÝCHOVNÁ OPATŘENÍ'!$A$11,'VÝCHOVNÁ OPATŘENÍ'!$A$6,'VÝCHOVNÁ OPATŘENÍ'!$A$8)</c:f>
              <c:strCache>
                <c:ptCount val="9"/>
                <c:pt idx="0">
                  <c:v>pochvala třídního učitele</c:v>
                </c:pt>
                <c:pt idx="1">
                  <c:v>důtka třídního učitele</c:v>
                </c:pt>
                <c:pt idx="2">
                  <c:v>důtka ředitele školy</c:v>
                </c:pt>
                <c:pt idx="3">
                  <c:v>napomenutí</c:v>
                </c:pt>
                <c:pt idx="4">
                  <c:v>sníž. známka  z chování</c:v>
                </c:pt>
                <c:pt idx="5">
                  <c:v>pochvala ředitele</c:v>
                </c:pt>
                <c:pt idx="6">
                  <c:v>důtka učitele odbor. výcviku</c:v>
                </c:pt>
                <c:pt idx="7">
                  <c:v>pochvala učitele OV</c:v>
                </c:pt>
                <c:pt idx="8">
                  <c:v>jiná ocenění</c:v>
                </c:pt>
              </c:strCache>
            </c:strRef>
          </c:cat>
          <c:val>
            <c:numRef>
              <c:f>('VÝCHOVNÁ OPATŘENÍ'!$AN$5,'VÝCHOVNÁ OPATŘENÍ'!$AN$10,'VÝCHOVNÁ OPATŘENÍ'!$AN$12,'VÝCHOVNÁ OPATŘENÍ'!$AN$9,'VÝCHOVNÁ OPATŘENÍ'!$AN$13,'VÝCHOVNÁ OPATŘENÍ'!$AN$7,'VÝCHOVNÁ OPATŘENÍ'!$AN$11,'VÝCHOVNÁ OPATŘENÍ'!$AN$6,'VÝCHOVNÁ OPATŘENÍ'!$AN$8)</c:f>
              <c:numCache>
                <c:formatCode>0.00"%"</c:formatCode>
                <c:ptCount val="9"/>
                <c:pt idx="0">
                  <c:v>26.861089792785879</c:v>
                </c:pt>
                <c:pt idx="1">
                  <c:v>17.210283960092095</c:v>
                </c:pt>
                <c:pt idx="2">
                  <c:v>8.1734458940905608</c:v>
                </c:pt>
                <c:pt idx="3">
                  <c:v>23.637759017651572</c:v>
                </c:pt>
                <c:pt idx="4">
                  <c:v>10.303146584804297</c:v>
                </c:pt>
                <c:pt idx="5">
                  <c:v>8.0966999232540289</c:v>
                </c:pt>
                <c:pt idx="6">
                  <c:v>2.7052954719877205</c:v>
                </c:pt>
                <c:pt idx="7">
                  <c:v>2.9355333844973139</c:v>
                </c:pt>
                <c:pt idx="8">
                  <c:v>7.6745970836531077E-2</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8734012899550345"/>
          <c:y val="3.6220472440944881E-2"/>
          <c:w val="0.29974241591894035"/>
          <c:h val="0.95210654223777591"/>
        </c:manualLayout>
      </c:layout>
      <c:overlay val="0"/>
    </c:legend>
    <c:plotVisOnly val="1"/>
    <c:dispBlanksAs val="zero"/>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manualLayout>
          <c:layoutTarget val="inner"/>
          <c:xMode val="edge"/>
          <c:yMode val="edge"/>
          <c:x val="9.536094474990027E-2"/>
          <c:y val="0.10077557524669652"/>
          <c:w val="0.55412440868185286"/>
          <c:h val="0.83333648761691348"/>
        </c:manualLayout>
      </c:layout>
      <c:pieChart>
        <c:varyColors val="1"/>
        <c:ser>
          <c:idx val="0"/>
          <c:order val="0"/>
          <c:dPt>
            <c:idx val="0"/>
            <c:bubble3D val="0"/>
          </c:dPt>
          <c:dPt>
            <c:idx val="1"/>
            <c:bubble3D val="0"/>
            <c:spPr>
              <a:solidFill>
                <a:srgbClr val="FFC000"/>
              </a:solidFill>
            </c:spPr>
          </c:dPt>
          <c:dPt>
            <c:idx val="2"/>
            <c:bubble3D val="0"/>
            <c:spPr>
              <a:solidFill>
                <a:schemeClr val="accent4">
                  <a:lumMod val="40000"/>
                  <a:lumOff val="60000"/>
                </a:schemeClr>
              </a:solidFill>
            </c:spPr>
          </c:dPt>
          <c:dPt>
            <c:idx val="3"/>
            <c:bubble3D val="0"/>
            <c:spPr>
              <a:solidFill>
                <a:schemeClr val="accent6">
                  <a:lumMod val="75000"/>
                </a:schemeClr>
              </a:solidFill>
            </c:spPr>
          </c:dPt>
          <c:dPt>
            <c:idx val="4"/>
            <c:bubble3D val="0"/>
            <c:spPr>
              <a:solidFill>
                <a:schemeClr val="accent3">
                  <a:lumMod val="75000"/>
                </a:schemeClr>
              </a:solidFill>
            </c:spPr>
          </c:dPt>
          <c:dPt>
            <c:idx val="5"/>
            <c:bubble3D val="0"/>
            <c:spPr>
              <a:solidFill>
                <a:schemeClr val="accent2">
                  <a:lumMod val="75000"/>
                </a:schemeClr>
              </a:solidFill>
            </c:spPr>
          </c:dPt>
          <c:dPt>
            <c:idx val="6"/>
            <c:bubble3D val="0"/>
            <c:spPr>
              <a:solidFill>
                <a:srgbClr val="FFFF85"/>
              </a:solidFill>
            </c:spPr>
          </c:dPt>
          <c:dPt>
            <c:idx val="7"/>
            <c:bubble3D val="0"/>
            <c:spPr>
              <a:solidFill>
                <a:schemeClr val="tx2">
                  <a:lumMod val="40000"/>
                  <a:lumOff val="60000"/>
                </a:schemeClr>
              </a:solidFill>
            </c:spPr>
          </c:dPt>
          <c:dPt>
            <c:idx val="8"/>
            <c:bubble3D val="0"/>
            <c:spPr>
              <a:solidFill>
                <a:srgbClr val="FF66FF"/>
              </a:solidFill>
            </c:spPr>
          </c:dPt>
          <c:dLbls>
            <c:dLbl>
              <c:idx val="0"/>
              <c:layout>
                <c:manualLayout>
                  <c:x val="-0.16036096003463485"/>
                  <c:y val="0.12258574061221071"/>
                </c:manualLayout>
              </c:layout>
              <c:spPr/>
              <c:txPr>
                <a:bodyPr/>
                <a:lstStyle/>
                <a:p>
                  <a:pPr>
                    <a:defRPr>
                      <a:solidFill>
                        <a:schemeClr val="bg1"/>
                      </a:solidFill>
                    </a:defRPr>
                  </a:pPr>
                  <a:endParaRPr lang="cs-CZ"/>
                </a:p>
              </c:txPr>
              <c:dLblPos val="bestFit"/>
              <c:showLegendKey val="0"/>
              <c:showVal val="1"/>
              <c:showCatName val="0"/>
              <c:showSerName val="0"/>
              <c:showPercent val="0"/>
              <c:showBubbleSize val="0"/>
            </c:dLbl>
            <c:dLbl>
              <c:idx val="5"/>
              <c:layout>
                <c:manualLayout>
                  <c:x val="0.11941553697540384"/>
                  <c:y val="0.10795395256444008"/>
                </c:manualLayout>
              </c:layout>
              <c:spPr/>
              <c:txPr>
                <a:bodyPr/>
                <a:lstStyle/>
                <a:p>
                  <a:pPr>
                    <a:defRPr>
                      <a:solidFill>
                        <a:schemeClr val="bg1"/>
                      </a:solidFill>
                    </a:defRPr>
                  </a:pPr>
                  <a:endParaRPr lang="cs-CZ"/>
                </a:p>
              </c:txPr>
              <c:dLblPos val="bestFit"/>
              <c:showLegendKey val="0"/>
              <c:showVal val="1"/>
              <c:showCatName val="0"/>
              <c:showSerName val="0"/>
              <c:showPercent val="0"/>
              <c:showBubbleSize val="0"/>
            </c:dLbl>
            <c:dLbl>
              <c:idx val="6"/>
              <c:layout>
                <c:manualLayout>
                  <c:x val="7.3191817517655657E-3"/>
                  <c:y val="1.4823572585341727E-2"/>
                </c:manualLayout>
              </c:layout>
              <c:spPr/>
              <c:txPr>
                <a:bodyPr/>
                <a:lstStyle/>
                <a:p>
                  <a:pPr>
                    <a:defRPr/>
                  </a:pPr>
                  <a:endParaRPr lang="cs-CZ"/>
                </a:p>
              </c:txPr>
              <c:dLblPos val="bestFit"/>
              <c:showLegendKey val="0"/>
              <c:showVal val="1"/>
              <c:showCatName val="0"/>
              <c:showSerName val="0"/>
              <c:showPercent val="0"/>
              <c:showBubbleSize val="0"/>
            </c:dLbl>
            <c:dLbl>
              <c:idx val="7"/>
              <c:layout>
                <c:manualLayout>
                  <c:x val="-4.7034391319641742E-3"/>
                  <c:y val="-3.2103327509593216E-2"/>
                </c:manualLayout>
              </c:layout>
              <c:spPr/>
              <c:txPr>
                <a:bodyPr/>
                <a:lstStyle/>
                <a:p>
                  <a:pPr>
                    <a:defRPr/>
                  </a:pPr>
                  <a:endParaRPr lang="cs-CZ"/>
                </a:p>
              </c:txPr>
              <c:dLblPos val="bestFit"/>
              <c:showLegendKey val="0"/>
              <c:showVal val="1"/>
              <c:showCatName val="0"/>
              <c:showSerName val="0"/>
              <c:showPercent val="0"/>
              <c:showBubbleSize val="0"/>
            </c:dLbl>
            <c:dLbl>
              <c:idx val="8"/>
              <c:layout>
                <c:manualLayout>
                  <c:x val="0.10228414102876315"/>
                  <c:y val="4.1165067132565873E-3"/>
                </c:manualLayout>
              </c:layout>
              <c:spPr/>
              <c:txPr>
                <a:bodyPr/>
                <a:lstStyle/>
                <a:p>
                  <a:pPr>
                    <a:defRPr/>
                  </a:pPr>
                  <a:endParaRPr lang="cs-CZ"/>
                </a:p>
              </c:txPr>
              <c:dLblPos val="bestFit"/>
              <c:showLegendKey val="0"/>
              <c:showVal val="1"/>
              <c:showCatName val="0"/>
              <c:showSerName val="0"/>
              <c:showPercent val="0"/>
              <c:showBubbleSize val="0"/>
            </c:dLbl>
            <c:showLegendKey val="0"/>
            <c:showVal val="1"/>
            <c:showCatName val="0"/>
            <c:showSerName val="0"/>
            <c:showPercent val="0"/>
            <c:showBubbleSize val="0"/>
            <c:showLeaderLines val="1"/>
          </c:dLbls>
          <c:cat>
            <c:strRef>
              <c:f>('VÝCHOVNÁ OPATŘENÍ'!$A$17,'VÝCHOVNÁ OPATŘENÍ'!$A$22,'VÝCHOVNÁ OPATŘENÍ'!$A$25,'VÝCHOVNÁ OPATŘENÍ'!$A$21,'VÝCHOVNÁ OPATŘENÍ'!$A$24,'VÝCHOVNÁ OPATŘENÍ'!$A$19,'VÝCHOVNÁ OPATŘENÍ'!$A$23,'VÝCHOVNÁ OPATŘENÍ'!$A$18,'VÝCHOVNÁ OPATŘENÍ'!$A$20)</c:f>
              <c:strCache>
                <c:ptCount val="9"/>
                <c:pt idx="0">
                  <c:v>pochvala třídního učitele</c:v>
                </c:pt>
                <c:pt idx="1">
                  <c:v>důtka třídního učitele</c:v>
                </c:pt>
                <c:pt idx="2">
                  <c:v>sníž. známka  z chování</c:v>
                </c:pt>
                <c:pt idx="3">
                  <c:v>napomenutí</c:v>
                </c:pt>
                <c:pt idx="4">
                  <c:v>důtka ředitele školy</c:v>
                </c:pt>
                <c:pt idx="5">
                  <c:v>pochvala ředitele</c:v>
                </c:pt>
                <c:pt idx="6">
                  <c:v>důtka učitele odbor. výcviku</c:v>
                </c:pt>
                <c:pt idx="7">
                  <c:v>pochvala učitele OV</c:v>
                </c:pt>
                <c:pt idx="8">
                  <c:v>jiná ocenění</c:v>
                </c:pt>
              </c:strCache>
            </c:strRef>
          </c:cat>
          <c:val>
            <c:numRef>
              <c:f>('VÝCHOVNÁ OPATŘENÍ'!$AN$17,'VÝCHOVNÁ OPATŘENÍ'!$AN$22,'VÝCHOVNÁ OPATŘENÍ'!$AN$25,'VÝCHOVNÁ OPATŘENÍ'!$AN$21,'VÝCHOVNÁ OPATŘENÍ'!$AN$24,'VÝCHOVNÁ OPATŘENÍ'!$AN$19,'VÝCHOVNÁ OPATŘENÍ'!$AN$23,'VÝCHOVNÁ OPATŘENÍ'!$AN$18,'VÝCHOVNÁ OPATŘENÍ'!$AN$20)</c:f>
              <c:numCache>
                <c:formatCode>0.00"%"</c:formatCode>
                <c:ptCount val="9"/>
                <c:pt idx="0">
                  <c:v>32.234366600967569</c:v>
                </c:pt>
                <c:pt idx="1">
                  <c:v>14.818132951084035</c:v>
                </c:pt>
                <c:pt idx="2">
                  <c:v>10.894104999104103</c:v>
                </c:pt>
                <c:pt idx="3">
                  <c:v>17.989607597204802</c:v>
                </c:pt>
                <c:pt idx="4">
                  <c:v>6.7729797527324855</c:v>
                </c:pt>
                <c:pt idx="5">
                  <c:v>11.521232753986741</c:v>
                </c:pt>
                <c:pt idx="6">
                  <c:v>2.0605626231858092</c:v>
                </c:pt>
                <c:pt idx="7">
                  <c:v>2.5981006987994983</c:v>
                </c:pt>
                <c:pt idx="8">
                  <c:v>1.1109120229349578</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3653238506477006"/>
          <c:y val="2.2782627284711587E-2"/>
          <c:w val="0.36346761493522989"/>
          <c:h val="0.97721737271528841"/>
        </c:manualLayout>
      </c:layout>
      <c:overlay val="0"/>
    </c:legend>
    <c:plotVisOnly val="1"/>
    <c:dispBlanksAs val="zero"/>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manualLayout>
          <c:layoutTarget val="inner"/>
          <c:xMode val="edge"/>
          <c:yMode val="edge"/>
          <c:x val="9.536094474990027E-2"/>
          <c:y val="0.10077557524669652"/>
          <c:w val="0.55412440868185286"/>
          <c:h val="0.83333648761691348"/>
        </c:manualLayout>
      </c:layout>
      <c:pieChart>
        <c:varyColors val="1"/>
        <c:ser>
          <c:idx val="0"/>
          <c:order val="0"/>
          <c:dPt>
            <c:idx val="0"/>
            <c:bubble3D val="0"/>
          </c:dPt>
          <c:dPt>
            <c:idx val="1"/>
            <c:bubble3D val="0"/>
            <c:spPr>
              <a:solidFill>
                <a:srgbClr val="FFC000"/>
              </a:solidFill>
            </c:spPr>
          </c:dPt>
          <c:dPt>
            <c:idx val="2"/>
            <c:bubble3D val="0"/>
            <c:spPr>
              <a:solidFill>
                <a:schemeClr val="accent4">
                  <a:lumMod val="40000"/>
                  <a:lumOff val="60000"/>
                </a:schemeClr>
              </a:solidFill>
            </c:spPr>
          </c:dPt>
          <c:dPt>
            <c:idx val="3"/>
            <c:bubble3D val="0"/>
            <c:spPr>
              <a:solidFill>
                <a:schemeClr val="accent6">
                  <a:lumMod val="75000"/>
                </a:schemeClr>
              </a:solidFill>
            </c:spPr>
          </c:dPt>
          <c:dLbls>
            <c:dLbl>
              <c:idx val="0"/>
              <c:layout>
                <c:manualLayout>
                  <c:x val="-0.18660010282219877"/>
                  <c:y val="-0.17235426966977965"/>
                </c:manualLayout>
              </c:layout>
              <c:spPr/>
              <c:txPr>
                <a:bodyPr/>
                <a:lstStyle/>
                <a:p>
                  <a:pPr>
                    <a:defRPr>
                      <a:solidFill>
                        <a:schemeClr val="bg1"/>
                      </a:solidFill>
                    </a:defRPr>
                  </a:pPr>
                  <a:endParaRPr lang="cs-CZ"/>
                </a:p>
              </c:txPr>
              <c:dLblPos val="bestFit"/>
              <c:showLegendKey val="0"/>
              <c:showVal val="1"/>
              <c:showCatName val="0"/>
              <c:showSerName val="0"/>
              <c:showPercent val="0"/>
              <c:showBubbleSize val="0"/>
            </c:dLbl>
            <c:dLbl>
              <c:idx val="1"/>
              <c:layout>
                <c:manualLayout>
                  <c:x val="0.12371134020618557"/>
                  <c:y val="-1.7324055423304646E-2"/>
                </c:manualLayout>
              </c:layout>
              <c:spPr/>
              <c:txPr>
                <a:bodyPr/>
                <a:lstStyle/>
                <a:p>
                  <a:pPr>
                    <a:defRPr/>
                  </a:pPr>
                  <a:endParaRPr lang="cs-CZ"/>
                </a:p>
              </c:txPr>
              <c:dLblPos val="bestFit"/>
              <c:showLegendKey val="0"/>
              <c:showVal val="1"/>
              <c:showCatName val="0"/>
              <c:showSerName val="0"/>
              <c:showPercent val="0"/>
              <c:showBubbleSize val="0"/>
            </c:dLbl>
            <c:dLbl>
              <c:idx val="2"/>
              <c:layout>
                <c:manualLayout>
                  <c:x val="0.13402061855670103"/>
                  <c:y val="0.12086756597285804"/>
                </c:manualLayout>
              </c:layout>
              <c:spPr/>
              <c:txPr>
                <a:bodyPr/>
                <a:lstStyle/>
                <a:p>
                  <a:pPr>
                    <a:defRPr/>
                  </a:pPr>
                  <a:endParaRPr lang="cs-CZ"/>
                </a:p>
              </c:txPr>
              <c:dLblPos val="bestFit"/>
              <c:showLegendKey val="0"/>
              <c:showVal val="1"/>
              <c:showCatName val="0"/>
              <c:showSerName val="0"/>
              <c:showPercent val="0"/>
              <c:showBubbleSize val="0"/>
            </c:dLbl>
            <c:showLegendKey val="0"/>
            <c:showVal val="1"/>
            <c:showCatName val="0"/>
            <c:showSerName val="0"/>
            <c:showPercent val="0"/>
            <c:showBubbleSize val="0"/>
            <c:showLeaderLines val="1"/>
          </c:dLbls>
          <c:cat>
            <c:strRef>
              <c:f>(PROSPĚCH!$A$6,PROSPĚCH!$A$7,PROSPĚCH!$A$8,PROSPĚCH!$A$5)</c:f>
              <c:strCache>
                <c:ptCount val="4"/>
                <c:pt idx="0">
                  <c:v>prospěl</c:v>
                </c:pt>
                <c:pt idx="1">
                  <c:v>neprospěl</c:v>
                </c:pt>
                <c:pt idx="2">
                  <c:v>nehodnocen</c:v>
                </c:pt>
                <c:pt idx="3">
                  <c:v>prospěl s vyznamenáním</c:v>
                </c:pt>
              </c:strCache>
            </c:strRef>
          </c:cat>
          <c:val>
            <c:numRef>
              <c:f>(PROSPĚCH!$AO$6,PROSPĚCH!$AO$7,PROSPĚCH!$AO$8,PROSPĚCH!$AO$5)</c:f>
              <c:numCache>
                <c:formatCode>0.00"%"</c:formatCode>
                <c:ptCount val="4"/>
                <c:pt idx="0">
                  <c:v>67.846783190777245</c:v>
                </c:pt>
                <c:pt idx="1">
                  <c:v>11.595388620304947</c:v>
                </c:pt>
                <c:pt idx="2">
                  <c:v>9.0888806247675724</c:v>
                </c:pt>
                <c:pt idx="3">
                  <c:v>11.468947564150241</c:v>
                </c:pt>
              </c:numCache>
            </c:numRef>
          </c:val>
        </c:ser>
        <c:dLbls>
          <c:showLegendKey val="0"/>
          <c:showVal val="0"/>
          <c:showCatName val="0"/>
          <c:showSerName val="0"/>
          <c:showPercent val="0"/>
          <c:showBubbleSize val="0"/>
          <c:showLeaderLines val="1"/>
        </c:dLbls>
        <c:firstSliceAng val="360"/>
      </c:pieChart>
      <c:spPr>
        <a:noFill/>
        <a:ln w="25400">
          <a:noFill/>
        </a:ln>
      </c:spPr>
    </c:plotArea>
    <c:legend>
      <c:legendPos val="r"/>
      <c:layout>
        <c:manualLayout>
          <c:xMode val="edge"/>
          <c:yMode val="edge"/>
          <c:x val="0.65277067485208418"/>
          <c:y val="0.1240652513372537"/>
          <c:w val="0.34722932514791582"/>
          <c:h val="0.86431044220738229"/>
        </c:manualLayout>
      </c:layout>
      <c:overlay val="0"/>
    </c:legend>
    <c:plotVisOnly val="1"/>
    <c:dispBlanksAs val="zero"/>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manualLayout>
          <c:layoutTarget val="inner"/>
          <c:xMode val="edge"/>
          <c:yMode val="edge"/>
          <c:x val="9.5115681233933158E-2"/>
          <c:y val="0.10038628963993432"/>
          <c:w val="0.55526992287917742"/>
          <c:h val="0.8339784062394543"/>
        </c:manualLayout>
      </c:layout>
      <c:pieChart>
        <c:varyColors val="1"/>
        <c:ser>
          <c:idx val="0"/>
          <c:order val="0"/>
          <c:dPt>
            <c:idx val="0"/>
            <c:bubble3D val="0"/>
          </c:dPt>
          <c:dPt>
            <c:idx val="1"/>
            <c:bubble3D val="0"/>
            <c:spPr>
              <a:solidFill>
                <a:schemeClr val="accent6">
                  <a:lumMod val="75000"/>
                </a:schemeClr>
              </a:solidFill>
            </c:spPr>
          </c:dPt>
          <c:dPt>
            <c:idx val="2"/>
            <c:bubble3D val="0"/>
            <c:spPr>
              <a:solidFill>
                <a:srgbClr val="FFC000"/>
              </a:solidFill>
            </c:spPr>
          </c:dPt>
          <c:dPt>
            <c:idx val="3"/>
            <c:bubble3D val="0"/>
            <c:spPr>
              <a:solidFill>
                <a:schemeClr val="accent4">
                  <a:lumMod val="40000"/>
                  <a:lumOff val="60000"/>
                </a:schemeClr>
              </a:solidFill>
            </c:spPr>
          </c:dPt>
          <c:dLbls>
            <c:dLbl>
              <c:idx val="0"/>
              <c:layout>
                <c:manualLayout>
                  <c:x val="-0.21162277594478068"/>
                  <c:y val="-0.19888284234740927"/>
                </c:manualLayout>
              </c:layout>
              <c:spPr/>
              <c:txPr>
                <a:bodyPr/>
                <a:lstStyle/>
                <a:p>
                  <a:pPr>
                    <a:defRPr>
                      <a:solidFill>
                        <a:schemeClr val="bg1"/>
                      </a:solidFill>
                    </a:defRPr>
                  </a:pPr>
                  <a:endParaRPr lang="cs-CZ"/>
                </a:p>
              </c:txPr>
              <c:dLblPos val="bestFit"/>
              <c:showLegendKey val="0"/>
              <c:showVal val="1"/>
              <c:showCatName val="0"/>
              <c:showSerName val="0"/>
              <c:showPercent val="0"/>
              <c:showBubbleSize val="0"/>
            </c:dLbl>
            <c:dLbl>
              <c:idx val="1"/>
              <c:layout>
                <c:manualLayout>
                  <c:x val="0.12262413213772443"/>
                  <c:y val="6.3805267584795142E-2"/>
                </c:manualLayout>
              </c:layout>
              <c:spPr/>
              <c:txPr>
                <a:bodyPr/>
                <a:lstStyle/>
                <a:p>
                  <a:pPr>
                    <a:defRPr/>
                  </a:pPr>
                  <a:endParaRPr lang="cs-CZ"/>
                </a:p>
              </c:txPr>
              <c:dLblPos val="bestFit"/>
              <c:showLegendKey val="0"/>
              <c:showVal val="1"/>
              <c:showCatName val="0"/>
              <c:showSerName val="0"/>
              <c:showPercent val="0"/>
              <c:showBubbleSize val="0"/>
            </c:dLbl>
            <c:dLbl>
              <c:idx val="3"/>
              <c:layout>
                <c:manualLayout>
                  <c:x val="3.055779338636655E-2"/>
                  <c:y val="5.6259183818238934E-3"/>
                </c:manualLayout>
              </c:layout>
              <c:spPr/>
              <c:txPr>
                <a:bodyPr/>
                <a:lstStyle/>
                <a:p>
                  <a:pPr>
                    <a:defRPr/>
                  </a:pPr>
                  <a:endParaRPr lang="cs-CZ"/>
                </a:p>
              </c:txPr>
              <c:dLblPos val="bestFit"/>
              <c:showLegendKey val="0"/>
              <c:showVal val="1"/>
              <c:showCatName val="0"/>
              <c:showSerName val="0"/>
              <c:showPercent val="0"/>
              <c:showBubbleSize val="0"/>
            </c:dLbl>
            <c:showLegendKey val="0"/>
            <c:showVal val="1"/>
            <c:showCatName val="0"/>
            <c:showSerName val="0"/>
            <c:showPercent val="0"/>
            <c:showBubbleSize val="0"/>
            <c:showLeaderLines val="1"/>
          </c:dLbls>
          <c:cat>
            <c:strRef>
              <c:f>(PROSPĚCH!$A$14,PROSPĚCH!$A$13,PROSPĚCH!$A$15,PROSPĚCH!$A$16)</c:f>
              <c:strCache>
                <c:ptCount val="4"/>
                <c:pt idx="0">
                  <c:v>prospěl</c:v>
                </c:pt>
                <c:pt idx="1">
                  <c:v>prospěl s vyznamenáním</c:v>
                </c:pt>
                <c:pt idx="2">
                  <c:v>neprospěl</c:v>
                </c:pt>
                <c:pt idx="3">
                  <c:v>nehodnocen</c:v>
                </c:pt>
              </c:strCache>
            </c:strRef>
          </c:cat>
          <c:val>
            <c:numRef>
              <c:f>(PROSPĚCH!$AO$14,PROSPĚCH!$AO$13,PROSPĚCH!$AO$15,PROSPĚCH!$AO$16)</c:f>
              <c:numCache>
                <c:formatCode>0.00"%"</c:formatCode>
                <c:ptCount val="4"/>
                <c:pt idx="0">
                  <c:v>77.25788900979326</c:v>
                </c:pt>
                <c:pt idx="1">
                  <c:v>13.46960982434323</c:v>
                </c:pt>
                <c:pt idx="2">
                  <c:v>6.1713042126535056</c:v>
                </c:pt>
                <c:pt idx="3">
                  <c:v>3.1011969532100108</c:v>
                </c:pt>
              </c:numCache>
            </c:numRef>
          </c:val>
        </c:ser>
        <c:dLbls>
          <c:showLegendKey val="0"/>
          <c:showVal val="0"/>
          <c:showCatName val="0"/>
          <c:showSerName val="0"/>
          <c:showPercent val="0"/>
          <c:showBubbleSize val="0"/>
          <c:showLeaderLines val="1"/>
        </c:dLbls>
        <c:firstSliceAng val="360"/>
      </c:pieChart>
      <c:spPr>
        <a:noFill/>
        <a:ln w="25400">
          <a:noFill/>
        </a:ln>
      </c:spPr>
    </c:plotArea>
    <c:legend>
      <c:legendPos val="r"/>
      <c:layout>
        <c:manualLayout>
          <c:xMode val="edge"/>
          <c:yMode val="edge"/>
          <c:x val="0.65619968644858995"/>
          <c:y val="0.10922223329678725"/>
          <c:w val="0.34380031355141011"/>
          <c:h val="0.87919642956022892"/>
        </c:manualLayout>
      </c:layout>
      <c:overlay val="0"/>
    </c:legend>
    <c:plotVisOnly val="1"/>
    <c:dispBlanksAs val="zero"/>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718643267357629E-2"/>
          <c:y val="9.8901231570376308E-2"/>
          <c:w val="0.78583897654728074"/>
          <c:h val="0.68406685169510284"/>
        </c:manualLayout>
      </c:layout>
      <c:barChart>
        <c:barDir val="col"/>
        <c:grouping val="stacked"/>
        <c:varyColors val="0"/>
        <c:ser>
          <c:idx val="2"/>
          <c:order val="0"/>
          <c:tx>
            <c:v>prospěli</c:v>
          </c:tx>
          <c:spPr>
            <a:solidFill>
              <a:srgbClr val="9F60CE"/>
            </a:solidFill>
            <a:ln w="25400">
              <a:noFill/>
            </a:ln>
          </c:spPr>
          <c:invertIfNegative val="0"/>
          <c:dLbls>
            <c:dLbl>
              <c:idx val="1"/>
              <c:spPr>
                <a:noFill/>
                <a:ln>
                  <a:noFill/>
                </a:ln>
              </c:spPr>
              <c:txPr>
                <a:bodyPr rot="-5400000" vert="horz"/>
                <a:lstStyle/>
                <a:p>
                  <a:pPr algn="ctr">
                    <a:defRPr sz="800" b="0" i="0" u="none" strike="noStrike" baseline="0">
                      <a:solidFill>
                        <a:schemeClr val="bg1"/>
                      </a:solidFill>
                      <a:latin typeface="Arial"/>
                      <a:ea typeface="Arial"/>
                      <a:cs typeface="Arial"/>
                    </a:defRPr>
                  </a:pPr>
                  <a:endParaRPr lang="cs-CZ"/>
                </a:p>
              </c:txPr>
              <c:dLblPos val="ctr"/>
              <c:showLegendKey val="0"/>
              <c:showVal val="1"/>
              <c:showCatName val="0"/>
              <c:showSerName val="0"/>
              <c:showPercent val="0"/>
              <c:showBubbleSize val="0"/>
            </c:dLbl>
            <c:spPr>
              <a:noFill/>
              <a:ln>
                <a:noFill/>
              </a:ln>
            </c:spPr>
            <c:txPr>
              <a:bodyPr rot="-5400000" vert="horz"/>
              <a:lstStyle/>
              <a:p>
                <a:pPr algn="ctr">
                  <a:defRPr sz="800" b="0" i="0" u="none" strike="noStrike" baseline="0">
                    <a:solidFill>
                      <a:srgbClr val="FFFFFF"/>
                    </a:solidFill>
                    <a:latin typeface="Arial"/>
                    <a:ea typeface="Arial"/>
                    <a:cs typeface="Arial"/>
                  </a:defRPr>
                </a:pPr>
                <a:endParaRPr lang="cs-CZ"/>
              </a:p>
            </c:txPr>
            <c:dLblPos val="ctr"/>
            <c:showLegendKey val="0"/>
            <c:showVal val="1"/>
            <c:showCatName val="0"/>
            <c:showSerName val="0"/>
            <c:showPercent val="0"/>
            <c:showBubbleSize val="0"/>
            <c:showLeaderLines val="0"/>
          </c:dLbls>
          <c:cat>
            <c:strRef>
              <c:f>('C:\Documents and Settings\exnerovav\Local Settings\Temporary Internet Files\OLK43\[Kopie - souhrn_0910_grafy.xls]ad 5 - ZZ, MZ, A'!$A$4,'C:\Documents and Settings\exnerovav\Local Settings\Temporary Internet Files\OLK43\[Kopie - souhrn_0910_grafy.xls]ad 5 - ZZ, MZ, A'!$D$4,'C:\Documents and Settings\exnerovav\Local Settings\Temporary Internet Files\OLK43\[Kopie - souhrn_0910_grafy.xls]ad 5 - ZZ, MZ, A'!$G$4)</c:f>
              <c:strCache>
                <c:ptCount val="3"/>
                <c:pt idx="0">
                  <c:v>zkoušky v řádném (jarním) termínu</c:v>
                </c:pt>
                <c:pt idx="1">
                  <c:v>zkoušky v náhradním termínu</c:v>
                </c:pt>
                <c:pt idx="2">
                  <c:v>opravné zkoušky</c:v>
                </c:pt>
              </c:strCache>
            </c:strRef>
          </c:cat>
          <c:val>
            <c:numRef>
              <c:f>('ZZ, MZ, A'!$M$43,'ZZ, MZ, A'!$P$43,'ZZ, MZ, A'!$S$43)</c:f>
              <c:numCache>
                <c:formatCode>0.00"%"</c:formatCode>
                <c:ptCount val="3"/>
                <c:pt idx="0">
                  <c:v>70.959595959595958</c:v>
                </c:pt>
                <c:pt idx="1">
                  <c:v>48.913043478260867</c:v>
                </c:pt>
                <c:pt idx="2">
                  <c:v>60.028449502133711</c:v>
                </c:pt>
              </c:numCache>
            </c:numRef>
          </c:val>
        </c:ser>
        <c:ser>
          <c:idx val="3"/>
          <c:order val="1"/>
          <c:tx>
            <c:v>neprospěli</c:v>
          </c:tx>
          <c:spPr>
            <a:solidFill>
              <a:srgbClr val="FFC000"/>
            </a:solidFill>
            <a:ln w="25400">
              <a:noFill/>
            </a:ln>
          </c:spPr>
          <c:invertIfNegative val="0"/>
          <c:dLbls>
            <c:dLbl>
              <c:idx val="1"/>
              <c:layout>
                <c:manualLayout>
                  <c:x val="-4.6056419113413936E-3"/>
                  <c:y val="-5.4945054945054944E-2"/>
                </c:manualLayout>
              </c:layout>
              <c:dLblPos val="ctr"/>
              <c:showLegendKey val="0"/>
              <c:showVal val="1"/>
              <c:showCatName val="0"/>
              <c:showSerName val="0"/>
              <c:showPercent val="0"/>
              <c:showBubbleSize val="0"/>
            </c:dLbl>
            <c:spPr>
              <a:noFill/>
              <a:ln w="25400">
                <a:noFill/>
              </a:ln>
            </c:spPr>
            <c:txPr>
              <a:bodyPr rot="-5400000" vert="horz"/>
              <a:lstStyle/>
              <a:p>
                <a:pPr algn="ctr">
                  <a:defRPr sz="800" b="0" i="0" u="none" strike="noStrike" baseline="0">
                    <a:solidFill>
                      <a:srgbClr val="000000"/>
                    </a:solidFill>
                    <a:latin typeface="Arial"/>
                    <a:ea typeface="Arial"/>
                    <a:cs typeface="Arial"/>
                  </a:defRPr>
                </a:pPr>
                <a:endParaRPr lang="cs-CZ"/>
              </a:p>
            </c:txPr>
            <c:dLblPos val="ctr"/>
            <c:showLegendKey val="0"/>
            <c:showVal val="1"/>
            <c:showCatName val="0"/>
            <c:showSerName val="0"/>
            <c:showPercent val="0"/>
            <c:showBubbleSize val="0"/>
            <c:showLeaderLines val="0"/>
          </c:dLbls>
          <c:cat>
            <c:strRef>
              <c:f>('C:\Documents and Settings\exnerovav\Local Settings\Temporary Internet Files\OLK43\[Kopie - souhrn_0910_grafy.xls]ad 5 - ZZ, MZ, A'!$A$4,'C:\Documents and Settings\exnerovav\Local Settings\Temporary Internet Files\OLK43\[Kopie - souhrn_0910_grafy.xls]ad 5 - ZZ, MZ, A'!$D$4,'C:\Documents and Settings\exnerovav\Local Settings\Temporary Internet Files\OLK43\[Kopie - souhrn_0910_grafy.xls]ad 5 - ZZ, MZ, A'!$G$4)</c:f>
              <c:strCache>
                <c:ptCount val="3"/>
                <c:pt idx="0">
                  <c:v>zkoušky v řádném (jarním) termínu</c:v>
                </c:pt>
                <c:pt idx="1">
                  <c:v>zkoušky v náhradním termínu</c:v>
                </c:pt>
                <c:pt idx="2">
                  <c:v>opravné zkoušky</c:v>
                </c:pt>
              </c:strCache>
            </c:strRef>
          </c:cat>
          <c:val>
            <c:numRef>
              <c:f>('ZZ, MZ, A'!$N$43,'ZZ, MZ, A'!$Q$43,'ZZ, MZ, A'!$T$43)</c:f>
              <c:numCache>
                <c:formatCode>0.00"%"</c:formatCode>
                <c:ptCount val="3"/>
                <c:pt idx="0">
                  <c:v>29.040404040404042</c:v>
                </c:pt>
                <c:pt idx="1">
                  <c:v>51.086956521739133</c:v>
                </c:pt>
                <c:pt idx="2">
                  <c:v>39.971550497866289</c:v>
                </c:pt>
              </c:numCache>
            </c:numRef>
          </c:val>
        </c:ser>
        <c:dLbls>
          <c:showLegendKey val="0"/>
          <c:showVal val="0"/>
          <c:showCatName val="0"/>
          <c:showSerName val="0"/>
          <c:showPercent val="0"/>
          <c:showBubbleSize val="0"/>
        </c:dLbls>
        <c:gapWidth val="200"/>
        <c:overlap val="100"/>
        <c:axId val="248727040"/>
        <c:axId val="248728576"/>
      </c:barChart>
      <c:catAx>
        <c:axId val="2487270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cs-CZ"/>
          </a:p>
        </c:txPr>
        <c:crossAx val="248728576"/>
        <c:crosses val="autoZero"/>
        <c:auto val="1"/>
        <c:lblAlgn val="ctr"/>
        <c:lblOffset val="100"/>
        <c:tickLblSkip val="1"/>
        <c:tickMarkSkip val="1"/>
        <c:noMultiLvlLbl val="0"/>
      </c:catAx>
      <c:valAx>
        <c:axId val="248728576"/>
        <c:scaling>
          <c:orientation val="minMax"/>
          <c:max val="100"/>
        </c:scaling>
        <c:delete val="0"/>
        <c:axPos val="l"/>
        <c:majorGridlines>
          <c:spPr>
            <a:ln w="3175">
              <a:solidFill>
                <a:srgbClr val="C0C0C0"/>
              </a:solidFill>
              <a:prstDash val="solid"/>
            </a:ln>
          </c:spPr>
        </c:majorGridlines>
        <c:numFmt formatCode="0&quot;%&quot;"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cs-CZ"/>
          </a:p>
        </c:txPr>
        <c:crossAx val="248727040"/>
        <c:crosses val="autoZero"/>
        <c:crossBetween val="between"/>
        <c:majorUnit val="20"/>
      </c:valAx>
      <c:spPr>
        <a:noFill/>
        <a:ln w="25400">
          <a:noFill/>
        </a:ln>
      </c:spPr>
    </c:plotArea>
    <c:legend>
      <c:legendPos val="r"/>
      <c:legendEntry>
        <c:idx val="0"/>
        <c:txPr>
          <a:bodyPr/>
          <a:lstStyle/>
          <a:p>
            <a:pPr>
              <a:defRPr sz="1000" b="0" i="0" u="none" strike="noStrike" baseline="0">
                <a:solidFill>
                  <a:srgbClr val="000000"/>
                </a:solidFill>
                <a:latin typeface="+mn-lt"/>
                <a:ea typeface="Arial"/>
                <a:cs typeface="Arial"/>
              </a:defRPr>
            </a:pPr>
            <a:endParaRPr lang="cs-CZ"/>
          </a:p>
        </c:txPr>
      </c:legendEntry>
      <c:legendEntry>
        <c:idx val="1"/>
        <c:txPr>
          <a:bodyPr/>
          <a:lstStyle/>
          <a:p>
            <a:pPr>
              <a:defRPr sz="1000" b="0" i="0" u="none" strike="noStrike" baseline="0">
                <a:solidFill>
                  <a:srgbClr val="000000"/>
                </a:solidFill>
                <a:latin typeface="+mn-lt"/>
                <a:ea typeface="Arial"/>
                <a:cs typeface="Arial"/>
              </a:defRPr>
            </a:pPr>
            <a:endParaRPr lang="cs-CZ"/>
          </a:p>
        </c:txPr>
      </c:legendEntry>
      <c:layout>
        <c:manualLayout>
          <c:xMode val="edge"/>
          <c:yMode val="edge"/>
          <c:x val="0.83247122607083435"/>
          <c:y val="0.81135646505725245"/>
          <c:w val="0.15659200631009207"/>
          <c:h val="0.1804029304029304"/>
        </c:manualLayout>
      </c:layout>
      <c:overlay val="0"/>
      <c:spPr>
        <a:solidFill>
          <a:srgbClr val="FFFFFF"/>
        </a:solidFill>
        <a:ln w="25400">
          <a:noFill/>
        </a:ln>
      </c:spPr>
      <c:txPr>
        <a:bodyPr/>
        <a:lstStyle/>
        <a:p>
          <a:pPr>
            <a:defRPr sz="1100" b="0" i="0" u="none" strike="noStrike" baseline="0">
              <a:solidFill>
                <a:srgbClr val="000000"/>
              </a:solidFill>
              <a:latin typeface="Arial"/>
              <a:ea typeface="Arial"/>
              <a:cs typeface="Arial"/>
            </a:defRPr>
          </a:pPr>
          <a:endParaRPr lang="cs-CZ"/>
        </a:p>
      </c:txPr>
    </c:legend>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Arial"/>
          <a:ea typeface="Arial"/>
          <a:cs typeface="Arial"/>
        </a:defRPr>
      </a:pPr>
      <a:endParaRPr lang="cs-CZ"/>
    </a:p>
  </c:txPr>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B9B2-C1F3-42E3-88F2-511FE1B0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4178</Words>
  <Characters>25573</Characters>
  <Application>Microsoft Office Word</Application>
  <DocSecurity>0</DocSecurity>
  <Lines>623</Lines>
  <Paragraphs>354</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Kotkova Eva</dc:creator>
  <cp:lastModifiedBy>Trpkosova Eva</cp:lastModifiedBy>
  <cp:revision>2</cp:revision>
  <cp:lastPrinted>2015-02-02T10:05:00Z</cp:lastPrinted>
  <dcterms:created xsi:type="dcterms:W3CDTF">2018-05-15T11:23:00Z</dcterms:created>
  <dcterms:modified xsi:type="dcterms:W3CDTF">2018-05-15T11:23:00Z</dcterms:modified>
</cp:coreProperties>
</file>