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B" w:rsidRPr="008D2FDB" w:rsidRDefault="009922D8" w:rsidP="00991BE7">
      <w:pPr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8D2FDB">
        <w:rPr>
          <w:b/>
          <w:sz w:val="32"/>
          <w:szCs w:val="32"/>
          <w:u w:val="single"/>
        </w:rPr>
        <w:t>Dohoda o zrušení</w:t>
      </w:r>
      <w:r w:rsidR="004952D3" w:rsidRPr="008D2FDB">
        <w:rPr>
          <w:b/>
          <w:sz w:val="32"/>
          <w:szCs w:val="32"/>
          <w:u w:val="single"/>
        </w:rPr>
        <w:t xml:space="preserve"> </w:t>
      </w:r>
      <w:r w:rsidR="00D30790">
        <w:rPr>
          <w:b/>
          <w:sz w:val="32"/>
          <w:szCs w:val="32"/>
          <w:u w:val="single"/>
        </w:rPr>
        <w:t>smlouvy</w:t>
      </w:r>
      <w:r w:rsidR="008D2FDB" w:rsidRPr="008D2FDB">
        <w:rPr>
          <w:b/>
          <w:sz w:val="32"/>
          <w:szCs w:val="32"/>
          <w:u w:val="single"/>
        </w:rPr>
        <w:t xml:space="preserve"> </w:t>
      </w:r>
      <w:r w:rsidR="00991BE7" w:rsidRPr="008D2FDB">
        <w:rPr>
          <w:b/>
          <w:sz w:val="32"/>
          <w:szCs w:val="3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="00991BE7" w:rsidRPr="008D2FDB">
        <w:rPr>
          <w:b/>
          <w:sz w:val="32"/>
          <w:szCs w:val="32"/>
          <w:u w:val="single"/>
        </w:rPr>
        <w:instrText xml:space="preserve"> FORMTEXT </w:instrText>
      </w:r>
      <w:r w:rsidR="00C37449">
        <w:rPr>
          <w:b/>
          <w:sz w:val="32"/>
          <w:szCs w:val="32"/>
          <w:u w:val="single"/>
        </w:rPr>
      </w:r>
      <w:r w:rsidR="00C37449">
        <w:rPr>
          <w:b/>
          <w:sz w:val="32"/>
          <w:szCs w:val="32"/>
          <w:u w:val="single"/>
        </w:rPr>
        <w:fldChar w:fldCharType="separate"/>
      </w:r>
      <w:r w:rsidR="00991BE7" w:rsidRPr="008D2FDB">
        <w:rPr>
          <w:b/>
          <w:sz w:val="32"/>
          <w:szCs w:val="32"/>
          <w:u w:val="single"/>
        </w:rPr>
        <w:fldChar w:fldCharType="end"/>
      </w:r>
      <w:bookmarkEnd w:id="1"/>
    </w:p>
    <w:p w:rsidR="008D2FDB" w:rsidRDefault="008D2FDB" w:rsidP="00991BE7">
      <w:pPr>
        <w:spacing w:before="120"/>
        <w:jc w:val="center"/>
        <w:rPr>
          <w:b/>
        </w:rPr>
      </w:pPr>
      <w:r w:rsidRPr="008D2FDB">
        <w:rPr>
          <w:b/>
          <w:sz w:val="32"/>
          <w:szCs w:val="32"/>
          <w:u w:val="single"/>
        </w:rPr>
        <w:t xml:space="preserve">o </w:t>
      </w:r>
      <w:r w:rsidR="00290BF8">
        <w:rPr>
          <w:b/>
          <w:sz w:val="32"/>
          <w:szCs w:val="32"/>
          <w:u w:val="single"/>
        </w:rPr>
        <w:t>zajištění lékařské pohotovostní služby</w:t>
      </w:r>
      <w:r w:rsidR="00D30790">
        <w:rPr>
          <w:b/>
          <w:sz w:val="32"/>
          <w:szCs w:val="32"/>
          <w:u w:val="single"/>
        </w:rPr>
        <w:t xml:space="preserve"> </w:t>
      </w:r>
    </w:p>
    <w:p w:rsidR="008D2FDB" w:rsidRDefault="008D2FDB" w:rsidP="008D2FDB">
      <w:pPr>
        <w:spacing w:before="120"/>
        <w:jc w:val="center"/>
        <w:rPr>
          <w:b/>
        </w:rPr>
      </w:pPr>
      <w:r>
        <w:rPr>
          <w:b/>
        </w:rPr>
        <w:t>č. OLP/</w:t>
      </w:r>
      <w:r w:rsidR="00290BF8">
        <w:rPr>
          <w:b/>
        </w:rPr>
        <w:t>69/2018</w:t>
      </w:r>
    </w:p>
    <w:p w:rsidR="00556BF7" w:rsidRPr="00991BE7" w:rsidRDefault="00556BF7" w:rsidP="00A448D8">
      <w:pPr>
        <w:jc w:val="both"/>
      </w:pPr>
    </w:p>
    <w:p w:rsidR="008D2FDB" w:rsidRPr="00EF0028" w:rsidRDefault="008D2FDB" w:rsidP="008D2FDB">
      <w:pPr>
        <w:spacing w:before="120" w:line="276" w:lineRule="auto"/>
        <w:jc w:val="both"/>
      </w:pPr>
      <w:r w:rsidRPr="00EF0028">
        <w:t xml:space="preserve">uzavřená v souladu </w:t>
      </w:r>
      <w:r w:rsidR="00A81FCE" w:rsidRPr="00EF0028">
        <w:t>uzavřená v souladu s ustanovením § 167 zákona č. 500/2004 Sb., správní řád, ve znění pozdějších právních předpisů, mezi těmito smluvními stranami:</w:t>
      </w:r>
      <w:r w:rsidR="00A81FCE">
        <w:t xml:space="preserve"> </w:t>
      </w:r>
    </w:p>
    <w:p w:rsidR="008D2FDB" w:rsidRDefault="008D2FDB" w:rsidP="00F64179">
      <w:pPr>
        <w:widowControl w:val="0"/>
        <w:spacing w:before="120" w:line="276" w:lineRule="auto"/>
        <w:jc w:val="both"/>
      </w:pPr>
      <w:r>
        <w:t xml:space="preserve"> 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rPr>
          <w:b/>
          <w:bCs/>
        </w:rPr>
        <w:t>Liberecký kraj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se sídlem </w:t>
      </w:r>
      <w:r w:rsidR="003B7714">
        <w:t>U Jezu 642/2a, Liberec, 460 01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>IČ</w:t>
      </w:r>
      <w:r w:rsidR="00633A46">
        <w:t>O</w:t>
      </w:r>
      <w:r w:rsidRPr="00991BE7">
        <w:t>: 70891508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>DIČ: CZ70891508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zastoupený </w:t>
      </w:r>
      <w:r w:rsidR="00B844C0"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B844C0">
        <w:instrText xml:space="preserve"> FORMTEXT </w:instrText>
      </w:r>
      <w:r w:rsidR="00B844C0">
        <w:fldChar w:fldCharType="separate"/>
      </w:r>
      <w:r w:rsidR="00B844C0">
        <w:rPr>
          <w:noProof/>
        </w:rPr>
        <w:t>Martinem Půtou, hejtmanem</w:t>
      </w:r>
      <w:r w:rsidR="00B844C0">
        <w:fldChar w:fldCharType="end"/>
      </w:r>
      <w:bookmarkEnd w:id="2"/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bankovní spojení: </w:t>
      </w:r>
      <w:r w:rsidRPr="00991BE7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991BE7">
        <w:instrText xml:space="preserve"> FORMTEXT </w:instrText>
      </w:r>
      <w:r w:rsidRPr="00991BE7">
        <w:fldChar w:fldCharType="separate"/>
      </w:r>
      <w:r w:rsidR="00EF3BB0">
        <w:t>Komerční banka, a.s.</w:t>
      </w:r>
      <w:r w:rsidRPr="00991BE7">
        <w:t xml:space="preserve">           </w:t>
      </w:r>
      <w:r w:rsidRPr="00991BE7">
        <w:rPr>
          <w:noProof/>
        </w:rPr>
        <w:t> </w:t>
      </w:r>
      <w:r w:rsidRPr="00991BE7">
        <w:fldChar w:fldCharType="end"/>
      </w:r>
      <w:bookmarkEnd w:id="3"/>
    </w:p>
    <w:p w:rsidR="00991BE7" w:rsidRPr="00991BE7" w:rsidRDefault="00991BE7" w:rsidP="00F64179">
      <w:pPr>
        <w:widowControl w:val="0"/>
        <w:spacing w:before="120" w:line="276" w:lineRule="auto"/>
        <w:jc w:val="both"/>
        <w:rPr>
          <w:color w:val="BFBFBF"/>
        </w:rPr>
      </w:pPr>
      <w:r w:rsidRPr="00991BE7">
        <w:t xml:space="preserve">číslo účtu: </w:t>
      </w:r>
      <w:r w:rsidRPr="00991BE7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991BE7">
        <w:instrText xml:space="preserve"> FORMTEXT </w:instrText>
      </w:r>
      <w:r w:rsidRPr="00991BE7">
        <w:fldChar w:fldCharType="separate"/>
      </w:r>
      <w:r w:rsidR="00EF3BB0">
        <w:t>19-7964200287/0100</w:t>
      </w:r>
      <w:r w:rsidRPr="00991BE7">
        <w:rPr>
          <w:noProof/>
        </w:rPr>
        <w:t xml:space="preserve">                   </w:t>
      </w:r>
      <w:r w:rsidRPr="00991BE7">
        <w:rPr>
          <w:noProof/>
        </w:rPr>
        <w:t> </w:t>
      </w:r>
      <w:r w:rsidRPr="00991BE7">
        <w:fldChar w:fldCharType="end"/>
      </w:r>
      <w:bookmarkEnd w:id="4"/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dále jen </w:t>
      </w:r>
      <w:r w:rsidR="00F60757">
        <w:t>„(kraj)“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a </w:t>
      </w:r>
    </w:p>
    <w:p w:rsidR="00991BE7" w:rsidRPr="00991BE7" w:rsidRDefault="00991BE7" w:rsidP="00F64179">
      <w:pPr>
        <w:widowControl w:val="0"/>
        <w:spacing w:before="120" w:line="276" w:lineRule="auto"/>
        <w:jc w:val="both"/>
        <w:rPr>
          <w:b/>
        </w:rPr>
      </w:pPr>
    </w:p>
    <w:p w:rsidR="00991BE7" w:rsidRPr="00991BE7" w:rsidRDefault="00F06A70" w:rsidP="00F64179">
      <w:pPr>
        <w:widowControl w:val="0"/>
        <w:spacing w:before="120" w:line="276" w:lineRule="auto"/>
        <w:jc w:val="both"/>
        <w:rPr>
          <w:b/>
        </w:rPr>
      </w:pPr>
      <w:r>
        <w:rPr>
          <w:b/>
        </w:rPr>
        <w:t>Nemocnice Frýdlant s.r.o.</w:t>
      </w:r>
      <w:r w:rsidRPr="00991BE7">
        <w:rPr>
          <w:b/>
        </w:rPr>
        <w:t xml:space="preserve"> 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>se sídlem</w:t>
      </w:r>
      <w:r w:rsidR="00D94EBB" w:rsidRPr="00991BE7">
        <w:t xml:space="preserve">: </w:t>
      </w:r>
      <w:r w:rsidR="00F06A70">
        <w:t>V Úvoze 860, 464 01 Frýdlant</w:t>
      </w:r>
    </w:p>
    <w:p w:rsidR="00D94EBB" w:rsidRDefault="00991BE7" w:rsidP="00F64179">
      <w:pPr>
        <w:widowControl w:val="0"/>
        <w:spacing w:before="120" w:line="276" w:lineRule="auto"/>
        <w:jc w:val="both"/>
      </w:pPr>
      <w:r w:rsidRPr="00991BE7">
        <w:t>IČ</w:t>
      </w:r>
      <w:r w:rsidR="00633A46">
        <w:t>O</w:t>
      </w:r>
      <w:r w:rsidRPr="00991BE7">
        <w:t xml:space="preserve">: </w:t>
      </w:r>
      <w:r w:rsidR="00F06A70">
        <w:t>47311576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DIČ: </w:t>
      </w:r>
      <w:r w:rsidR="00F06A70">
        <w:t>CZ699002423</w:t>
      </w:r>
      <w:r w:rsidRPr="00991BE7">
        <w:t xml:space="preserve"> 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osoba oprávněná podepsat </w:t>
      </w:r>
      <w:r w:rsidR="00F64179">
        <w:t>dohodu</w:t>
      </w:r>
      <w:r w:rsidRPr="00991BE7">
        <w:t xml:space="preserve">: </w:t>
      </w:r>
      <w:r w:rsidR="00F06A70">
        <w:t xml:space="preserve">MUDr. Jiří </w:t>
      </w:r>
      <w:proofErr w:type="spellStart"/>
      <w:r w:rsidR="00F06A70">
        <w:t>Madar</w:t>
      </w:r>
      <w:proofErr w:type="spellEnd"/>
      <w:r w:rsidR="00F06A70">
        <w:t>, jednatel společnosti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bankovní spojení: </w:t>
      </w:r>
      <w:r w:rsidR="00D94EBB" w:rsidRPr="00991BE7">
        <w:t xml:space="preserve">: </w:t>
      </w:r>
      <w:r w:rsidR="00F06A70">
        <w:t>Komerční banka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číslo účtu: </w:t>
      </w:r>
      <w:r w:rsidR="00D94EBB" w:rsidRPr="00991BE7">
        <w:t xml:space="preserve">: </w:t>
      </w:r>
      <w:r w:rsidR="00F06A70">
        <w:t>19-7522420207/0100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evidence: </w:t>
      </w:r>
      <w:r w:rsidRPr="00991BE7"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991BE7">
        <w:instrText xml:space="preserve"> FORMTEXT </w:instrText>
      </w:r>
      <w:r w:rsidRPr="00991BE7">
        <w:fldChar w:fldCharType="separate"/>
      </w:r>
      <w:r w:rsidRPr="00991BE7">
        <w:rPr>
          <w:noProof/>
        </w:rPr>
        <w:t xml:space="preserve">       </w:t>
      </w:r>
      <w:r w:rsidRPr="00991BE7">
        <w:rPr>
          <w:noProof/>
        </w:rPr>
        <w:t> </w:t>
      </w:r>
      <w:r w:rsidRPr="00991BE7">
        <w:fldChar w:fldCharType="end"/>
      </w:r>
      <w:bookmarkEnd w:id="5"/>
    </w:p>
    <w:p w:rsidR="0086358E" w:rsidRDefault="00991BE7" w:rsidP="00F64179">
      <w:pPr>
        <w:widowControl w:val="0"/>
        <w:spacing w:before="120" w:line="276" w:lineRule="auto"/>
        <w:jc w:val="both"/>
      </w:pPr>
      <w:r w:rsidRPr="00991BE7">
        <w:t xml:space="preserve">dále jen </w:t>
      </w:r>
      <w:r w:rsidR="00F60757">
        <w:t>„(nemocnice)“</w:t>
      </w:r>
    </w:p>
    <w:p w:rsidR="003530BE" w:rsidRPr="00991BE7" w:rsidRDefault="003530BE" w:rsidP="005F1A84">
      <w:pPr>
        <w:jc w:val="both"/>
      </w:pPr>
    </w:p>
    <w:p w:rsidR="00F64179" w:rsidRPr="00C57379" w:rsidRDefault="0086358E" w:rsidP="00C57379">
      <w:pPr>
        <w:widowControl w:val="0"/>
        <w:jc w:val="center"/>
      </w:pPr>
      <w:r w:rsidRPr="00991BE7">
        <w:t>takto:</w:t>
      </w:r>
    </w:p>
    <w:p w:rsidR="0086358E" w:rsidRPr="00991BE7" w:rsidRDefault="0086358E" w:rsidP="00F64179">
      <w:pPr>
        <w:keepNext/>
        <w:widowControl w:val="0"/>
        <w:jc w:val="center"/>
      </w:pPr>
      <w:r w:rsidRPr="00991BE7">
        <w:rPr>
          <w:b/>
          <w:u w:val="single"/>
        </w:rPr>
        <w:t>Úvodní ustanovení</w:t>
      </w:r>
    </w:p>
    <w:p w:rsidR="008D2FDB" w:rsidRDefault="0086358E" w:rsidP="008D2FDB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991BE7">
        <w:t>Strany této dohody uzavřely dne</w:t>
      </w:r>
      <w:r w:rsidR="00CE336E">
        <w:t xml:space="preserve"> </w:t>
      </w:r>
      <w:r w:rsidR="00290BF8">
        <w:t xml:space="preserve">19. 3. 2018 veřejnoprávní smlouvu o poskytnutí dotace jako vyrovnávací platby na závazek veřejné služby z rozpočtu Libereckého kraje </w:t>
      </w:r>
      <w:r w:rsidR="00CE336E">
        <w:br/>
      </w:r>
      <w:r w:rsidR="00F64179">
        <w:t>č. OLP/</w:t>
      </w:r>
      <w:r w:rsidR="00290BF8">
        <w:t>69</w:t>
      </w:r>
      <w:r w:rsidR="00F64179">
        <w:t>/</w:t>
      </w:r>
      <w:r w:rsidR="00F64179"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F64179">
        <w:instrText xml:space="preserve"> FORMTEXT </w:instrText>
      </w:r>
      <w:r w:rsidR="00F64179">
        <w:fldChar w:fldCharType="separate"/>
      </w:r>
      <w:r w:rsidR="003871F0">
        <w:rPr>
          <w:noProof/>
        </w:rPr>
        <w:t>201</w:t>
      </w:r>
      <w:r w:rsidR="00290BF8">
        <w:rPr>
          <w:noProof/>
        </w:rPr>
        <w:t>8</w:t>
      </w:r>
      <w:r w:rsidR="00F64179">
        <w:fldChar w:fldCharType="end"/>
      </w:r>
      <w:bookmarkEnd w:id="6"/>
      <w:r w:rsidR="00F6083A" w:rsidRPr="00991BE7">
        <w:t xml:space="preserve">, </w:t>
      </w:r>
      <w:r w:rsidR="00047C7D" w:rsidRPr="00991BE7">
        <w:t xml:space="preserve">jejímž předmětem je </w:t>
      </w:r>
      <w:r w:rsidR="00290BF8">
        <w:t>zajištění poskytování lékařské pohotovostní služby s názvem „Smlouva o zajištění lékařské pohotovostní služby“</w:t>
      </w:r>
      <w:r w:rsidR="00290BF8" w:rsidRPr="00991BE7">
        <w:t xml:space="preserve"> </w:t>
      </w:r>
      <w:r w:rsidR="008D2FDB" w:rsidRPr="00991BE7">
        <w:t>(dále jen „smlouva“).</w:t>
      </w:r>
      <w:r w:rsidR="008D2FDB">
        <w:t xml:space="preserve"> </w:t>
      </w:r>
    </w:p>
    <w:p w:rsidR="00D35426" w:rsidRPr="00991BE7" w:rsidRDefault="00F60757" w:rsidP="00F64179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lastRenderedPageBreak/>
        <w:t>Nemocnice zajišť</w:t>
      </w:r>
      <w:r w:rsidR="006C5388">
        <w:t xml:space="preserve">uje poskytování lékařské pohotovostní služby na základě pověření k poskytování služeb v obecném hospodářském zájmu. Dne 19. 6. 2018 rozhodla Rada Libereckého kraje usnesením č. ………… o zrušení tohoto pověření s účinností ode dne 1. 7. 2018. </w:t>
      </w:r>
      <w:r w:rsidR="00D35426" w:rsidRPr="00991BE7">
        <w:t xml:space="preserve"> </w:t>
      </w:r>
      <w:r w:rsidR="002A27C8">
        <w:t xml:space="preserve">Z výše uvedeného důvodu se strany této dohody </w:t>
      </w:r>
      <w:r w:rsidR="00E61798">
        <w:t>s</w:t>
      </w:r>
      <w:r w:rsidR="002A27C8">
        <w:t>hodly na ukončení smlouvy o zajištění lékařské pohotovostní služby</w:t>
      </w:r>
      <w:r w:rsidR="00D30790">
        <w:t xml:space="preserve"> a vypořádání vzájemných závazků takto:</w:t>
      </w:r>
    </w:p>
    <w:p w:rsidR="0086358E" w:rsidRPr="00991BE7" w:rsidRDefault="0086358E" w:rsidP="000118E2">
      <w:pPr>
        <w:widowControl w:val="0"/>
        <w:rPr>
          <w:b/>
        </w:rPr>
      </w:pPr>
    </w:p>
    <w:p w:rsidR="0086358E" w:rsidRPr="00991BE7" w:rsidRDefault="0086358E" w:rsidP="000118E2">
      <w:pPr>
        <w:keepNext/>
        <w:widowControl w:val="0"/>
        <w:jc w:val="center"/>
        <w:rPr>
          <w:b/>
        </w:rPr>
      </w:pPr>
      <w:r w:rsidRPr="00991BE7">
        <w:rPr>
          <w:b/>
        </w:rPr>
        <w:t>Článek I.</w:t>
      </w:r>
    </w:p>
    <w:p w:rsidR="0086358E" w:rsidRPr="00991BE7" w:rsidRDefault="0086358E" w:rsidP="000118E2">
      <w:pPr>
        <w:keepNext/>
        <w:widowControl w:val="0"/>
        <w:jc w:val="center"/>
        <w:rPr>
          <w:b/>
          <w:u w:val="single"/>
        </w:rPr>
      </w:pPr>
      <w:r w:rsidRPr="00991BE7">
        <w:rPr>
          <w:b/>
          <w:u w:val="single"/>
        </w:rPr>
        <w:t>Předmět do</w:t>
      </w:r>
      <w:r w:rsidR="00F670A6" w:rsidRPr="00991BE7">
        <w:rPr>
          <w:b/>
          <w:u w:val="single"/>
        </w:rPr>
        <w:t>hody</w:t>
      </w:r>
    </w:p>
    <w:p w:rsidR="00C57379" w:rsidRDefault="00F670A6" w:rsidP="00C57379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991BE7">
        <w:t xml:space="preserve">Strany této dohody ruší </w:t>
      </w:r>
      <w:r w:rsidR="006C5388">
        <w:t>s účinností od 1</w:t>
      </w:r>
      <w:r w:rsidR="006C29F8">
        <w:t>.</w:t>
      </w:r>
      <w:r w:rsidR="006C5388">
        <w:t xml:space="preserve"> 7. 2018 </w:t>
      </w:r>
      <w:r w:rsidR="00D30790">
        <w:t xml:space="preserve">smlouvu o zajištění lékařské pohotovostní služby a </w:t>
      </w:r>
      <w:r w:rsidR="00325BEE">
        <w:t xml:space="preserve">veškeré </w:t>
      </w:r>
      <w:r w:rsidR="00502F8F">
        <w:t xml:space="preserve">dosud nesplněné </w:t>
      </w:r>
      <w:r w:rsidR="00A947A2" w:rsidRPr="00991BE7">
        <w:t>závazky</w:t>
      </w:r>
      <w:r w:rsidR="00502F8F">
        <w:t xml:space="preserve"> vyplývající ze smlouvy</w:t>
      </w:r>
      <w:r w:rsidR="00D30790">
        <w:t xml:space="preserve"> vypořádávají takto:</w:t>
      </w:r>
    </w:p>
    <w:p w:rsidR="006A5C26" w:rsidRPr="00506BE7" w:rsidRDefault="006A5C26" w:rsidP="006A5C26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>
        <w:t xml:space="preserve">Kraj poskytl </w:t>
      </w:r>
      <w:r w:rsidR="00E61798">
        <w:t>n</w:t>
      </w:r>
      <w:r w:rsidR="00D30790">
        <w:t xml:space="preserve">emocnici </w:t>
      </w:r>
      <w:r>
        <w:t>na zajištění poskytování lékařské pohotovostní služby v období od 1. 1. 2018 do 31. 12. 2018 zálohu ve výši 1.088.350 Kč.</w:t>
      </w:r>
    </w:p>
    <w:p w:rsidR="00CE336E" w:rsidRDefault="00230381" w:rsidP="00DB2BC5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1B51D6">
        <w:rPr>
          <w:b/>
        </w:rPr>
        <w:t>Nemocnici za</w:t>
      </w:r>
      <w:r w:rsidR="00CE336E">
        <w:rPr>
          <w:b/>
        </w:rPr>
        <w:t xml:space="preserve"> zajištění poskytování lékařské pohotovostní služby v</w:t>
      </w:r>
      <w:r w:rsidRPr="001B51D6">
        <w:rPr>
          <w:b/>
        </w:rPr>
        <w:t xml:space="preserve"> období od 1. 1. 2018 do 30. 6. 2018 vznikl nárok na vyrovnávací platbu ve výši 536.658 Kč.</w:t>
      </w:r>
      <w:r>
        <w:t xml:space="preserve"> </w:t>
      </w:r>
      <w:r w:rsidR="00D30790">
        <w:t>Tuto v</w:t>
      </w:r>
      <w:r w:rsidR="00195991">
        <w:t>yrovnávací platb</w:t>
      </w:r>
      <w:r w:rsidR="00D30790">
        <w:t>u</w:t>
      </w:r>
      <w:r w:rsidR="00195991">
        <w:t xml:space="preserve"> musí </w:t>
      </w:r>
      <w:r w:rsidR="0040513D">
        <w:t>n</w:t>
      </w:r>
      <w:r w:rsidR="00D30790">
        <w:t>emocnice</w:t>
      </w:r>
      <w:r w:rsidR="00195991">
        <w:t xml:space="preserve"> vyúčtova</w:t>
      </w:r>
      <w:r w:rsidR="00D30790">
        <w:t>t</w:t>
      </w:r>
      <w:r w:rsidR="00195991">
        <w:t xml:space="preserve"> do 50 kalendářních dnů od podpisu této dohody</w:t>
      </w:r>
      <w:r w:rsidR="00D30790">
        <w:t>,</w:t>
      </w:r>
      <w:r w:rsidR="00195991">
        <w:t xml:space="preserve"> a to formou závěrečného vyúčtování na příslušném formuláři uvedeném v Příloze č. 1 dohody, který musí být v</w:t>
      </w:r>
      <w:r w:rsidR="00E61798">
        <w:t xml:space="preserve"> tomto </w:t>
      </w:r>
      <w:r w:rsidR="00195991">
        <w:t>termínu předložen odboru zdravotnictví</w:t>
      </w:r>
      <w:r w:rsidR="00E61798">
        <w:t xml:space="preserve"> KÚLK</w:t>
      </w:r>
      <w:r w:rsidR="00195991">
        <w:t xml:space="preserve">. Povinnou součástí závěrečného vyúčtování </w:t>
      </w:r>
      <w:r w:rsidR="00D30790">
        <w:t>musí být</w:t>
      </w:r>
      <w:r w:rsidR="00195991">
        <w:t xml:space="preserve"> i závěrečná zpráva o realizaci služby dokládající</w:t>
      </w:r>
      <w:r w:rsidR="001C6B63">
        <w:t xml:space="preserve"> zejména úroveň naplnění a efektivitu vynaložených prostředků. Pro zpracování závěrečné zprávy nemocnice použije formulář uvedený v Příloze č. 2 této dohody.</w:t>
      </w:r>
      <w:r w:rsidR="00CE336E">
        <w:t xml:space="preserve"> Nevyčerpané finanční prostředky poskytnuté na zajištění lékařské pohotovostní služby z nárokované částky vyrovnávací platby 536.658 Kč je nemocnice povinna vrátit do 50 kalendářních dnů od podpisu této dohody na účet kraje číslo 19-7964200287/0100, pod variabilním symbolem č. 0970052. Rozhodným dnem pro vrácení finančních prostředků výše uvedených je den, kdy nemocnice zadala platný příkaz k provedení platby.</w:t>
      </w:r>
    </w:p>
    <w:p w:rsidR="001B51D6" w:rsidRPr="004E571E" w:rsidRDefault="00907ECE" w:rsidP="00D34EFC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  <w:rPr>
          <w:b/>
        </w:rPr>
      </w:pPr>
      <w:r>
        <w:rPr>
          <w:b/>
        </w:rPr>
        <w:t xml:space="preserve">S odkazem na čl. IV. odst. 6 smlouvy je </w:t>
      </w:r>
      <w:r w:rsidR="00BB357A">
        <w:rPr>
          <w:b/>
        </w:rPr>
        <w:t xml:space="preserve">nemocnice povinna vrátit kraji </w:t>
      </w:r>
      <w:r>
        <w:rPr>
          <w:b/>
        </w:rPr>
        <w:t>n</w:t>
      </w:r>
      <w:r w:rsidR="001B51D6" w:rsidRPr="001B51D6">
        <w:rPr>
          <w:b/>
        </w:rPr>
        <w:t xml:space="preserve">evyčerpanou část vyrovnávací platby </w:t>
      </w:r>
      <w:r w:rsidRPr="004E571E">
        <w:rPr>
          <w:b/>
        </w:rPr>
        <w:t xml:space="preserve">ve výši 551.692 Kč </w:t>
      </w:r>
      <w:r w:rsidR="004E571E">
        <w:rPr>
          <w:b/>
        </w:rPr>
        <w:t>za období od 1. 7. 2018 do 31. 12. 2018, kdy nemocnice poskytování lékařské pohotovostní služby zajišťovat nebude,</w:t>
      </w:r>
      <w:r w:rsidR="004E571E" w:rsidRPr="00DB2BC5">
        <w:rPr>
          <w:b/>
        </w:rPr>
        <w:t xml:space="preserve"> </w:t>
      </w:r>
      <w:r w:rsidR="00E61798">
        <w:rPr>
          <w:b/>
        </w:rPr>
        <w:t xml:space="preserve">nejpozději </w:t>
      </w:r>
      <w:r w:rsidR="001B51D6" w:rsidRPr="004E571E">
        <w:rPr>
          <w:b/>
        </w:rPr>
        <w:t>do 30 dnů od ukončení výkonu veřejné služby</w:t>
      </w:r>
      <w:r w:rsidR="00E61798">
        <w:rPr>
          <w:b/>
        </w:rPr>
        <w:t>,</w:t>
      </w:r>
      <w:r w:rsidR="001B51D6" w:rsidRPr="004E571E">
        <w:rPr>
          <w:b/>
        </w:rPr>
        <w:t xml:space="preserve"> tj. </w:t>
      </w:r>
      <w:r w:rsidR="00E61798">
        <w:rPr>
          <w:b/>
        </w:rPr>
        <w:t xml:space="preserve">nejpozději </w:t>
      </w:r>
      <w:r w:rsidR="001B51D6" w:rsidRPr="004E571E">
        <w:rPr>
          <w:b/>
        </w:rPr>
        <w:t>do 30. 7. 2018</w:t>
      </w:r>
      <w:r w:rsidR="0040513D">
        <w:rPr>
          <w:b/>
        </w:rPr>
        <w:t xml:space="preserve">, a to na účet </w:t>
      </w:r>
      <w:r w:rsidR="00E61798">
        <w:rPr>
          <w:b/>
        </w:rPr>
        <w:t>kraje č</w:t>
      </w:r>
      <w:r w:rsidR="00A83A07">
        <w:rPr>
          <w:b/>
        </w:rPr>
        <w:t>íslo</w:t>
      </w:r>
      <w:r w:rsidR="00E61798">
        <w:rPr>
          <w:b/>
        </w:rPr>
        <w:t xml:space="preserve"> </w:t>
      </w:r>
      <w:r w:rsidR="00A83A07" w:rsidRPr="00A83A07">
        <w:rPr>
          <w:b/>
        </w:rPr>
        <w:t>19-7964200287/0100</w:t>
      </w:r>
      <w:r w:rsidR="0040513D">
        <w:rPr>
          <w:b/>
        </w:rPr>
        <w:t xml:space="preserve"> pod variabilním symbolem</w:t>
      </w:r>
      <w:r w:rsidR="00A83A07">
        <w:rPr>
          <w:b/>
        </w:rPr>
        <w:t xml:space="preserve"> </w:t>
      </w:r>
      <w:r w:rsidR="00A83A07" w:rsidRPr="00A83A07">
        <w:rPr>
          <w:b/>
        </w:rPr>
        <w:t>0970052</w:t>
      </w:r>
      <w:r w:rsidR="001B51D6" w:rsidRPr="00A83A07">
        <w:rPr>
          <w:b/>
        </w:rPr>
        <w:t>.</w:t>
      </w:r>
      <w:r w:rsidR="001B51D6" w:rsidRPr="004E571E">
        <w:rPr>
          <w:b/>
        </w:rPr>
        <w:t xml:space="preserve"> </w:t>
      </w:r>
    </w:p>
    <w:p w:rsidR="00C57379" w:rsidRDefault="00C57379" w:rsidP="006531AE">
      <w:pPr>
        <w:widowControl w:val="0"/>
        <w:spacing w:before="120" w:line="276" w:lineRule="auto"/>
        <w:jc w:val="both"/>
      </w:pPr>
    </w:p>
    <w:p w:rsidR="00C57379" w:rsidRPr="00C57379" w:rsidRDefault="0086358E" w:rsidP="006531AE">
      <w:pPr>
        <w:widowControl w:val="0"/>
        <w:jc w:val="center"/>
        <w:rPr>
          <w:b/>
        </w:rPr>
      </w:pPr>
      <w:r w:rsidRPr="00C57379">
        <w:rPr>
          <w:b/>
        </w:rPr>
        <w:t>Článek II.</w:t>
      </w:r>
    </w:p>
    <w:p w:rsidR="0086358E" w:rsidRPr="006531AE" w:rsidRDefault="0086358E" w:rsidP="006531AE">
      <w:pPr>
        <w:widowControl w:val="0"/>
        <w:jc w:val="center"/>
        <w:rPr>
          <w:b/>
          <w:u w:val="single"/>
        </w:rPr>
      </w:pPr>
      <w:r w:rsidRPr="006531AE">
        <w:rPr>
          <w:b/>
          <w:u w:val="single"/>
        </w:rPr>
        <w:t>Závěrečná ustanovení</w:t>
      </w:r>
    </w:p>
    <w:p w:rsidR="00205FE7" w:rsidRDefault="00E61798" w:rsidP="006531AE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 xml:space="preserve">Nemocnice </w:t>
      </w:r>
      <w:r w:rsidR="00205FE7" w:rsidRPr="005B739E">
        <w:t xml:space="preserve">bere na vědomí, že smlouvy s hodnotou předmětu převyšující 50.000 Kč bez DPH včetně dohod, na základě kterých se tyto smlouvy mění, nahrazují nebo ruší, zveřejní </w:t>
      </w:r>
      <w:r>
        <w:t>kraj</w:t>
      </w:r>
      <w:r w:rsidR="00C57379">
        <w:t xml:space="preserve"> </w:t>
      </w:r>
      <w:r w:rsidR="00205FE7" w:rsidRPr="005B739E">
        <w:t>v </w:t>
      </w:r>
      <w:r w:rsidR="00205FE7" w:rsidRPr="005B739E">
        <w:rPr>
          <w:b/>
        </w:rPr>
        <w:t xml:space="preserve">registru smluv </w:t>
      </w:r>
      <w:r w:rsidR="00205FE7" w:rsidRPr="005B739E">
        <w:t>zřízeném jako informační systém veřejné správy na základě zákona č. 340/2015 Sb., o registru smluv.</w:t>
      </w:r>
      <w:r w:rsidR="00205FE7" w:rsidRPr="005B739E">
        <w:rPr>
          <w:i/>
        </w:rPr>
        <w:t xml:space="preserve"> </w:t>
      </w:r>
      <w:r>
        <w:t>Nemocnice</w:t>
      </w:r>
      <w:r w:rsidR="00205FE7" w:rsidRPr="005B739E">
        <w:t xml:space="preserve"> výslovně souhlasí s tím, aby tato </w:t>
      </w:r>
      <w:r w:rsidR="00C64935">
        <w:t xml:space="preserve">dohoda </w:t>
      </w:r>
      <w:r w:rsidR="00205FE7" w:rsidRPr="005B739E">
        <w:t>byl</w:t>
      </w:r>
      <w:r w:rsidR="00C64935">
        <w:t>a</w:t>
      </w:r>
      <w:r w:rsidR="00205FE7" w:rsidRPr="005B739E">
        <w:t xml:space="preserve"> v plném rozsahu v registru smluv </w:t>
      </w:r>
      <w:r w:rsidR="00C64935">
        <w:t>kraj</w:t>
      </w:r>
      <w:r w:rsidR="006531AE">
        <w:t>em</w:t>
      </w:r>
      <w:r w:rsidR="00C57379">
        <w:t xml:space="preserve"> </w:t>
      </w:r>
      <w:r w:rsidR="00205FE7" w:rsidRPr="005B739E">
        <w:t>zveřejněn</w:t>
      </w:r>
      <w:r w:rsidR="00C64935">
        <w:t>a</w:t>
      </w:r>
      <w:r w:rsidR="00205FE7" w:rsidRPr="005B739E">
        <w:t>.</w:t>
      </w:r>
    </w:p>
    <w:p w:rsidR="003C5C70" w:rsidRDefault="003C5C70" w:rsidP="006531AE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Tato dohoda</w:t>
      </w:r>
      <w:r w:rsidRPr="00A85FAD">
        <w:t xml:space="preserve"> je vyhotoven</w:t>
      </w:r>
      <w:r>
        <w:t>a</w:t>
      </w:r>
      <w:r w:rsidRPr="00A85FAD">
        <w:t xml:space="preserve"> ve třech stejnopisech, z nichž dva obdrží </w:t>
      </w:r>
      <w:r w:rsidR="00C64935">
        <w:t xml:space="preserve">kraj </w:t>
      </w:r>
      <w:r w:rsidRPr="00A85FAD">
        <w:t>a jeden obdrží</w:t>
      </w:r>
      <w:r>
        <w:t xml:space="preserve"> </w:t>
      </w:r>
      <w:r w:rsidR="00C64935">
        <w:t>nemocnice</w:t>
      </w:r>
      <w:r w:rsidRPr="00A85FAD">
        <w:t>.</w:t>
      </w:r>
    </w:p>
    <w:p w:rsidR="003E57ED" w:rsidRPr="00A85FAD" w:rsidRDefault="003E57ED" w:rsidP="006531AE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Tato dohoda</w:t>
      </w:r>
      <w:r w:rsidRPr="00C82F0C">
        <w:t xml:space="preserve"> nabývá účinnosti podpisem poslední smluvní strany. V případě, že bude </w:t>
      </w:r>
      <w:r w:rsidRPr="00C82F0C">
        <w:lastRenderedPageBreak/>
        <w:t xml:space="preserve">zveřejněna </w:t>
      </w:r>
      <w:r w:rsidR="00C64935">
        <w:t>krajem</w:t>
      </w:r>
      <w:r w:rsidRPr="00C82F0C">
        <w:t xml:space="preserve"> v registru smluv, nabývá však účinnosti nejdříve tímto dnem, a to i v případě, že bude v registru smluv zveřejněna </w:t>
      </w:r>
      <w:r w:rsidR="00C64935">
        <w:t>nemocnicí</w:t>
      </w:r>
      <w:r w:rsidR="006531AE">
        <w:t xml:space="preserve"> </w:t>
      </w:r>
      <w:r w:rsidRPr="00C82F0C">
        <w:t>nebo třetí osobou před tímto dnem.</w:t>
      </w:r>
    </w:p>
    <w:p w:rsidR="003C5C70" w:rsidRPr="003319C5" w:rsidRDefault="003C5C70" w:rsidP="006531AE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A85FAD">
        <w:t>Smluvní strany prohl</w:t>
      </w:r>
      <w:r>
        <w:t>ašují, že souhlasí s textem této dohody</w:t>
      </w:r>
      <w:r w:rsidRPr="00A85FAD">
        <w:t xml:space="preserve">. </w:t>
      </w:r>
      <w:r w:rsidRPr="003C5C70">
        <w:fldChar w:fldCharType="begin">
          <w:ffData>
            <w:name w:val="Text44"/>
            <w:enabled/>
            <w:calcOnExit w:val="0"/>
            <w:textInput/>
          </w:ffData>
        </w:fldChar>
      </w:r>
      <w:r w:rsidRPr="003C5C70">
        <w:instrText xml:space="preserve"> FORMTEXT </w:instrText>
      </w:r>
      <w:r w:rsidRPr="003C5C70">
        <w:fldChar w:fldCharType="separate"/>
      </w:r>
      <w:r>
        <w:t>Tato dohoda</w:t>
      </w:r>
      <w:r w:rsidRPr="003C5C70">
        <w:t xml:space="preserve"> byl</w:t>
      </w:r>
      <w:r>
        <w:t>a</w:t>
      </w:r>
      <w:r w:rsidRPr="003C5C70">
        <w:t xml:space="preserve"> schválen</w:t>
      </w:r>
      <w:r>
        <w:t>a</w:t>
      </w:r>
      <w:r w:rsidRPr="003C5C70">
        <w:t xml:space="preserve"> usnesením </w:t>
      </w:r>
      <w:r w:rsidR="00F60757">
        <w:t xml:space="preserve">Zastupitelstva </w:t>
      </w:r>
      <w:r w:rsidRPr="003C5C70">
        <w:t>Libereckého kraje č.    ze dne</w:t>
      </w:r>
      <w:r w:rsidR="00F60757">
        <w:t xml:space="preserve"> </w:t>
      </w:r>
      <w:r w:rsidR="007B0CF8">
        <w:t>26</w:t>
      </w:r>
      <w:r w:rsidR="00F60757">
        <w:t>. 6. 2018.</w:t>
      </w:r>
      <w:r w:rsidRPr="003C5C70">
        <w:rPr>
          <w:noProof/>
        </w:rPr>
        <w:t xml:space="preserve"> </w:t>
      </w:r>
      <w:r w:rsidRPr="003C5C70">
        <w:rPr>
          <w:noProof/>
        </w:rPr>
        <w:t> </w:t>
      </w:r>
      <w:r w:rsidRPr="003C5C70">
        <w:rPr>
          <w:noProof/>
        </w:rPr>
        <w:t> </w:t>
      </w:r>
      <w:r w:rsidRPr="003C5C70">
        <w:rPr>
          <w:noProof/>
        </w:rPr>
        <w:t> </w:t>
      </w:r>
      <w:r w:rsidRPr="003C5C70">
        <w:fldChar w:fldCharType="end"/>
      </w:r>
    </w:p>
    <w:p w:rsidR="003C5C70" w:rsidRPr="003319C5" w:rsidRDefault="003C5C70" w:rsidP="006531AE">
      <w:pPr>
        <w:widowControl w:val="0"/>
        <w:jc w:val="both"/>
      </w:pPr>
    </w:p>
    <w:p w:rsidR="003C5C70" w:rsidRPr="003319C5" w:rsidRDefault="003C5C70" w:rsidP="006531AE">
      <w:pPr>
        <w:widowControl w:val="0"/>
        <w:jc w:val="both"/>
      </w:pPr>
    </w:p>
    <w:p w:rsidR="003C5C70" w:rsidRPr="000F540D" w:rsidRDefault="003C5C70" w:rsidP="006531AE">
      <w:pPr>
        <w:widowControl w:val="0"/>
        <w:tabs>
          <w:tab w:val="left" w:pos="6096"/>
        </w:tabs>
        <w:spacing w:before="120"/>
      </w:pPr>
      <w:r w:rsidRPr="000F540D">
        <w:t>V Liberci dne</w:t>
      </w:r>
      <w:r>
        <w:t xml:space="preserve">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E57ED">
        <w:tab/>
      </w:r>
      <w:r w:rsidR="00633A46">
        <w:fldChar w:fldCharType="begin">
          <w:ffData>
            <w:name w:val="Text53"/>
            <w:enabled/>
            <w:calcOnExit w:val="0"/>
            <w:textInput/>
          </w:ffData>
        </w:fldChar>
      </w:r>
      <w:bookmarkStart w:id="7" w:name="Text53"/>
      <w:r w:rsidR="00633A46">
        <w:instrText xml:space="preserve"> FORMTEXT </w:instrText>
      </w:r>
      <w:r w:rsidR="00633A46">
        <w:fldChar w:fldCharType="separate"/>
      </w:r>
      <w:r w:rsidR="00633A46">
        <w:rPr>
          <w:noProof/>
        </w:rPr>
        <w:t>V</w:t>
      </w:r>
      <w:r w:rsidR="000231F4">
        <w:rPr>
          <w:noProof/>
        </w:rPr>
        <w:t>e Frýdlantě</w:t>
      </w:r>
      <w:r w:rsidR="00633A46">
        <w:rPr>
          <w:noProof/>
        </w:rPr>
        <w:t xml:space="preserve"> dne         </w:t>
      </w:r>
      <w:r w:rsidR="00633A46">
        <w:rPr>
          <w:noProof/>
        </w:rPr>
        <w:t> </w:t>
      </w:r>
      <w:r w:rsidR="00633A46">
        <w:rPr>
          <w:noProof/>
        </w:rPr>
        <w:t> </w:t>
      </w:r>
      <w:r w:rsidR="00633A46">
        <w:rPr>
          <w:noProof/>
        </w:rPr>
        <w:t> </w:t>
      </w:r>
      <w:r w:rsidR="00633A46">
        <w:rPr>
          <w:noProof/>
        </w:rPr>
        <w:t> </w:t>
      </w:r>
      <w:r w:rsidR="00633A46">
        <w:fldChar w:fldCharType="end"/>
      </w:r>
      <w:bookmarkEnd w:id="7"/>
    </w:p>
    <w:p w:rsidR="003E57ED" w:rsidRDefault="003E57ED" w:rsidP="006531AE">
      <w:pPr>
        <w:widowControl w:val="0"/>
        <w:tabs>
          <w:tab w:val="left" w:pos="6660"/>
        </w:tabs>
        <w:spacing w:before="120"/>
        <w:rPr>
          <w:u w:val="single"/>
        </w:rPr>
      </w:pPr>
    </w:p>
    <w:p w:rsidR="003C5C70" w:rsidRPr="000F540D" w:rsidRDefault="003C5C70" w:rsidP="006531AE">
      <w:pPr>
        <w:widowControl w:val="0"/>
        <w:tabs>
          <w:tab w:val="left" w:pos="6660"/>
        </w:tabs>
        <w:spacing w:before="120"/>
      </w:pPr>
    </w:p>
    <w:p w:rsidR="003C5C70" w:rsidRDefault="003C5C70" w:rsidP="006531AE">
      <w:pPr>
        <w:widowControl w:val="0"/>
        <w:tabs>
          <w:tab w:val="left" w:pos="6096"/>
        </w:tabs>
        <w:spacing w:before="120"/>
      </w:pPr>
      <w:r w:rsidRPr="000F540D">
        <w:t>………………………………</w:t>
      </w:r>
      <w:r w:rsidRPr="000F540D">
        <w:tab/>
        <w:t>…………………………</w:t>
      </w:r>
    </w:p>
    <w:p w:rsidR="000231F4" w:rsidRDefault="000231F4" w:rsidP="000231F4">
      <w:pPr>
        <w:widowControl w:val="0"/>
        <w:tabs>
          <w:tab w:val="left" w:pos="6096"/>
        </w:tabs>
        <w:spacing w:before="120"/>
      </w:pPr>
      <w:r>
        <w:t>Martin Půta</w:t>
      </w:r>
      <w:r>
        <w:tab/>
        <w:t xml:space="preserve">MUDr. Jiří </w:t>
      </w:r>
      <w:proofErr w:type="spellStart"/>
      <w:r>
        <w:t>Madar</w:t>
      </w:r>
      <w:proofErr w:type="spellEnd"/>
    </w:p>
    <w:p w:rsidR="000231F4" w:rsidRPr="0086358E" w:rsidRDefault="000231F4" w:rsidP="000231F4">
      <w:pPr>
        <w:widowControl w:val="0"/>
        <w:tabs>
          <w:tab w:val="left" w:pos="6096"/>
        </w:tabs>
        <w:spacing w:before="120"/>
      </w:pPr>
      <w:r>
        <w:t xml:space="preserve">hejtman Libereckého kraje                       </w:t>
      </w:r>
      <w:r>
        <w:tab/>
        <w:t xml:space="preserve">jednatel </w:t>
      </w:r>
    </w:p>
    <w:p w:rsidR="00801A4D" w:rsidRDefault="0086358E" w:rsidP="006531AE">
      <w:pPr>
        <w:widowControl w:val="0"/>
        <w:tabs>
          <w:tab w:val="left" w:pos="6096"/>
        </w:tabs>
        <w:spacing w:before="120"/>
      </w:pPr>
      <w:r w:rsidRPr="0086358E">
        <w:t xml:space="preserve">                                                                             </w:t>
      </w:r>
      <w:r w:rsidR="006531AE">
        <w:t xml:space="preserve">                         </w:t>
      </w:r>
      <w:r w:rsidRPr="0086358E">
        <w:t xml:space="preserve">                      </w:t>
      </w: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/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801A4D" w:rsidRDefault="00801A4D" w:rsidP="00801A4D">
      <w:pPr>
        <w:pStyle w:val="Nadpis4"/>
        <w:spacing w:before="0" w:line="276" w:lineRule="auto"/>
        <w:rPr>
          <w:rFonts w:ascii="Times New Roman" w:hAnsi="Times New Roman"/>
          <w:b w:val="0"/>
          <w:sz w:val="24"/>
          <w:szCs w:val="24"/>
        </w:rPr>
      </w:pPr>
    </w:p>
    <w:p w:rsidR="00DB2BC5" w:rsidRDefault="00DB2BC5" w:rsidP="006531AE">
      <w:pPr>
        <w:widowControl w:val="0"/>
        <w:tabs>
          <w:tab w:val="left" w:pos="6096"/>
        </w:tabs>
        <w:spacing w:before="120"/>
      </w:pPr>
    </w:p>
    <w:p w:rsidR="00DB2BC5" w:rsidRDefault="00DB2BC5" w:rsidP="006531AE">
      <w:pPr>
        <w:widowControl w:val="0"/>
        <w:tabs>
          <w:tab w:val="left" w:pos="6096"/>
        </w:tabs>
        <w:spacing w:before="120"/>
      </w:pPr>
    </w:p>
    <w:p w:rsidR="00DB2BC5" w:rsidRDefault="00DB2BC5" w:rsidP="006531AE">
      <w:pPr>
        <w:widowControl w:val="0"/>
        <w:tabs>
          <w:tab w:val="left" w:pos="6096"/>
        </w:tabs>
        <w:spacing w:before="120"/>
      </w:pPr>
    </w:p>
    <w:p w:rsidR="00DB2BC5" w:rsidRDefault="00DB2BC5" w:rsidP="006531AE">
      <w:pPr>
        <w:widowControl w:val="0"/>
        <w:tabs>
          <w:tab w:val="left" w:pos="6096"/>
        </w:tabs>
        <w:spacing w:before="120"/>
      </w:pPr>
    </w:p>
    <w:p w:rsidR="00DB2BC5" w:rsidRDefault="00DB2BC5" w:rsidP="006531AE">
      <w:pPr>
        <w:widowControl w:val="0"/>
        <w:tabs>
          <w:tab w:val="left" w:pos="6096"/>
        </w:tabs>
        <w:spacing w:before="120"/>
      </w:pPr>
    </w:p>
    <w:p w:rsidR="00DB2BC5" w:rsidRDefault="00DB2BC5" w:rsidP="006531AE">
      <w:pPr>
        <w:widowControl w:val="0"/>
        <w:tabs>
          <w:tab w:val="left" w:pos="6096"/>
        </w:tabs>
        <w:spacing w:before="120"/>
      </w:pPr>
    </w:p>
    <w:p w:rsidR="000231F4" w:rsidRDefault="000231F4" w:rsidP="006531AE">
      <w:pPr>
        <w:widowControl w:val="0"/>
        <w:tabs>
          <w:tab w:val="left" w:pos="6096"/>
        </w:tabs>
        <w:spacing w:before="120"/>
      </w:pPr>
    </w:p>
    <w:p w:rsidR="000231F4" w:rsidRDefault="000231F4" w:rsidP="000231F4">
      <w:pPr>
        <w:pStyle w:val="Nadpis4"/>
        <w:spacing w:before="0" w:line="276" w:lineRule="auto"/>
      </w:pPr>
      <w:r w:rsidRPr="009C57FB">
        <w:rPr>
          <w:rFonts w:ascii="Times New Roman" w:hAnsi="Times New Roman"/>
          <w:b w:val="0"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/>
          <w:b w:val="0"/>
          <w:sz w:val="24"/>
          <w:szCs w:val="24"/>
        </w:rPr>
        <w:t>1</w:t>
      </w:r>
    </w:p>
    <w:p w:rsidR="000231F4" w:rsidRPr="00133EB0" w:rsidRDefault="000231F4" w:rsidP="000231F4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0231F4" w:rsidRPr="00133EB0" w:rsidRDefault="000231F4" w:rsidP="000231F4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0231F4" w:rsidRPr="00F83D9F" w:rsidRDefault="000231F4" w:rsidP="000231F4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na zajištění poskytování lékařské pohotovostní služby</w:t>
      </w:r>
    </w:p>
    <w:p w:rsidR="000231F4" w:rsidRPr="00133EB0" w:rsidRDefault="000231F4" w:rsidP="000231F4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za rok 201</w:t>
      </w:r>
      <w:r>
        <w:rPr>
          <w:rFonts w:ascii="Times New Roman" w:hAnsi="Times New Roman"/>
        </w:rPr>
        <w:t>8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0231F4" w:rsidRPr="00F83D9F" w:rsidTr="008A0F86">
        <w:tc>
          <w:tcPr>
            <w:tcW w:w="3706" w:type="dxa"/>
            <w:vAlign w:val="center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F83D9F" w:rsidTr="008A0F86">
        <w:trPr>
          <w:trHeight w:val="622"/>
        </w:trPr>
        <w:tc>
          <w:tcPr>
            <w:tcW w:w="3706" w:type="dxa"/>
            <w:vAlign w:val="center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F83D9F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F83D9F" w:rsidTr="008A0F86">
        <w:tc>
          <w:tcPr>
            <w:tcW w:w="3706" w:type="dxa"/>
            <w:vAlign w:val="center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náklady</w:t>
            </w:r>
            <w:r w:rsidRPr="00F83D9F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F83D9F" w:rsidTr="008A0F86">
        <w:tc>
          <w:tcPr>
            <w:tcW w:w="3706" w:type="dxa"/>
            <w:vAlign w:val="center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výnosy</w:t>
            </w:r>
            <w:r w:rsidRPr="00F83D9F">
              <w:rPr>
                <w:bCs/>
              </w:rPr>
              <w:t xml:space="preserve"> z činnosti </w:t>
            </w:r>
            <w:r w:rsidRPr="00F83D9F">
              <w:rPr>
                <w:bCs/>
              </w:rPr>
              <w:br/>
              <w:t>pro poskytovatele v</w:t>
            </w:r>
            <w:r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F83D9F" w:rsidTr="008A0F86">
        <w:tc>
          <w:tcPr>
            <w:tcW w:w="3706" w:type="dxa"/>
            <w:vAlign w:val="center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  <w:u w:val="single"/>
              </w:rPr>
              <w:t>Rozdíl</w:t>
            </w:r>
            <w:r w:rsidRPr="00F83D9F">
              <w:rPr>
                <w:bCs/>
              </w:rPr>
              <w:t xml:space="preserve"> nákladů a výnosů v</w:t>
            </w:r>
            <w:r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F83D9F" w:rsidTr="008A0F86">
        <w:trPr>
          <w:trHeight w:val="265"/>
        </w:trPr>
        <w:tc>
          <w:tcPr>
            <w:tcW w:w="3706" w:type="dxa"/>
            <w:vAlign w:val="center"/>
          </w:tcPr>
          <w:p w:rsidR="000231F4" w:rsidRPr="00F83D9F" w:rsidRDefault="000231F4" w:rsidP="008A0F86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0231F4" w:rsidRPr="00F83D9F" w:rsidTr="008A0F86">
        <w:trPr>
          <w:trHeight w:val="265"/>
        </w:trPr>
        <w:tc>
          <w:tcPr>
            <w:tcW w:w="3706" w:type="dxa"/>
            <w:vAlign w:val="center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byla čerpána v plné výši</w:t>
            </w:r>
            <w:r w:rsidRPr="00F83D9F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nebyla čerpána v plné výši</w:t>
            </w:r>
            <w:r w:rsidRPr="00F83D9F">
              <w:rPr>
                <w:vertAlign w:val="superscript"/>
              </w:rPr>
              <w:t>*</w:t>
            </w:r>
          </w:p>
        </w:tc>
      </w:tr>
      <w:tr w:rsidR="000231F4" w:rsidRPr="00F83D9F" w:rsidTr="008A0F86">
        <w:trPr>
          <w:trHeight w:val="265"/>
        </w:trPr>
        <w:tc>
          <w:tcPr>
            <w:tcW w:w="3706" w:type="dxa"/>
            <w:vAlign w:val="center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t>Nevyčerpané finanční prostředky ve výši (v Kč):</w:t>
            </w:r>
          </w:p>
        </w:tc>
        <w:tc>
          <w:tcPr>
            <w:tcW w:w="2639" w:type="dxa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0231F4" w:rsidRPr="00F83D9F" w:rsidRDefault="000231F4" w:rsidP="008A0F86">
            <w:pPr>
              <w:spacing w:line="276" w:lineRule="auto"/>
            </w:pPr>
            <w:r w:rsidRPr="00F83D9F">
              <w:t xml:space="preserve">byly v souladu se smlouvou vráceny na účet </w:t>
            </w:r>
            <w:r>
              <w:t>kraje</w:t>
            </w:r>
            <w:r w:rsidRPr="00F83D9F">
              <w:t xml:space="preserve"> dne: …………………………….</w:t>
            </w:r>
          </w:p>
        </w:tc>
      </w:tr>
    </w:tbl>
    <w:p w:rsidR="000231F4" w:rsidRDefault="000231F4" w:rsidP="000231F4">
      <w:pPr>
        <w:spacing w:line="276" w:lineRule="auto"/>
        <w:outlineLvl w:val="0"/>
      </w:pPr>
      <w:r w:rsidRPr="00F83D9F">
        <w:t>* nehodící se škrtněte</w:t>
      </w:r>
    </w:p>
    <w:p w:rsidR="000231F4" w:rsidRPr="0060482F" w:rsidRDefault="000231F4" w:rsidP="000231F4">
      <w:pPr>
        <w:spacing w:line="276" w:lineRule="auto"/>
      </w:pPr>
    </w:p>
    <w:p w:rsidR="000231F4" w:rsidRPr="0060482F" w:rsidRDefault="000231F4" w:rsidP="000231F4">
      <w:pPr>
        <w:spacing w:line="276" w:lineRule="auto"/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>a výnosů, které prokazatelně vznikly v souvislosti s poskytováním veřejné služby v souladu s Pověřením včetně zprávy o použití a využití poskytnutých finančních prostředků.</w:t>
      </w:r>
    </w:p>
    <w:p w:rsidR="000231F4" w:rsidRPr="0060482F" w:rsidRDefault="000231F4" w:rsidP="000231F4">
      <w:pPr>
        <w:spacing w:line="276" w:lineRule="auto"/>
      </w:pPr>
      <w:r w:rsidRPr="0060482F">
        <w:t xml:space="preserve">Originály účetních dokladů jsou uloženy (místo, odpovědná osoba): </w:t>
      </w:r>
    </w:p>
    <w:p w:rsidR="000231F4" w:rsidRPr="0060482F" w:rsidRDefault="000231F4" w:rsidP="000231F4">
      <w:pPr>
        <w:spacing w:line="276" w:lineRule="auto"/>
      </w:pPr>
    </w:p>
    <w:p w:rsidR="000231F4" w:rsidRPr="0060482F" w:rsidRDefault="000231F4" w:rsidP="000231F4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0231F4" w:rsidRDefault="000231F4" w:rsidP="000231F4">
      <w:pPr>
        <w:spacing w:line="276" w:lineRule="auto"/>
      </w:pPr>
      <w:r w:rsidRPr="0060482F">
        <w:t xml:space="preserve">Na základě výzvy </w:t>
      </w:r>
      <w:r>
        <w:t>kraje</w:t>
      </w:r>
      <w:r w:rsidRPr="0060482F">
        <w:t xml:space="preserve"> je </w:t>
      </w:r>
      <w:r>
        <w:t>nemocnice</w:t>
      </w:r>
      <w:r w:rsidRPr="0060482F">
        <w:t xml:space="preserve"> povin</w:t>
      </w:r>
      <w:r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0231F4" w:rsidRDefault="000231F4" w:rsidP="000231F4">
      <w:pPr>
        <w:spacing w:line="276" w:lineRule="auto"/>
      </w:pPr>
    </w:p>
    <w:p w:rsidR="000231F4" w:rsidRPr="0060482F" w:rsidRDefault="000231F4" w:rsidP="000231F4">
      <w:pPr>
        <w:spacing w:line="276" w:lineRule="auto"/>
      </w:pPr>
    </w:p>
    <w:p w:rsidR="000231F4" w:rsidRPr="0060482F" w:rsidRDefault="000231F4" w:rsidP="000231F4">
      <w:pPr>
        <w:spacing w:before="120" w:line="276" w:lineRule="auto"/>
      </w:pPr>
      <w:r w:rsidRPr="0060482F">
        <w:t>V  ............................................ dne  ...............................................</w:t>
      </w:r>
    </w:p>
    <w:p w:rsidR="000231F4" w:rsidRPr="0060482F" w:rsidRDefault="000231F4" w:rsidP="000231F4">
      <w:pPr>
        <w:spacing w:before="120" w:line="276" w:lineRule="auto"/>
        <w:ind w:left="4961" w:firstLine="709"/>
      </w:pPr>
      <w:r w:rsidRPr="0060482F">
        <w:t>...................................................</w:t>
      </w:r>
    </w:p>
    <w:p w:rsidR="000231F4" w:rsidRPr="0060482F" w:rsidRDefault="000231F4" w:rsidP="000231F4">
      <w:pPr>
        <w:spacing w:line="276" w:lineRule="auto"/>
      </w:pPr>
      <w:r w:rsidRPr="0060482F">
        <w:t xml:space="preserve">                                                                                        </w:t>
      </w:r>
      <w:r>
        <w:t xml:space="preserve">         </w:t>
      </w:r>
      <w:r w:rsidRPr="0060482F">
        <w:t xml:space="preserve"> </w:t>
      </w:r>
      <w:r>
        <w:t xml:space="preserve"> jméno, příjmení a podpis</w:t>
      </w:r>
    </w:p>
    <w:p w:rsidR="000231F4" w:rsidRDefault="000231F4" w:rsidP="000231F4">
      <w:pPr>
        <w:spacing w:line="276" w:lineRule="auto"/>
      </w:pPr>
    </w:p>
    <w:p w:rsidR="000231F4" w:rsidRPr="0060482F" w:rsidRDefault="000231F4" w:rsidP="000231F4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odpovědné osoby</w:t>
      </w:r>
    </w:p>
    <w:p w:rsidR="000231F4" w:rsidRPr="00764845" w:rsidRDefault="000231F4" w:rsidP="000231F4">
      <w:pPr>
        <w:spacing w:line="276" w:lineRule="auto"/>
        <w:rPr>
          <w:bCs/>
        </w:rPr>
      </w:pPr>
      <w:r w:rsidRPr="00764845">
        <w:rPr>
          <w:bCs/>
        </w:rPr>
        <w:lastRenderedPageBreak/>
        <w:t xml:space="preserve">Příloha č. </w:t>
      </w:r>
      <w:r>
        <w:rPr>
          <w:bCs/>
        </w:rPr>
        <w:t>2</w:t>
      </w:r>
    </w:p>
    <w:p w:rsidR="000231F4" w:rsidRPr="002A6D7A" w:rsidRDefault="000231F4" w:rsidP="000231F4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zpráva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0231F4" w:rsidRPr="002A6D7A" w:rsidTr="008A0F86">
        <w:tc>
          <w:tcPr>
            <w:tcW w:w="3706" w:type="dxa"/>
            <w:vAlign w:val="center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rPr>
                <w:b/>
                <w:bCs/>
              </w:rPr>
              <w:t>Vyrovnávací platba na</w:t>
            </w:r>
            <w:r w:rsidRPr="002A6D7A">
              <w:rPr>
                <w:b/>
                <w:bCs/>
              </w:rPr>
              <w:t>:</w:t>
            </w:r>
          </w:p>
        </w:tc>
        <w:tc>
          <w:tcPr>
            <w:tcW w:w="5579" w:type="dxa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Zajištění lékařské pohotovostní služby</w:t>
            </w:r>
          </w:p>
        </w:tc>
      </w:tr>
      <w:tr w:rsidR="000231F4" w:rsidRPr="002A6D7A" w:rsidTr="008A0F86">
        <w:tc>
          <w:tcPr>
            <w:tcW w:w="3706" w:type="dxa"/>
            <w:vAlign w:val="center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2A6D7A" w:rsidTr="008A0F86">
        <w:tc>
          <w:tcPr>
            <w:tcW w:w="3706" w:type="dxa"/>
            <w:vAlign w:val="center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F83D9F" w:rsidTr="008A0F86">
        <w:trPr>
          <w:trHeight w:val="265"/>
        </w:trPr>
        <w:tc>
          <w:tcPr>
            <w:tcW w:w="3706" w:type="dxa"/>
            <w:vAlign w:val="center"/>
          </w:tcPr>
          <w:p w:rsidR="000231F4" w:rsidRPr="00F83D9F" w:rsidRDefault="000231F4" w:rsidP="008A0F86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</w:tcPr>
          <w:p w:rsidR="000231F4" w:rsidRPr="00F83D9F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0231F4" w:rsidRPr="002A6D7A" w:rsidRDefault="000231F4" w:rsidP="000231F4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0231F4" w:rsidRPr="002A6D7A" w:rsidRDefault="000231F4" w:rsidP="000231F4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0231F4" w:rsidRPr="002A6D7A" w:rsidRDefault="000231F4" w:rsidP="000231F4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0231F4" w:rsidRPr="002A6D7A" w:rsidRDefault="000231F4" w:rsidP="000231F4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31F4" w:rsidRPr="002A6D7A" w:rsidTr="008A0F86">
        <w:trPr>
          <w:trHeight w:val="791"/>
        </w:trPr>
        <w:tc>
          <w:tcPr>
            <w:tcW w:w="9210" w:type="dxa"/>
          </w:tcPr>
          <w:p w:rsidR="000231F4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color w:val="000000"/>
              </w:rPr>
            </w:pPr>
            <w:r w:rsidRPr="009C21FE">
              <w:rPr>
                <w:color w:val="000000"/>
              </w:rPr>
              <w:t>poč</w:t>
            </w:r>
            <w:r>
              <w:rPr>
                <w:color w:val="000000"/>
              </w:rPr>
              <w:t>e</w:t>
            </w:r>
            <w:r w:rsidRPr="009C21FE">
              <w:rPr>
                <w:color w:val="000000"/>
              </w:rPr>
              <w:t xml:space="preserve">t </w:t>
            </w:r>
            <w:r>
              <w:rPr>
                <w:color w:val="000000"/>
              </w:rPr>
              <w:t xml:space="preserve">ošetřených </w:t>
            </w:r>
            <w:r w:rsidRPr="009C21FE">
              <w:rPr>
                <w:color w:val="000000"/>
              </w:rPr>
              <w:t xml:space="preserve">osob </w:t>
            </w:r>
            <w:r>
              <w:rPr>
                <w:color w:val="000000"/>
              </w:rPr>
              <w:t>– dospělí:</w:t>
            </w:r>
          </w:p>
          <w:p w:rsidR="000231F4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color w:val="000000"/>
              </w:rPr>
            </w:pPr>
            <w:r w:rsidRPr="009C21FE">
              <w:rPr>
                <w:color w:val="000000"/>
              </w:rPr>
              <w:t>poč</w:t>
            </w:r>
            <w:r>
              <w:rPr>
                <w:color w:val="000000"/>
              </w:rPr>
              <w:t>et</w:t>
            </w:r>
            <w:r w:rsidRPr="009C21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ošetřených </w:t>
            </w:r>
            <w:r w:rsidRPr="009C21FE">
              <w:rPr>
                <w:color w:val="000000"/>
              </w:rPr>
              <w:t xml:space="preserve">osob </w:t>
            </w:r>
            <w:r>
              <w:rPr>
                <w:color w:val="000000"/>
              </w:rPr>
              <w:t>– děti:</w:t>
            </w:r>
          </w:p>
          <w:p w:rsidR="000231F4" w:rsidRPr="005D17D7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počet dnů poskytované služby v daném roce:</w:t>
            </w:r>
          </w:p>
          <w:p w:rsidR="000231F4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vymezení skutečného časového rozsahu poskytované služby:</w:t>
            </w:r>
          </w:p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průměrné mzdové náklady na 1 hodinu výkonu lékaře při poskytování služby:</w:t>
            </w:r>
          </w:p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průměrné mzdové náklady na 1 hodinu výkonu sestry při poskytování služby:</w:t>
            </w:r>
          </w:p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2A6D7A" w:rsidTr="008A0F86">
        <w:trPr>
          <w:trHeight w:val="791"/>
        </w:trPr>
        <w:tc>
          <w:tcPr>
            <w:tcW w:w="9210" w:type="dxa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0231F4" w:rsidRPr="002A6D7A" w:rsidTr="008A0F86">
        <w:trPr>
          <w:trHeight w:val="791"/>
        </w:trPr>
        <w:tc>
          <w:tcPr>
            <w:tcW w:w="9210" w:type="dxa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Schválil (statutární zástupce příjemce):</w:t>
            </w:r>
          </w:p>
        </w:tc>
      </w:tr>
      <w:tr w:rsidR="000231F4" w:rsidRPr="002A6D7A" w:rsidTr="008A0F86">
        <w:trPr>
          <w:trHeight w:val="791"/>
        </w:trPr>
        <w:tc>
          <w:tcPr>
            <w:tcW w:w="9210" w:type="dxa"/>
          </w:tcPr>
          <w:p w:rsidR="000231F4" w:rsidRPr="002A6D7A" w:rsidRDefault="000231F4" w:rsidP="008A0F86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  <w:r>
              <w:t>:</w:t>
            </w:r>
          </w:p>
        </w:tc>
      </w:tr>
    </w:tbl>
    <w:p w:rsidR="000231F4" w:rsidRPr="002A6D7A" w:rsidRDefault="000231F4" w:rsidP="000231F4">
      <w:pPr>
        <w:autoSpaceDE w:val="0"/>
        <w:autoSpaceDN w:val="0"/>
        <w:spacing w:line="276" w:lineRule="auto"/>
        <w:rPr>
          <w:b/>
          <w:bCs/>
        </w:rPr>
      </w:pPr>
    </w:p>
    <w:p w:rsidR="000231F4" w:rsidRPr="00012636" w:rsidRDefault="000231F4" w:rsidP="000231F4">
      <w:pPr>
        <w:spacing w:line="276" w:lineRule="auto"/>
        <w:jc w:val="both"/>
        <w:rPr>
          <w:b/>
        </w:rPr>
      </w:pPr>
    </w:p>
    <w:p w:rsidR="000231F4" w:rsidRPr="00012636" w:rsidRDefault="000231F4" w:rsidP="000231F4">
      <w:pPr>
        <w:spacing w:line="276" w:lineRule="auto"/>
        <w:rPr>
          <w:b/>
        </w:rPr>
      </w:pPr>
    </w:p>
    <w:p w:rsidR="00902F19" w:rsidRDefault="0086358E" w:rsidP="006531AE">
      <w:pPr>
        <w:widowControl w:val="0"/>
        <w:tabs>
          <w:tab w:val="left" w:pos="6096"/>
        </w:tabs>
        <w:spacing w:before="120"/>
        <w:rPr>
          <w:noProof/>
        </w:rPr>
      </w:pPr>
      <w:r w:rsidRPr="0086358E">
        <w:tab/>
      </w:r>
    </w:p>
    <w:sectPr w:rsidR="00902F1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B1" w:rsidRDefault="00A758B1" w:rsidP="00E460CC">
      <w:r>
        <w:separator/>
      </w:r>
    </w:p>
  </w:endnote>
  <w:endnote w:type="continuationSeparator" w:id="0">
    <w:p w:rsidR="00A758B1" w:rsidRDefault="00A758B1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7449">
      <w:rPr>
        <w:noProof/>
      </w:rPr>
      <w:t>1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B1" w:rsidRDefault="00A758B1" w:rsidP="00E460CC">
      <w:r>
        <w:separator/>
      </w:r>
    </w:p>
  </w:footnote>
  <w:footnote w:type="continuationSeparator" w:id="0">
    <w:p w:rsidR="00A758B1" w:rsidRDefault="00A758B1" w:rsidP="00E4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EF" w:rsidRDefault="00853CEF">
    <w:pPr>
      <w:pStyle w:val="Zhlav"/>
    </w:pPr>
    <w:r>
      <w:t>P</w:t>
    </w:r>
    <w:r w:rsidR="00C37449">
      <w:t>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3"/>
    <w:rsid w:val="00006B5E"/>
    <w:rsid w:val="000118E2"/>
    <w:rsid w:val="000231F4"/>
    <w:rsid w:val="000329AE"/>
    <w:rsid w:val="000335D5"/>
    <w:rsid w:val="000335DB"/>
    <w:rsid w:val="00035425"/>
    <w:rsid w:val="00044DBA"/>
    <w:rsid w:val="00045DCE"/>
    <w:rsid w:val="00047C7D"/>
    <w:rsid w:val="00054F5A"/>
    <w:rsid w:val="000B0E51"/>
    <w:rsid w:val="000E5DB4"/>
    <w:rsid w:val="00111F2F"/>
    <w:rsid w:val="00114E44"/>
    <w:rsid w:val="00117F0D"/>
    <w:rsid w:val="00141ADD"/>
    <w:rsid w:val="00195991"/>
    <w:rsid w:val="001B51D6"/>
    <w:rsid w:val="001C6B63"/>
    <w:rsid w:val="001D48C5"/>
    <w:rsid w:val="001E41C0"/>
    <w:rsid w:val="001E5DB9"/>
    <w:rsid w:val="001F6925"/>
    <w:rsid w:val="00205FE7"/>
    <w:rsid w:val="00216299"/>
    <w:rsid w:val="00230381"/>
    <w:rsid w:val="00237FA5"/>
    <w:rsid w:val="00241D3F"/>
    <w:rsid w:val="002867E9"/>
    <w:rsid w:val="00290BF8"/>
    <w:rsid w:val="002A27C8"/>
    <w:rsid w:val="00306C91"/>
    <w:rsid w:val="00325BEE"/>
    <w:rsid w:val="00332D9C"/>
    <w:rsid w:val="003530BE"/>
    <w:rsid w:val="003736F3"/>
    <w:rsid w:val="003871F0"/>
    <w:rsid w:val="00390237"/>
    <w:rsid w:val="003A57CE"/>
    <w:rsid w:val="003B5283"/>
    <w:rsid w:val="003B5C2C"/>
    <w:rsid w:val="003B7714"/>
    <w:rsid w:val="003C37D2"/>
    <w:rsid w:val="003C5C70"/>
    <w:rsid w:val="003E57ED"/>
    <w:rsid w:val="0040513D"/>
    <w:rsid w:val="00441746"/>
    <w:rsid w:val="00445DBB"/>
    <w:rsid w:val="0046046F"/>
    <w:rsid w:val="00486C90"/>
    <w:rsid w:val="00494233"/>
    <w:rsid w:val="004952D3"/>
    <w:rsid w:val="00495D76"/>
    <w:rsid w:val="004A55C0"/>
    <w:rsid w:val="004B2323"/>
    <w:rsid w:val="004E173F"/>
    <w:rsid w:val="004E571E"/>
    <w:rsid w:val="00502F8F"/>
    <w:rsid w:val="0050344D"/>
    <w:rsid w:val="00506BE7"/>
    <w:rsid w:val="00540299"/>
    <w:rsid w:val="00556BF7"/>
    <w:rsid w:val="005B3152"/>
    <w:rsid w:val="005E56C3"/>
    <w:rsid w:val="005F1A84"/>
    <w:rsid w:val="005F2958"/>
    <w:rsid w:val="0062391B"/>
    <w:rsid w:val="00623ED3"/>
    <w:rsid w:val="00633A46"/>
    <w:rsid w:val="006531AE"/>
    <w:rsid w:val="00664C58"/>
    <w:rsid w:val="006A5C26"/>
    <w:rsid w:val="006A686C"/>
    <w:rsid w:val="006B526B"/>
    <w:rsid w:val="006C29F8"/>
    <w:rsid w:val="006C5388"/>
    <w:rsid w:val="006C6FDC"/>
    <w:rsid w:val="006E67AD"/>
    <w:rsid w:val="006F2747"/>
    <w:rsid w:val="007004F5"/>
    <w:rsid w:val="00702544"/>
    <w:rsid w:val="00727F12"/>
    <w:rsid w:val="00742F51"/>
    <w:rsid w:val="007512EB"/>
    <w:rsid w:val="00754FF6"/>
    <w:rsid w:val="007765BC"/>
    <w:rsid w:val="0078624C"/>
    <w:rsid w:val="00786AD7"/>
    <w:rsid w:val="00791834"/>
    <w:rsid w:val="0079740B"/>
    <w:rsid w:val="007B0CF8"/>
    <w:rsid w:val="007B31A2"/>
    <w:rsid w:val="007D7075"/>
    <w:rsid w:val="007E03B5"/>
    <w:rsid w:val="007F5709"/>
    <w:rsid w:val="00801A4D"/>
    <w:rsid w:val="00843E39"/>
    <w:rsid w:val="00844167"/>
    <w:rsid w:val="00845658"/>
    <w:rsid w:val="00850C67"/>
    <w:rsid w:val="00853CEF"/>
    <w:rsid w:val="0086358E"/>
    <w:rsid w:val="008722A5"/>
    <w:rsid w:val="00893B14"/>
    <w:rsid w:val="008B4688"/>
    <w:rsid w:val="008C3811"/>
    <w:rsid w:val="008C65EA"/>
    <w:rsid w:val="008D2FDB"/>
    <w:rsid w:val="00902F19"/>
    <w:rsid w:val="00907ECE"/>
    <w:rsid w:val="00922EC3"/>
    <w:rsid w:val="00930109"/>
    <w:rsid w:val="0093161C"/>
    <w:rsid w:val="00954437"/>
    <w:rsid w:val="00991BE7"/>
    <w:rsid w:val="009922D8"/>
    <w:rsid w:val="009C46B7"/>
    <w:rsid w:val="009F72ED"/>
    <w:rsid w:val="00A30F3D"/>
    <w:rsid w:val="00A36E82"/>
    <w:rsid w:val="00A4433F"/>
    <w:rsid w:val="00A448D8"/>
    <w:rsid w:val="00A741DE"/>
    <w:rsid w:val="00A758B1"/>
    <w:rsid w:val="00A81FCE"/>
    <w:rsid w:val="00A83A07"/>
    <w:rsid w:val="00A87A7B"/>
    <w:rsid w:val="00A93751"/>
    <w:rsid w:val="00A947A2"/>
    <w:rsid w:val="00AF2B47"/>
    <w:rsid w:val="00AF722C"/>
    <w:rsid w:val="00B21911"/>
    <w:rsid w:val="00B42985"/>
    <w:rsid w:val="00B67423"/>
    <w:rsid w:val="00B73106"/>
    <w:rsid w:val="00B844C0"/>
    <w:rsid w:val="00B96055"/>
    <w:rsid w:val="00BA13B5"/>
    <w:rsid w:val="00BB357A"/>
    <w:rsid w:val="00BE087A"/>
    <w:rsid w:val="00BE6D8D"/>
    <w:rsid w:val="00BF75BB"/>
    <w:rsid w:val="00C24DBB"/>
    <w:rsid w:val="00C37449"/>
    <w:rsid w:val="00C57379"/>
    <w:rsid w:val="00C64935"/>
    <w:rsid w:val="00C93873"/>
    <w:rsid w:val="00CE336E"/>
    <w:rsid w:val="00D1243A"/>
    <w:rsid w:val="00D17C56"/>
    <w:rsid w:val="00D30790"/>
    <w:rsid w:val="00D3309B"/>
    <w:rsid w:val="00D34EFC"/>
    <w:rsid w:val="00D35426"/>
    <w:rsid w:val="00D62A05"/>
    <w:rsid w:val="00D6604F"/>
    <w:rsid w:val="00D67258"/>
    <w:rsid w:val="00D714D7"/>
    <w:rsid w:val="00D71A6B"/>
    <w:rsid w:val="00D94EBB"/>
    <w:rsid w:val="00DB0289"/>
    <w:rsid w:val="00DB2BC5"/>
    <w:rsid w:val="00DD2C00"/>
    <w:rsid w:val="00DE16C8"/>
    <w:rsid w:val="00E159A1"/>
    <w:rsid w:val="00E24940"/>
    <w:rsid w:val="00E460CC"/>
    <w:rsid w:val="00E51BA9"/>
    <w:rsid w:val="00E530A8"/>
    <w:rsid w:val="00E61798"/>
    <w:rsid w:val="00E62303"/>
    <w:rsid w:val="00E67ACC"/>
    <w:rsid w:val="00ED6CD8"/>
    <w:rsid w:val="00EF3BB0"/>
    <w:rsid w:val="00F06A70"/>
    <w:rsid w:val="00F4248B"/>
    <w:rsid w:val="00F544F3"/>
    <w:rsid w:val="00F60757"/>
    <w:rsid w:val="00F6083A"/>
    <w:rsid w:val="00F64179"/>
    <w:rsid w:val="00F670A6"/>
    <w:rsid w:val="00F707ED"/>
    <w:rsid w:val="00F8238E"/>
    <w:rsid w:val="00F97122"/>
    <w:rsid w:val="00FA1746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01A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01A4D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01A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01A4D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55D2-0257-49FB-A525-024ECCC2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1014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zániku závazku</vt:lpstr>
    </vt:vector>
  </TitlesOfParts>
  <Company>kulk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zániku závazku</dc:title>
  <dc:creator>admin</dc:creator>
  <cp:lastModifiedBy>Bubenikova Lucie</cp:lastModifiedBy>
  <cp:revision>5</cp:revision>
  <dcterms:created xsi:type="dcterms:W3CDTF">2018-06-11T07:18:00Z</dcterms:created>
  <dcterms:modified xsi:type="dcterms:W3CDTF">2018-06-13T11:15:00Z</dcterms:modified>
</cp:coreProperties>
</file>