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z </w:t>
      </w:r>
      <w:r w:rsidR="00A13B6A">
        <w:rPr>
          <w:b/>
        </w:rPr>
        <w:t>rozpočtu</w:t>
      </w:r>
      <w:r>
        <w:rPr>
          <w:b/>
        </w:rPr>
        <w:t xml:space="preserve"> </w:t>
      </w:r>
      <w:r w:rsidRPr="00D303EE">
        <w:rPr>
          <w:b/>
        </w:rPr>
        <w:t>Libereckého kraje</w:t>
      </w:r>
    </w:p>
    <w:p w:rsidR="004523BC" w:rsidRPr="00B141AC" w:rsidRDefault="004523BC" w:rsidP="00C93558">
      <w:pPr>
        <w:spacing w:before="120" w:line="276" w:lineRule="auto"/>
        <w:jc w:val="center"/>
        <w:rPr>
          <w:b/>
        </w:rPr>
      </w:pPr>
      <w:r w:rsidRPr="00B141AC">
        <w:rPr>
          <w:b/>
        </w:rPr>
        <w:t>č. OLP/</w:t>
      </w:r>
      <w:r w:rsidR="00F6305C">
        <w:rPr>
          <w:b/>
        </w:rPr>
        <w:t>491</w:t>
      </w:r>
      <w:r w:rsidR="00F914FF">
        <w:rPr>
          <w:b/>
        </w:rPr>
        <w:t>8</w:t>
      </w:r>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00A33A49">
        <w:t>Radou</w:t>
      </w:r>
      <w:r w:rsidR="00066C78">
        <w:t xml:space="preserve"> </w:t>
      </w:r>
      <w:r w:rsidRPr="00B141AC">
        <w:t xml:space="preserve">Libereckého kraje dne </w:t>
      </w:r>
      <w:proofErr w:type="gramStart"/>
      <w:r w:rsidR="00A33A49">
        <w:t>9</w:t>
      </w:r>
      <w:r w:rsidR="00F6305C">
        <w:t>.10</w:t>
      </w:r>
      <w:r w:rsidR="00A13B6A">
        <w:t xml:space="preserve">. </w:t>
      </w:r>
      <w:r w:rsidR="002A40F2">
        <w:t>2018</w:t>
      </w:r>
      <w:proofErr w:type="gramEnd"/>
      <w:r w:rsidR="002A40F2">
        <w:t xml:space="preserve"> </w:t>
      </w:r>
      <w:r w:rsidRPr="00B141AC">
        <w:t xml:space="preserve">usnesením č. </w:t>
      </w:r>
      <w:r w:rsidR="000D1D68">
        <w:t>….</w:t>
      </w:r>
      <w:r w:rsidR="002A40F2">
        <w:t>/18/</w:t>
      </w:r>
      <w:r w:rsidR="00A33A49">
        <w:t>R</w:t>
      </w:r>
      <w:r w:rsidR="002A40F2">
        <w:t>K</w:t>
      </w: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xml:space="preserve">: </w:t>
      </w:r>
      <w:r w:rsidR="00702804" w:rsidRPr="00702804">
        <w:t>19-7964</w:t>
      </w:r>
      <w:r w:rsidR="00F914FF">
        <w:t>2</w:t>
      </w:r>
      <w:r w:rsidR="00702804" w:rsidRPr="00702804">
        <w:t>002</w:t>
      </w:r>
      <w:r w:rsidR="00F914FF">
        <w:t>8</w:t>
      </w:r>
      <w:r w:rsidR="00702804" w:rsidRPr="00702804">
        <w:t>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834EE" w:rsidP="00C93558">
      <w:pPr>
        <w:spacing w:before="120" w:line="276" w:lineRule="auto"/>
        <w:jc w:val="both"/>
        <w:rPr>
          <w:b/>
        </w:rPr>
      </w:pPr>
      <w:r>
        <w:rPr>
          <w:b/>
        </w:rPr>
        <w:t>AUTODROM PROMOTION, s.r.o.</w:t>
      </w:r>
    </w:p>
    <w:p w:rsidR="004523BC" w:rsidRPr="00875E24" w:rsidRDefault="004523BC" w:rsidP="00C93558">
      <w:pPr>
        <w:spacing w:before="120" w:line="276" w:lineRule="auto"/>
        <w:jc w:val="both"/>
      </w:pPr>
      <w:r w:rsidRPr="00875E24">
        <w:t>se sídlem</w:t>
      </w:r>
      <w:r w:rsidR="00A13B6A">
        <w:tab/>
      </w:r>
      <w:r w:rsidR="00081F8C">
        <w:tab/>
        <w:t xml:space="preserve"> :</w:t>
      </w:r>
      <w:r w:rsidR="00A13B6A">
        <w:t xml:space="preserve"> </w:t>
      </w:r>
      <w:r w:rsidR="004834EE">
        <w:t>Lindnerova 998/6, 180 00 Praha 8</w:t>
      </w:r>
    </w:p>
    <w:p w:rsidR="00E164C2" w:rsidRPr="00875E24" w:rsidRDefault="006E21E4" w:rsidP="00C93558">
      <w:pPr>
        <w:spacing w:before="120" w:line="276" w:lineRule="auto"/>
        <w:jc w:val="both"/>
      </w:pPr>
      <w:r>
        <w:t>osoba oprávněná podepsat smlouvu</w:t>
      </w:r>
      <w:r w:rsidR="00B30EAC" w:rsidRPr="00875E24">
        <w:t>:</w:t>
      </w:r>
      <w:r w:rsidR="00A13B6A">
        <w:t xml:space="preserve"> </w:t>
      </w:r>
      <w:r w:rsidR="004834EE">
        <w:t>Pavel Dušánek, jednatel</w:t>
      </w:r>
    </w:p>
    <w:p w:rsidR="004523BC" w:rsidRDefault="004523BC" w:rsidP="00C93558">
      <w:pPr>
        <w:spacing w:before="120" w:line="276" w:lineRule="auto"/>
        <w:jc w:val="both"/>
      </w:pPr>
      <w:r w:rsidRPr="00875E24">
        <w:t>IČ</w:t>
      </w:r>
      <w:r w:rsidR="00C93558" w:rsidRPr="00875E24">
        <w:t>O</w:t>
      </w:r>
      <w:r w:rsidR="00875E24" w:rsidRPr="00875E24">
        <w:t xml:space="preserve"> </w:t>
      </w:r>
      <w:r w:rsidR="00A13B6A">
        <w:tab/>
      </w:r>
      <w:r w:rsidR="00A13B6A">
        <w:tab/>
      </w:r>
      <w:r w:rsidR="00A13B6A">
        <w:tab/>
      </w:r>
      <w:r w:rsidR="00081F8C">
        <w:t xml:space="preserve"> </w:t>
      </w:r>
      <w:r w:rsidR="00B30EAC" w:rsidRPr="00875E24">
        <w:t>:</w:t>
      </w:r>
      <w:r w:rsidR="00A13B6A">
        <w:t xml:space="preserve"> </w:t>
      </w:r>
      <w:r w:rsidR="004834EE">
        <w:t>25446941</w:t>
      </w:r>
    </w:p>
    <w:p w:rsidR="00F6305C" w:rsidRPr="00875E24" w:rsidRDefault="00F6305C" w:rsidP="00C93558">
      <w:pPr>
        <w:spacing w:before="120" w:line="276" w:lineRule="auto"/>
        <w:jc w:val="both"/>
      </w:pPr>
      <w:r w:rsidRPr="00F6305C">
        <w:t>DIČ</w:t>
      </w:r>
      <w:r w:rsidRPr="00F6305C">
        <w:tab/>
      </w:r>
      <w:r w:rsidRPr="00F6305C">
        <w:tab/>
      </w:r>
      <w:r w:rsidRPr="00F6305C">
        <w:tab/>
        <w:t>: CZ</w:t>
      </w:r>
      <w:r w:rsidR="004834EE" w:rsidRPr="004834EE">
        <w:t>25446941</w:t>
      </w:r>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r w:rsidR="00A13B6A">
        <w:t xml:space="preserve"> </w:t>
      </w:r>
      <w:r w:rsidR="004834EE">
        <w:t>Komerční banka</w:t>
      </w:r>
      <w:r w:rsidR="00A13B6A">
        <w:t>, a.s.</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r w:rsidR="00A13B6A">
        <w:t xml:space="preserve"> </w:t>
      </w:r>
      <w:r w:rsidR="004834EE">
        <w:t>27-7625460287/0100</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lastRenderedPageBreak/>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w:t>
      </w:r>
      <w:r w:rsidR="003C6041">
        <w:t>ne</w:t>
      </w:r>
      <w:r>
        <w:t xml:space="preserve">investiční </w:t>
      </w:r>
      <w:r w:rsidRPr="00B141AC">
        <w:t>dotace</w:t>
      </w:r>
      <w:r>
        <w:t xml:space="preserve"> na projekt s názvem:</w:t>
      </w:r>
    </w:p>
    <w:p w:rsidR="004523BC" w:rsidRPr="00924977" w:rsidRDefault="004523BC" w:rsidP="00C93558">
      <w:pPr>
        <w:spacing w:before="120" w:line="276" w:lineRule="auto"/>
        <w:ind w:left="360"/>
        <w:jc w:val="center"/>
        <w:rPr>
          <w:b/>
        </w:rPr>
      </w:pPr>
      <w:r w:rsidRPr="004B08A1">
        <w:rPr>
          <w:b/>
        </w:rPr>
        <w:t>„</w:t>
      </w:r>
      <w:r w:rsidR="003C6041">
        <w:rPr>
          <w:b/>
        </w:rPr>
        <w:t>Kurz bezpečné jízdy pro mladé a začínající řidiče Libereckého kraje</w:t>
      </w:r>
      <w:r w:rsidRPr="004B08A1">
        <w:rPr>
          <w:b/>
        </w:rPr>
        <w:t>“,</w:t>
      </w:r>
    </w:p>
    <w:p w:rsidR="004523BC" w:rsidRPr="00394BCF" w:rsidRDefault="004523BC" w:rsidP="00DF4F60">
      <w:pPr>
        <w:spacing w:before="120" w:line="276" w:lineRule="auto"/>
        <w:ind w:left="284"/>
        <w:jc w:val="both"/>
      </w:pPr>
      <w:r w:rsidRPr="00924977">
        <w:t xml:space="preserve">který byl schválen usnesením </w:t>
      </w:r>
      <w:r w:rsidR="00A33A49">
        <w:t>Rady</w:t>
      </w:r>
      <w:r w:rsidR="00066C78">
        <w:t xml:space="preserve"> </w:t>
      </w:r>
      <w:r w:rsidR="004B08A1">
        <w:t>L</w:t>
      </w:r>
      <w:r w:rsidRPr="00394BCF">
        <w:t xml:space="preserve">ibereckého kraje č. </w:t>
      </w:r>
      <w:proofErr w:type="spellStart"/>
      <w:r w:rsidR="00FD2A72">
        <w:t>xy</w:t>
      </w:r>
      <w:proofErr w:type="spellEnd"/>
      <w:r w:rsidR="00924977" w:rsidRPr="00394BCF">
        <w:t>/18/</w:t>
      </w:r>
      <w:r w:rsidR="00A33A49">
        <w:t>R</w:t>
      </w:r>
      <w:r w:rsidR="00924977" w:rsidRPr="00394BCF">
        <w:t>K</w:t>
      </w:r>
      <w:r w:rsidRPr="00394BCF">
        <w:t xml:space="preserve"> ze dne </w:t>
      </w:r>
      <w:r w:rsidR="00A33A49">
        <w:t>9.</w:t>
      </w:r>
      <w:r w:rsidR="006E4358">
        <w:t xml:space="preserve"> 10</w:t>
      </w:r>
      <w:r w:rsidR="00FD2A72">
        <w:t>.</w:t>
      </w:r>
      <w:r w:rsidR="00394BCF">
        <w:t xml:space="preserve"> </w:t>
      </w:r>
      <w:r w:rsidR="00924977" w:rsidRPr="00394BCF">
        <w:t>2018.</w:t>
      </w:r>
    </w:p>
    <w:p w:rsidR="004523BC" w:rsidRPr="003E1F7D"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A33A49">
        <w:t>organizace kurzů bezpečné jízdy pro mladé začínající řidiče z Libereckého kraje ve věku do 25 let.</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A33A49" w:rsidP="005A6024">
            <w:pPr>
              <w:spacing w:before="120" w:line="276" w:lineRule="auto"/>
              <w:jc w:val="center"/>
            </w:pPr>
            <w:r>
              <w:t>Akce – kurz bezpečné jízdy</w:t>
            </w:r>
          </w:p>
        </w:tc>
        <w:tc>
          <w:tcPr>
            <w:tcW w:w="3071" w:type="dxa"/>
            <w:vAlign w:val="center"/>
          </w:tcPr>
          <w:p w:rsidR="004523BC" w:rsidRPr="00620AFA" w:rsidRDefault="00A33A49" w:rsidP="005A6024">
            <w:pPr>
              <w:spacing w:before="120" w:line="276" w:lineRule="auto"/>
              <w:jc w:val="center"/>
            </w:pPr>
            <w:r>
              <w:t>Den/akce</w:t>
            </w:r>
          </w:p>
        </w:tc>
        <w:tc>
          <w:tcPr>
            <w:tcW w:w="3071" w:type="dxa"/>
            <w:vAlign w:val="center"/>
          </w:tcPr>
          <w:p w:rsidR="004523BC" w:rsidRPr="00620AFA" w:rsidRDefault="00A33A49" w:rsidP="005A6024">
            <w:pPr>
              <w:spacing w:before="120" w:line="276" w:lineRule="auto"/>
              <w:jc w:val="center"/>
            </w:pPr>
            <w:r>
              <w:t>5</w:t>
            </w:r>
          </w:p>
        </w:tc>
      </w:tr>
    </w:tbl>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1F388F" w:rsidRDefault="004523BC" w:rsidP="00FD2A72">
      <w:pPr>
        <w:numPr>
          <w:ilvl w:val="0"/>
          <w:numId w:val="10"/>
        </w:numPr>
        <w:spacing w:before="120" w:line="276" w:lineRule="auto"/>
        <w:ind w:left="284" w:hanging="284"/>
        <w:jc w:val="both"/>
        <w:rPr>
          <w:highlight w:val="yellow"/>
        </w:rPr>
      </w:pPr>
      <w:r w:rsidRPr="001F388F">
        <w:rPr>
          <w:highlight w:val="yellow"/>
        </w:rPr>
        <w:t>Finanční prostředky z rozpočtu poskytovatele mohou být použity</w:t>
      </w:r>
      <w:r w:rsidR="00C300C4" w:rsidRPr="001F388F">
        <w:rPr>
          <w:highlight w:val="yellow"/>
        </w:rPr>
        <w:t xml:space="preserve"> v souladu s účelem projektu</w:t>
      </w:r>
      <w:r w:rsidR="00FD2A72" w:rsidRPr="001F388F">
        <w:rPr>
          <w:highlight w:val="yellow"/>
        </w:rPr>
        <w:t xml:space="preserve"> na </w:t>
      </w:r>
      <w:r w:rsidRPr="001F388F">
        <w:rPr>
          <w:highlight w:val="yellow"/>
        </w:rPr>
        <w:t>pořízení dlouhodobého hmotného majetku do vlastnictví příjemce na projekt uvedený v čl. I. odst. 1</w:t>
      </w:r>
      <w:r w:rsidR="003E1F7D" w:rsidRPr="001F388F">
        <w:rPr>
          <w:highlight w:val="yellow"/>
        </w:rPr>
        <w:t>.</w:t>
      </w:r>
      <w:r w:rsidRPr="001F388F">
        <w:rPr>
          <w:color w:val="A6A6A6"/>
          <w:highlight w:val="yellow"/>
        </w:rPr>
        <w:t xml:space="preserve"> </w:t>
      </w: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1F388F">
        <w:rPr>
          <w:b/>
        </w:rPr>
        <w:t>80.000</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1F388F" w:rsidP="005A6024">
            <w:pPr>
              <w:spacing w:before="120" w:line="276" w:lineRule="auto"/>
              <w:jc w:val="center"/>
            </w:pPr>
            <w:r>
              <w:t>160.000</w:t>
            </w:r>
          </w:p>
        </w:tc>
        <w:tc>
          <w:tcPr>
            <w:tcW w:w="2482" w:type="dxa"/>
            <w:vAlign w:val="center"/>
          </w:tcPr>
          <w:p w:rsidR="004523BC" w:rsidRPr="00B37221" w:rsidRDefault="00697E95" w:rsidP="005A6024">
            <w:pPr>
              <w:spacing w:before="120" w:line="276" w:lineRule="auto"/>
              <w:jc w:val="center"/>
            </w:pPr>
            <w:proofErr w:type="gramStart"/>
            <w:r>
              <w:t>100</w:t>
            </w:r>
            <w:r w:rsidR="004523BC" w:rsidRPr="00B37221">
              <w:t xml:space="preserve"> </w:t>
            </w:r>
            <w:r w:rsidR="00B631FE">
              <w:t xml:space="preserve"> </w:t>
            </w:r>
            <w:r w:rsidR="004523BC"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1F388F" w:rsidP="004C01A5">
            <w:pPr>
              <w:spacing w:before="120" w:line="276" w:lineRule="auto"/>
              <w:jc w:val="center"/>
            </w:pPr>
            <w:r>
              <w:t>80.000</w:t>
            </w:r>
          </w:p>
        </w:tc>
        <w:tc>
          <w:tcPr>
            <w:tcW w:w="2482" w:type="dxa"/>
            <w:vAlign w:val="center"/>
          </w:tcPr>
          <w:p w:rsidR="004523BC" w:rsidRPr="00B37221" w:rsidRDefault="001F388F" w:rsidP="005A6024">
            <w:pPr>
              <w:spacing w:before="120" w:line="276" w:lineRule="auto"/>
              <w:jc w:val="center"/>
            </w:pPr>
            <w:proofErr w:type="gramStart"/>
            <w:r>
              <w:t>5</w:t>
            </w:r>
            <w:r w:rsidR="00697E95">
              <w:t>0</w:t>
            </w:r>
            <w:r w:rsidR="004523BC" w:rsidRPr="00B37221">
              <w:t xml:space="preserve"> </w:t>
            </w:r>
            <w:r w:rsidR="00B631FE">
              <w:t xml:space="preserve"> </w:t>
            </w:r>
            <w:r w:rsidR="004523BC"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1F388F" w:rsidP="004C01A5">
            <w:pPr>
              <w:spacing w:before="120" w:line="276" w:lineRule="auto"/>
              <w:jc w:val="center"/>
            </w:pPr>
            <w:r>
              <w:t>80.000</w:t>
            </w:r>
          </w:p>
        </w:tc>
        <w:tc>
          <w:tcPr>
            <w:tcW w:w="2482" w:type="dxa"/>
            <w:vAlign w:val="center"/>
          </w:tcPr>
          <w:p w:rsidR="004523BC" w:rsidRPr="00B37221" w:rsidRDefault="001F388F" w:rsidP="005A6024">
            <w:pPr>
              <w:spacing w:before="120" w:line="276" w:lineRule="auto"/>
              <w:jc w:val="center"/>
            </w:pPr>
            <w:proofErr w:type="gramStart"/>
            <w:r>
              <w:t>5</w:t>
            </w:r>
            <w:r w:rsidR="00697E95">
              <w:t>0</w:t>
            </w:r>
            <w:r w:rsidR="004523BC" w:rsidRPr="00B37221">
              <w:t xml:space="preserve"> </w:t>
            </w:r>
            <w:r w:rsidR="00B631FE">
              <w:t xml:space="preserve"> </w:t>
            </w:r>
            <w:r w:rsidR="004523BC"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lastRenderedPageBreak/>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A14368">
        <w:t>5</w:t>
      </w:r>
      <w:r w:rsidRPr="00924977">
        <w:t>0</w:t>
      </w:r>
      <w:r w:rsidR="006470DC" w:rsidRPr="00924977">
        <w:t xml:space="preserve"> </w:t>
      </w:r>
      <w:r w:rsidRPr="00924977">
        <w:t>% z celkové přiznané dotace.</w:t>
      </w:r>
      <w:r w:rsidRPr="00924977">
        <w:rPr>
          <w:snapToGrid w:val="0"/>
        </w:rPr>
        <w:t xml:space="preserve"> Finanční prostředky ve výši </w:t>
      </w:r>
      <w:r w:rsidR="001F388F">
        <w:rPr>
          <w:snapToGrid w:val="0"/>
        </w:rPr>
        <w:t>40.000</w:t>
      </w:r>
      <w:r w:rsidRPr="00924977">
        <w:rPr>
          <w:snapToGrid w:val="0"/>
        </w:rPr>
        <w:t xml:space="preserve">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A14368">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697E95" w:rsidRPr="00697E95"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proofErr w:type="gramStart"/>
      <w:r w:rsidR="001F388F">
        <w:t>1.11</w:t>
      </w:r>
      <w:r w:rsidR="008F5EEC">
        <w:t>.2018</w:t>
      </w:r>
      <w:proofErr w:type="gramEnd"/>
      <w:r w:rsidR="00697E95">
        <w:t>.</w:t>
      </w:r>
    </w:p>
    <w:p w:rsidR="004523BC" w:rsidRPr="00697E95"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1F388F">
        <w:rPr>
          <w:b/>
        </w:rPr>
        <w:t>1</w:t>
      </w:r>
      <w:r w:rsidR="008F5EEC">
        <w:rPr>
          <w:b/>
        </w:rPr>
        <w:t xml:space="preserve">. </w:t>
      </w:r>
      <w:r w:rsidR="001F388F">
        <w:rPr>
          <w:b/>
        </w:rPr>
        <w:t>11</w:t>
      </w:r>
      <w:r w:rsidR="00697E95">
        <w:rPr>
          <w:b/>
        </w:rPr>
        <w:t>. 2018</w:t>
      </w:r>
      <w:r w:rsidR="00DA61FA">
        <w:t xml:space="preserve"> a </w:t>
      </w:r>
      <w:r w:rsidR="00B631FE">
        <w:t xml:space="preserve">termín </w:t>
      </w:r>
      <w:r w:rsidRPr="00634533">
        <w:t xml:space="preserve">ukončení realizace projektu je </w:t>
      </w:r>
      <w:r>
        <w:t xml:space="preserve">nejpozději </w:t>
      </w:r>
      <w:r w:rsidR="001F388F">
        <w:rPr>
          <w:b/>
        </w:rPr>
        <w:t>31. 12</w:t>
      </w:r>
      <w:r w:rsidR="00F36A15">
        <w:rPr>
          <w:b/>
        </w:rPr>
        <w:t>. 201</w:t>
      </w:r>
      <w:r w:rsidR="001F388F">
        <w:rPr>
          <w:b/>
        </w:rPr>
        <w:t>8</w:t>
      </w:r>
      <w:r w:rsidR="00EA21A9" w:rsidRPr="00697E95">
        <w:rPr>
          <w:b/>
        </w:rPr>
        <w:t>.</w:t>
      </w:r>
    </w:p>
    <w:p w:rsidR="00D77D16" w:rsidRDefault="007A2E7E" w:rsidP="007A2E7E">
      <w:pPr>
        <w:numPr>
          <w:ilvl w:val="0"/>
          <w:numId w:val="1"/>
        </w:numPr>
        <w:tabs>
          <w:tab w:val="clear" w:pos="502"/>
        </w:tabs>
        <w:spacing w:before="120" w:line="276" w:lineRule="auto"/>
        <w:ind w:left="284" w:hanging="284"/>
        <w:jc w:val="both"/>
      </w:pPr>
      <w:r w:rsidRPr="007A2E7E">
        <w:t xml:space="preserve">Ukončení realizace projektu je stvrzeno protokolárním převzetím </w:t>
      </w:r>
      <w:r w:rsidR="008875BF">
        <w:t>díla</w:t>
      </w:r>
      <w:r w:rsidRPr="007A2E7E">
        <w:t xml:space="preserve"> mezi příjemcem a zhotovitelem </w:t>
      </w:r>
      <w:r w:rsidR="008875BF">
        <w:t>díla</w:t>
      </w:r>
      <w:r w:rsidRPr="007A2E7E">
        <w:t xml:space="preserve">, tento doklad se v kopii dokládá k vyúčtování. </w:t>
      </w:r>
    </w:p>
    <w:p w:rsidR="004523BC" w:rsidRDefault="004523BC" w:rsidP="007A2E7E">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77D16">
        <w:rPr>
          <w:b/>
        </w:rPr>
        <w:t>19</w:t>
      </w:r>
      <w:r w:rsidR="00697E95">
        <w:rPr>
          <w:b/>
        </w:rPr>
        <w:t xml:space="preserve">. </w:t>
      </w:r>
      <w:r w:rsidR="00F36A15">
        <w:rPr>
          <w:b/>
        </w:rPr>
        <w:t>0</w:t>
      </w:r>
      <w:r w:rsidR="00053995">
        <w:rPr>
          <w:b/>
        </w:rPr>
        <w:t>2</w:t>
      </w:r>
      <w:r w:rsidR="00697E95">
        <w:rPr>
          <w:b/>
        </w:rPr>
        <w:t>. 201</w:t>
      </w:r>
      <w:r w:rsidR="00D77D16">
        <w:rPr>
          <w:b/>
        </w:rPr>
        <w:t>9</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w:t>
      </w:r>
      <w:r w:rsidRPr="00DF4F60">
        <w:rPr>
          <w:b/>
        </w:rPr>
        <w:lastRenderedPageBreak/>
        <w:t xml:space="preserve">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C9643A" w:rsidRDefault="004523BC" w:rsidP="00697E95">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finančních </w:t>
      </w:r>
      <w:r w:rsidR="00175E86">
        <w:t>prostředků</w:t>
      </w:r>
      <w:r w:rsidRPr="00604D56">
        <w:t xml:space="preserve">. </w:t>
      </w:r>
      <w:r w:rsidRPr="00C9643A">
        <w:t>Zálohové faktury, směnky, úvěrové smlouvy a jim podobné doklady se nepovažují za podklad k závěrečnému vyúčtování a nejsou považovány za způsobilé výdaje.</w:t>
      </w:r>
    </w:p>
    <w:p w:rsidR="00190A16" w:rsidRDefault="004523BC" w:rsidP="00190A16">
      <w:pPr>
        <w:numPr>
          <w:ilvl w:val="0"/>
          <w:numId w:val="1"/>
        </w:numPr>
        <w:tabs>
          <w:tab w:val="num" w:pos="360"/>
        </w:tabs>
        <w:spacing w:before="120"/>
        <w:ind w:left="360"/>
        <w:jc w:val="both"/>
      </w:pPr>
      <w:r w:rsidRPr="00C9643A">
        <w:t>Příjemce dotace je povinen dále předložit k závěrečnému vyúčtování tyto přílohy:</w:t>
      </w:r>
      <w:r w:rsidR="00190A16" w:rsidRPr="00190A16">
        <w:t xml:space="preserve"> </w:t>
      </w:r>
    </w:p>
    <w:p w:rsidR="00190A16" w:rsidRPr="00C9643A" w:rsidRDefault="00190A16" w:rsidP="00190A16">
      <w:pPr>
        <w:numPr>
          <w:ilvl w:val="0"/>
          <w:numId w:val="4"/>
        </w:numPr>
        <w:tabs>
          <w:tab w:val="clear" w:pos="1080"/>
          <w:tab w:val="num" w:pos="720"/>
        </w:tabs>
        <w:ind w:left="720"/>
        <w:jc w:val="both"/>
      </w:pPr>
      <w:r w:rsidRPr="003270A1">
        <w:rPr>
          <w:b/>
        </w:rPr>
        <w:t>originál závěrečného vyúčtování projektu</w:t>
      </w:r>
      <w:r>
        <w:t xml:space="preserve"> dle přílohy č. 1 a </w:t>
      </w:r>
      <w:r w:rsidRPr="003270A1">
        <w:rPr>
          <w:b/>
        </w:rPr>
        <w:t>originál závěrečné zprávy o realizaci projektu</w:t>
      </w:r>
      <w:r w:rsidRPr="00C9643A">
        <w:t xml:space="preserve"> dle přílohy č. 2 </w:t>
      </w:r>
      <w:proofErr w:type="gramStart"/>
      <w:r w:rsidRPr="00C9643A">
        <w:t>této</w:t>
      </w:r>
      <w:proofErr w:type="gramEnd"/>
      <w:r w:rsidRPr="00C9643A">
        <w:t xml:space="preserve"> smlouvy,</w:t>
      </w:r>
    </w:p>
    <w:p w:rsidR="00190A16" w:rsidRDefault="00190A16" w:rsidP="00E555FC">
      <w:pPr>
        <w:numPr>
          <w:ilvl w:val="0"/>
          <w:numId w:val="4"/>
        </w:numPr>
        <w:tabs>
          <w:tab w:val="clear" w:pos="1080"/>
          <w:tab w:val="num" w:pos="720"/>
        </w:tabs>
        <w:ind w:left="720"/>
        <w:jc w:val="both"/>
      </w:pPr>
      <w:r w:rsidRPr="00E555FC">
        <w:rPr>
          <w:b/>
        </w:rPr>
        <w:t>kopie účetních resp. prvotních daňových dokladů</w:t>
      </w:r>
      <w:r w:rsidRPr="005018A9">
        <w:t xml:space="preserve"> nebo zjednodušených daňových dokladů (např. faktury, účtenky, paragony, výdajové pokladní doklady) týkající se realizovaného projektu (a to </w:t>
      </w:r>
      <w:r w:rsidRPr="00E555FC">
        <w:rPr>
          <w:b/>
        </w:rPr>
        <w:t>ve výši, resp. do výše celkových způsobilých výdajů projektu, ze které plyne nárok pro výpočet dotace z rozpočtu Libereckého kraje</w:t>
      </w:r>
      <w:r w:rsidRPr="005018A9">
        <w:t>)</w:t>
      </w:r>
      <w:r>
        <w:t>,</w:t>
      </w:r>
      <w:r w:rsidRPr="005018A9">
        <w:t xml:space="preserve"> </w:t>
      </w:r>
    </w:p>
    <w:p w:rsidR="00190A16" w:rsidRDefault="00190A16" w:rsidP="00190A16">
      <w:pPr>
        <w:numPr>
          <w:ilvl w:val="0"/>
          <w:numId w:val="4"/>
        </w:numPr>
        <w:tabs>
          <w:tab w:val="clear" w:pos="1080"/>
          <w:tab w:val="num" w:pos="720"/>
        </w:tabs>
        <w:ind w:left="720"/>
        <w:jc w:val="both"/>
      </w:pPr>
      <w:r w:rsidRPr="00793329">
        <w:rPr>
          <w:b/>
        </w:rPr>
        <w:t>výpisy z účtu</w:t>
      </w:r>
      <w:r w:rsidRPr="005018A9">
        <w:t xml:space="preserve"> prokazující úhradu jednotlivých účetních resp. prvotních daňových dokladů nebo zjednodušených daňových dokladů, ze kterých bude zřejmý účel a způsob využití poskytnutých fina</w:t>
      </w:r>
      <w:r>
        <w:t>nčních prostředků poskytovatele,</w:t>
      </w:r>
    </w:p>
    <w:p w:rsidR="00190A16" w:rsidRPr="00094934" w:rsidRDefault="00190A16" w:rsidP="00190A16">
      <w:pPr>
        <w:numPr>
          <w:ilvl w:val="0"/>
          <w:numId w:val="4"/>
        </w:numPr>
        <w:tabs>
          <w:tab w:val="clear" w:pos="1080"/>
          <w:tab w:val="num" w:pos="720"/>
        </w:tabs>
        <w:ind w:left="720"/>
        <w:jc w:val="both"/>
      </w:pPr>
      <w:r w:rsidRPr="00793329">
        <w:rPr>
          <w:b/>
        </w:rPr>
        <w:t>smlouvu o dílo nebo objednávku, pracovní smlouvu nebo dohodu o práci konané mimo pracovní poměr</w:t>
      </w:r>
      <w:r w:rsidRPr="005018A9">
        <w:t xml:space="preserve"> k projektu uvedenému v čl. I. (minimálním obsahem smlouvy o dílo, objednávky, pracovní smlouvy nebo dohody o práci konané mimo pracovní poměr musí být předmět a </w:t>
      </w:r>
      <w:r>
        <w:t xml:space="preserve">cena prací a </w:t>
      </w:r>
      <w:r w:rsidRPr="00094934">
        <w:t>termín realizace),</w:t>
      </w:r>
    </w:p>
    <w:p w:rsidR="008875BF" w:rsidRPr="00E555FC" w:rsidRDefault="00E555FC" w:rsidP="00E555FC">
      <w:pPr>
        <w:numPr>
          <w:ilvl w:val="0"/>
          <w:numId w:val="4"/>
        </w:numPr>
        <w:tabs>
          <w:tab w:val="clear" w:pos="1080"/>
          <w:tab w:val="num" w:pos="720"/>
        </w:tabs>
        <w:ind w:left="720"/>
        <w:jc w:val="both"/>
      </w:pPr>
      <w:r w:rsidRPr="00E555FC">
        <w:rPr>
          <w:b/>
        </w:rPr>
        <w:t>věcný popis realizovaných akcí</w:t>
      </w:r>
      <w:r>
        <w:t xml:space="preserve">, v kterém budou uvedeny parametry projektu, kopie prezence účastníků, včetně </w:t>
      </w:r>
      <w:r w:rsidRPr="00225062">
        <w:t>fotodokumentace z akcí při její realizaci,</w:t>
      </w:r>
    </w:p>
    <w:p w:rsidR="00702804" w:rsidRPr="00094934" w:rsidRDefault="00190A16" w:rsidP="00094934">
      <w:pPr>
        <w:numPr>
          <w:ilvl w:val="0"/>
          <w:numId w:val="4"/>
        </w:numPr>
        <w:tabs>
          <w:tab w:val="clear" w:pos="1080"/>
          <w:tab w:val="num" w:pos="720"/>
        </w:tabs>
        <w:ind w:left="720"/>
        <w:jc w:val="both"/>
        <w:rPr>
          <w:b/>
        </w:rPr>
      </w:pPr>
      <w:r w:rsidRPr="00094934">
        <w:rPr>
          <w:b/>
        </w:rPr>
        <w:t>kopie</w:t>
      </w:r>
      <w:r w:rsidRPr="00094934">
        <w:t xml:space="preserve"> </w:t>
      </w:r>
      <w:r w:rsidRPr="00094934">
        <w:rPr>
          <w:b/>
        </w:rPr>
        <w:t>dokladu,</w:t>
      </w:r>
      <w:r w:rsidRPr="00094934">
        <w:rPr>
          <w:b/>
          <w:color w:val="FF0000"/>
        </w:rPr>
        <w:t xml:space="preserve"> </w:t>
      </w:r>
      <w:r w:rsidRPr="00094934">
        <w:rPr>
          <w:b/>
        </w:rPr>
        <w:t>že realizovaný projekt byl podpořen krajem</w:t>
      </w:r>
      <w:r w:rsidRPr="00094934">
        <w:t>, (příjemce je povinen informovat</w:t>
      </w:r>
      <w:r w:rsidRPr="00951BB2">
        <w:t xml:space="preserve"> veřejnost o skutečnosti, že jím realizovaný projekt byl podpořen z rozpočtu Libereckého kraje např. </w:t>
      </w:r>
      <w:proofErr w:type="spellStart"/>
      <w:r w:rsidRPr="00951BB2">
        <w:t>print</w:t>
      </w:r>
      <w:proofErr w:type="spellEnd"/>
      <w:r w:rsidRPr="00951BB2">
        <w:t xml:space="preserve"> </w:t>
      </w:r>
      <w:proofErr w:type="spellStart"/>
      <w:r w:rsidRPr="00951BB2">
        <w:t>screen</w:t>
      </w:r>
      <w:proofErr w:type="spellEnd"/>
      <w:r w:rsidRPr="00951BB2">
        <w:t xml:space="preserve"> webových stránek, využití loga LK, </w:t>
      </w:r>
      <w:r w:rsidRPr="00094934">
        <w:t>tisková zpráva)</w:t>
      </w:r>
      <w:r w:rsidR="00D318BD" w:rsidRPr="00094934">
        <w:t>.</w:t>
      </w:r>
      <w:r w:rsidRPr="00094934">
        <w:t xml:space="preserve"> Tato povinnost se nevztahuje na projekty realizované před nabytím</w:t>
      </w:r>
      <w:r>
        <w:t xml:space="preserve"> účinnosti smlouvy</w:t>
      </w:r>
      <w:r w:rsidRPr="00D40B18">
        <w:t>.</w:t>
      </w:r>
    </w:p>
    <w:p w:rsidR="00702804" w:rsidRDefault="00702804" w:rsidP="00702804">
      <w:pPr>
        <w:jc w:val="both"/>
      </w:pPr>
    </w:p>
    <w:p w:rsidR="004523BC" w:rsidRDefault="00702804" w:rsidP="00702804">
      <w:pPr>
        <w:ind w:left="284" w:hanging="426"/>
        <w:jc w:val="both"/>
      </w:pPr>
      <w:r>
        <w:t>1</w:t>
      </w:r>
      <w:r w:rsidR="00D21B32">
        <w:t>1</w:t>
      </w:r>
      <w:r>
        <w:t>.</w:t>
      </w:r>
      <w:r>
        <w:tab/>
      </w:r>
      <w:r w:rsidR="004523BC" w:rsidRPr="00612775">
        <w:t xml:space="preserve">Nevyčerpané resp. neproinvestované finanční prostředky poskytnuté v souladu s touto smlouvou je příjemce povinen </w:t>
      </w:r>
      <w:r w:rsidR="00D64E20" w:rsidRPr="00612775">
        <w:t xml:space="preserve">vrátit </w:t>
      </w:r>
      <w:r w:rsidR="004523BC" w:rsidRPr="00612775">
        <w:t xml:space="preserve">nejpozději do 15 kalendářních dnů od </w:t>
      </w:r>
      <w:r w:rsidR="000F1952">
        <w:t xml:space="preserve">předložení závěrečného </w:t>
      </w:r>
      <w:r w:rsidR="004523BC"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004523BC" w:rsidRPr="00612775">
        <w:t xml:space="preserve">na účet </w:t>
      </w:r>
      <w:r w:rsidR="004523BC" w:rsidRPr="00612775">
        <w:lastRenderedPageBreak/>
        <w:t>poskytovatele</w:t>
      </w:r>
      <w:r w:rsidR="00CD63D6">
        <w:t xml:space="preserve"> </w:t>
      </w:r>
      <w:r w:rsidR="004523BC" w:rsidRPr="00612775">
        <w:t>číslo</w:t>
      </w:r>
      <w:r w:rsidR="00CD63D6">
        <w:t xml:space="preserve"> </w:t>
      </w:r>
      <w:r w:rsidR="004834EE" w:rsidRPr="004834EE">
        <w:t>19-7964200287/0100</w:t>
      </w:r>
      <w:r w:rsidR="004523BC" w:rsidRPr="00612775">
        <w:t xml:space="preserve">, </w:t>
      </w:r>
      <w:r w:rsidR="00DB5C73">
        <w:t>s</w:t>
      </w:r>
      <w:r w:rsidR="004523BC" w:rsidRPr="00612775">
        <w:t xml:space="preserve"> variabilním symbolem č. </w:t>
      </w:r>
      <w:r w:rsidR="00010959">
        <w:t>4</w:t>
      </w:r>
      <w:r w:rsidR="00F36A15">
        <w:t>91</w:t>
      </w:r>
      <w:r w:rsidR="006F461D">
        <w:t>8</w:t>
      </w:r>
      <w:r w:rsidR="00C837ED">
        <w:t>2018</w:t>
      </w:r>
      <w:r w:rsidR="004523BC" w:rsidRPr="00612775">
        <w:t xml:space="preserve"> Finanční prostředky, které musí být v souvislosti se snížením výše dotace dle čl. II. odst. 3 vráceny poskytovateli, musí příjemce zaslat nejpozději do 15 kalendářních dnů od doručení písemn</w:t>
      </w:r>
      <w:r w:rsidR="00094934">
        <w:t xml:space="preserve">é výzvy poskytovatele na účet číslo </w:t>
      </w:r>
      <w:r w:rsidR="004834EE" w:rsidRPr="004834EE">
        <w:t>19-7964200287/0100</w:t>
      </w:r>
      <w:r w:rsidR="00094934">
        <w:t>, s variabilním symbolem</w:t>
      </w:r>
      <w:r w:rsidR="006F461D">
        <w:t xml:space="preserve"> </w:t>
      </w:r>
      <w:r w:rsidR="00094934">
        <w:t xml:space="preserve">č. </w:t>
      </w:r>
      <w:r w:rsidR="008875BF">
        <w:t>4</w:t>
      </w:r>
      <w:r w:rsidR="00F36A15">
        <w:t>91</w:t>
      </w:r>
      <w:r w:rsidR="004834EE">
        <w:t>8</w:t>
      </w:r>
      <w:r w:rsidR="00C837ED">
        <w:t>2018.</w:t>
      </w:r>
      <w:r w:rsidR="00363914">
        <w:t xml:space="preserve"> </w:t>
      </w:r>
      <w:r w:rsidR="004523BC"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702804" w:rsidRDefault="00702804" w:rsidP="00702804">
      <w:pPr>
        <w:ind w:left="284" w:hanging="426"/>
        <w:jc w:val="both"/>
      </w:pPr>
    </w:p>
    <w:p w:rsidR="004523BC" w:rsidRDefault="00702804" w:rsidP="00702804">
      <w:pPr>
        <w:ind w:left="284" w:hanging="426"/>
        <w:jc w:val="both"/>
      </w:pPr>
      <w:r>
        <w:t>1</w:t>
      </w:r>
      <w:r w:rsidR="00D21B32">
        <w:t>2</w:t>
      </w:r>
      <w:r>
        <w:t xml:space="preserve">. </w:t>
      </w:r>
      <w:r w:rsidR="004523BC" w:rsidRPr="00612775">
        <w:t xml:space="preserve">Příjemce </w:t>
      </w:r>
      <w:r w:rsidR="004523BC" w:rsidRPr="00DF3057">
        <w:t xml:space="preserve">je povinen písemně informovat </w:t>
      </w:r>
      <w:r w:rsidR="009415F0">
        <w:t>správce programu</w:t>
      </w:r>
      <w:r w:rsidR="007F3B75">
        <w:t>, odbor dopravy</w:t>
      </w:r>
      <w:r w:rsidR="009133EC">
        <w:t xml:space="preserve"> </w:t>
      </w:r>
      <w:r w:rsidR="004523BC"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004523BC" w:rsidRPr="00DF3057">
        <w:t>a o všech dalších okolnostech, které mají nebo by mohly mít vliv na</w:t>
      </w:r>
      <w:r w:rsidR="00F80C15">
        <w:t xml:space="preserve"> splnění účelu a</w:t>
      </w:r>
      <w:r w:rsidR="004523BC" w:rsidRPr="00DF3057">
        <w:t xml:space="preserve"> plnění povinností podle této smlouvy</w:t>
      </w:r>
      <w:r w:rsidR="00BE1102">
        <w:t xml:space="preserve"> a to nejdéle do 30 dnů od uskutečněné změny</w:t>
      </w:r>
      <w:r w:rsidR="004523BC" w:rsidRPr="00DF3057">
        <w:t>.</w:t>
      </w:r>
    </w:p>
    <w:p w:rsidR="00702804" w:rsidRDefault="00702804" w:rsidP="00702804">
      <w:pPr>
        <w:ind w:left="284" w:hanging="426"/>
        <w:jc w:val="both"/>
      </w:pPr>
    </w:p>
    <w:p w:rsidR="00702804" w:rsidRDefault="00702804" w:rsidP="00702804">
      <w:pPr>
        <w:ind w:left="284" w:hanging="426"/>
        <w:jc w:val="both"/>
      </w:pPr>
      <w:r>
        <w:t>1</w:t>
      </w:r>
      <w:r w:rsidR="00D21B32">
        <w:t>3</w:t>
      </w:r>
      <w:r>
        <w:t xml:space="preserve">. </w:t>
      </w:r>
      <w:r w:rsidR="007B10B0">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702804" w:rsidRDefault="00702804" w:rsidP="00702804">
      <w:pPr>
        <w:ind w:left="284" w:hanging="426"/>
        <w:jc w:val="both"/>
      </w:pPr>
    </w:p>
    <w:p w:rsidR="00320466" w:rsidRDefault="00702804" w:rsidP="00702804">
      <w:pPr>
        <w:ind w:left="284" w:hanging="426"/>
        <w:jc w:val="both"/>
      </w:pPr>
      <w:r>
        <w:t>1</w:t>
      </w:r>
      <w:r w:rsidR="00D21B32">
        <w:t>4</w:t>
      </w:r>
      <w:r>
        <w:t xml:space="preserve">. </w:t>
      </w:r>
      <w:r w:rsidR="00725C0E">
        <w:t>Z</w:t>
      </w:r>
      <w:r w:rsidR="00652609">
        <w:t xml:space="preserve">měny </w:t>
      </w:r>
      <w:r w:rsidR="00725C0E">
        <w:t> projektu, zejména účelu dotace</w:t>
      </w:r>
      <w:r w:rsidR="00F532CA">
        <w:t>, termínu realizace projektů</w:t>
      </w:r>
      <w:r w:rsidR="00725C0E">
        <w:t xml:space="preserve"> a závazných parametrů </w:t>
      </w:r>
      <w:r w:rsidR="00F532CA">
        <w:t>projektu</w:t>
      </w:r>
      <w:r w:rsidR="00725C0E">
        <w:t xml:space="preserve"> schvaluje na základě </w:t>
      </w:r>
      <w:r w:rsidR="00F532CA">
        <w:t xml:space="preserve">písemné </w:t>
      </w:r>
      <w:r w:rsidR="00725C0E">
        <w:t xml:space="preserve">žádosti příjemce </w:t>
      </w:r>
      <w:r w:rsidR="00725C0E" w:rsidRPr="008B03F9">
        <w:t xml:space="preserve">Zastupitelstvo </w:t>
      </w:r>
      <w:r w:rsidR="00725C0E">
        <w:t xml:space="preserve">Libereckého kraje. </w:t>
      </w:r>
    </w:p>
    <w:p w:rsidR="00702804" w:rsidRDefault="00702804" w:rsidP="00702804">
      <w:pPr>
        <w:jc w:val="both"/>
      </w:pPr>
    </w:p>
    <w:p w:rsidR="002A462E" w:rsidRDefault="00702804" w:rsidP="00702804">
      <w:pPr>
        <w:ind w:left="284" w:hanging="426"/>
        <w:jc w:val="both"/>
      </w:pPr>
      <w:r>
        <w:t>1</w:t>
      </w:r>
      <w:r w:rsidR="00D21B32">
        <w:t>5</w:t>
      </w:r>
      <w:r>
        <w:t xml:space="preserve">. </w:t>
      </w:r>
      <w:r w:rsidR="00F532CA">
        <w:t xml:space="preserve">Žádost o změnu </w:t>
      </w:r>
      <w:r w:rsidR="000F1952">
        <w:t xml:space="preserve">projektu </w:t>
      </w:r>
      <w:r w:rsidR="00F532CA">
        <w:t xml:space="preserve">je </w:t>
      </w:r>
      <w:r w:rsidR="00320466">
        <w:t>možné podat nejdéle 30 dnů před ukončením realizace projektu uvedeného v čl. III. odst. 4.</w:t>
      </w:r>
    </w:p>
    <w:p w:rsidR="002A462E" w:rsidRDefault="002A462E" w:rsidP="00702804">
      <w:pPr>
        <w:ind w:left="284" w:hanging="426"/>
        <w:jc w:val="both"/>
      </w:pPr>
    </w:p>
    <w:p w:rsidR="00F532CA" w:rsidRDefault="002A462E" w:rsidP="002A462E">
      <w:pPr>
        <w:ind w:left="284" w:hanging="426"/>
        <w:jc w:val="both"/>
      </w:pPr>
      <w:r>
        <w:t>1</w:t>
      </w:r>
      <w:r w:rsidR="00D21B32">
        <w:t>6</w:t>
      </w:r>
      <w:r>
        <w:t xml:space="preserve">. </w:t>
      </w:r>
      <w:r w:rsidR="00F532CA">
        <w:t>Správce programu</w:t>
      </w:r>
      <w:r w:rsidR="00F532CA" w:rsidRPr="00DF3057">
        <w:t xml:space="preserve">, odbor </w:t>
      </w:r>
      <w:r w:rsidR="00C61D71">
        <w:t>dopravy</w:t>
      </w:r>
      <w:r w:rsidR="00F532CA">
        <w:t xml:space="preserve"> </w:t>
      </w:r>
      <w:r w:rsidR="00F532CA" w:rsidRPr="00DF3057">
        <w:t>Krajského úřadu Libereckého kraje</w:t>
      </w:r>
      <w:r w:rsidR="004B7337">
        <w:t xml:space="preserve"> posoudí, zda žádost</w:t>
      </w:r>
      <w:r w:rsidR="00F532CA">
        <w:t xml:space="preserve"> o změnu projektu podléhá schválení </w:t>
      </w:r>
      <w:r w:rsidR="00F80C15">
        <w:t>Z</w:t>
      </w:r>
      <w:r w:rsidR="00F532CA">
        <w:t>astupitelstva Libereckého kraje a vyžaduje uzavření dodatku.</w:t>
      </w:r>
    </w:p>
    <w:p w:rsidR="002A462E" w:rsidRDefault="002A462E" w:rsidP="002A462E">
      <w:pPr>
        <w:ind w:left="284" w:hanging="426"/>
        <w:jc w:val="both"/>
      </w:pPr>
    </w:p>
    <w:p w:rsidR="004523BC" w:rsidRDefault="002A462E" w:rsidP="002A462E">
      <w:pPr>
        <w:ind w:left="284" w:hanging="426"/>
        <w:jc w:val="both"/>
      </w:pPr>
      <w:r>
        <w:t>1</w:t>
      </w:r>
      <w:r w:rsidR="00D21B32">
        <w:t>7</w:t>
      </w:r>
      <w:r>
        <w:t xml:space="preserve">. </w:t>
      </w:r>
      <w:r w:rsidR="004523BC">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D318BD">
        <w:t>.</w:t>
      </w:r>
      <w:r w:rsidR="004523BC" w:rsidRPr="00C61D71">
        <w:t xml:space="preserve"> </w:t>
      </w:r>
      <w:r w:rsidR="00BB7057" w:rsidRPr="00C61D71">
        <w:t>Tat</w:t>
      </w:r>
      <w:r w:rsidR="00BB7057">
        <w:t>o povinnost se nevztahuje na projekty realizované před nabytím účinnosti smlouvy.</w:t>
      </w:r>
    </w:p>
    <w:p w:rsidR="002A462E" w:rsidRDefault="002A462E" w:rsidP="002A462E">
      <w:pPr>
        <w:ind w:left="284" w:hanging="426"/>
        <w:jc w:val="both"/>
      </w:pPr>
    </w:p>
    <w:p w:rsidR="004523BC" w:rsidRDefault="002A462E" w:rsidP="002A462E">
      <w:pPr>
        <w:ind w:left="284" w:hanging="426"/>
        <w:jc w:val="both"/>
      </w:pPr>
      <w:r>
        <w:t>1</w:t>
      </w:r>
      <w:r w:rsidR="00D21B32">
        <w:t>8</w:t>
      </w: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lastRenderedPageBreak/>
        <w:t>Nesplnění povinnosti informovat veřejnost o podpoře projektu Libereckým krajem dle čl. III. odst. 1</w:t>
      </w:r>
      <w:r w:rsidR="000A112A">
        <w:t>7</w:t>
      </w:r>
      <w:r>
        <w:t>.</w:t>
      </w:r>
    </w:p>
    <w:p w:rsidR="008073F0" w:rsidRPr="002A462E"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D21B32" w:rsidP="002A462E">
      <w:pPr>
        <w:tabs>
          <w:tab w:val="left" w:pos="426"/>
        </w:tabs>
        <w:spacing w:before="120" w:line="276" w:lineRule="auto"/>
        <w:ind w:left="284" w:hanging="426"/>
        <w:jc w:val="both"/>
      </w:pPr>
      <w:r>
        <w:t>19</w:t>
      </w:r>
      <w:r w:rsidR="002A462E">
        <w:t xml:space="preserve">. </w:t>
      </w:r>
      <w:r w:rsidR="00BB7057"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2A462E" w:rsidRDefault="002A462E" w:rsidP="002A462E">
      <w:pPr>
        <w:tabs>
          <w:tab w:val="left" w:pos="426"/>
        </w:tabs>
        <w:spacing w:before="120" w:line="276" w:lineRule="auto"/>
        <w:ind w:left="284" w:hanging="426"/>
        <w:jc w:val="both"/>
      </w:pPr>
    </w:p>
    <w:p w:rsidR="008C0EFD" w:rsidRDefault="002A462E" w:rsidP="002A462E">
      <w:pPr>
        <w:tabs>
          <w:tab w:val="left" w:pos="426"/>
        </w:tabs>
        <w:spacing w:before="120" w:line="276" w:lineRule="auto"/>
        <w:ind w:left="284" w:hanging="426"/>
        <w:jc w:val="both"/>
      </w:pPr>
      <w:r>
        <w:t>2</w:t>
      </w:r>
      <w:r w:rsidR="00D21B32">
        <w:t>0</w:t>
      </w:r>
      <w:r>
        <w:t xml:space="preserve">. </w:t>
      </w:r>
      <w:r w:rsidR="000C3D52" w:rsidRPr="004D0F1A">
        <w:t>Příjemce nesmí využít k realizaci projektu uvedeného v čl. I. této smlouvy jiné finanční prostředky poskytnuté z rozpočtu Libereckého kraje</w:t>
      </w:r>
      <w:r w:rsidR="008C0EFD">
        <w:t>.</w:t>
      </w:r>
    </w:p>
    <w:p w:rsidR="002A462E" w:rsidRDefault="002A462E" w:rsidP="002A462E">
      <w:pPr>
        <w:tabs>
          <w:tab w:val="left" w:pos="426"/>
        </w:tabs>
        <w:spacing w:before="120" w:line="276" w:lineRule="auto"/>
        <w:ind w:left="284" w:hanging="426"/>
        <w:jc w:val="both"/>
      </w:pPr>
    </w:p>
    <w:p w:rsidR="00E1206F" w:rsidRPr="00D12702" w:rsidRDefault="002A462E" w:rsidP="002A462E">
      <w:pPr>
        <w:tabs>
          <w:tab w:val="left" w:pos="426"/>
        </w:tabs>
        <w:spacing w:before="120" w:line="276" w:lineRule="auto"/>
        <w:ind w:left="284" w:hanging="426"/>
        <w:jc w:val="both"/>
      </w:pPr>
      <w:r>
        <w:t>2</w:t>
      </w:r>
      <w:r w:rsidR="00D21B32">
        <w:t>1</w:t>
      </w:r>
      <w:r>
        <w:t xml:space="preserve">. </w:t>
      </w:r>
      <w:r w:rsidR="008C0EFD">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lastRenderedPageBreak/>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lastRenderedPageBreak/>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4834EE">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4834EE" w:rsidRPr="004834EE">
        <w:t>19-7964200287/0100</w:t>
      </w:r>
      <w:r w:rsidR="004834EE">
        <w:t xml:space="preserve"> </w:t>
      </w:r>
      <w:r w:rsidR="008C0EFD">
        <w:t>s variabilním symb</w:t>
      </w:r>
      <w:r w:rsidR="00DB5C73">
        <w:t>olem č</w:t>
      </w:r>
      <w:r w:rsidR="004B7337">
        <w:t xml:space="preserve">. </w:t>
      </w:r>
      <w:r w:rsidR="008875BF">
        <w:t>4</w:t>
      </w:r>
      <w:r w:rsidR="00F36A15">
        <w:t>91</w:t>
      </w:r>
      <w:r w:rsidR="006F461D">
        <w:t>8</w:t>
      </w:r>
      <w:r w:rsidR="00C837ED">
        <w:t>2018.</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3A52B9" w:rsidRPr="003A52B9" w:rsidRDefault="003A52B9" w:rsidP="003A52B9">
      <w:pPr>
        <w:pStyle w:val="Odstavecseseznamem"/>
        <w:numPr>
          <w:ilvl w:val="0"/>
          <w:numId w:val="15"/>
        </w:numPr>
        <w:spacing w:before="120" w:line="276" w:lineRule="auto"/>
        <w:ind w:left="284" w:hanging="284"/>
        <w:jc w:val="both"/>
        <w:rPr>
          <w:highlight w:val="yellow"/>
        </w:rPr>
      </w:pPr>
      <w:r w:rsidRPr="003A52B9">
        <w:rPr>
          <w:iCs/>
          <w:highlight w:val="yellow"/>
        </w:rPr>
        <w:t xml:space="preserve">Finanční prostředky poskytnuté dle této smlouvy mají charakter podpory de </w:t>
      </w:r>
      <w:proofErr w:type="spellStart"/>
      <w:r w:rsidRPr="003A52B9">
        <w:rPr>
          <w:iCs/>
          <w:highlight w:val="yellow"/>
        </w:rPr>
        <w:t>minimis</w:t>
      </w:r>
      <w:proofErr w:type="spellEnd"/>
      <w:r w:rsidRPr="003A52B9">
        <w:rPr>
          <w:iCs/>
          <w:highlight w:val="yellow"/>
        </w:rPr>
        <w:t xml:space="preserve"> podle nařízení Evropské komise č. 1407/2013 o použití článků 107 a 108 Smlouvy o fungování Evropské unie na podporu de </w:t>
      </w:r>
      <w:proofErr w:type="spellStart"/>
      <w:r w:rsidRPr="003A52B9">
        <w:rPr>
          <w:iCs/>
          <w:highlight w:val="yellow"/>
        </w:rPr>
        <w:t>minimis</w:t>
      </w:r>
      <w:proofErr w:type="spellEnd"/>
      <w:r w:rsidRPr="003A52B9">
        <w:rPr>
          <w:iCs/>
          <w:highlight w:val="yellow"/>
        </w:rPr>
        <w:t xml:space="preserve"> zveřejněného v Úředním věstníku Evropské unie dne 24. 12. 2013. Podpora „de </w:t>
      </w:r>
      <w:proofErr w:type="spellStart"/>
      <w:r w:rsidRPr="003A52B9">
        <w:rPr>
          <w:iCs/>
          <w:highlight w:val="yellow"/>
        </w:rPr>
        <w:t>minimis</w:t>
      </w:r>
      <w:proofErr w:type="spellEnd"/>
      <w:r w:rsidRPr="003A52B9">
        <w:rPr>
          <w:iCs/>
          <w:highlight w:val="yellow"/>
        </w:rPr>
        <w:t>“ poskytnutá jednomu subjektu nesmí za tři po sobě jdoucí jednoletá účetní období používaná příjemcem přesáhnout částku odpovídající 200.000,- EUR.</w:t>
      </w:r>
      <w:r w:rsidRPr="003A52B9">
        <w:rPr>
          <w:iCs/>
          <w:highlight w:val="yellow"/>
          <w:lang w:eastAsia="de-DE"/>
        </w:rPr>
        <w:t xml:space="preserve"> Příjemce bere na vědomí, že dle zákona č. 215/2004 Sb. je poskytovatel povinen do 5 pracovních dnů od podpisu této smlouvy zaznamenat údaje o poskytnuté podpoře de </w:t>
      </w:r>
      <w:proofErr w:type="spellStart"/>
      <w:r w:rsidRPr="003A52B9">
        <w:rPr>
          <w:iCs/>
          <w:highlight w:val="yellow"/>
          <w:lang w:eastAsia="de-DE"/>
        </w:rPr>
        <w:t>minimis</w:t>
      </w:r>
      <w:proofErr w:type="spellEnd"/>
      <w:r w:rsidRPr="003A52B9">
        <w:rPr>
          <w:iCs/>
          <w:highlight w:val="yellow"/>
          <w:lang w:eastAsia="de-DE"/>
        </w:rPr>
        <w:t xml:space="preserve"> do centrálního registru podpor de </w:t>
      </w:r>
      <w:proofErr w:type="spellStart"/>
      <w:r w:rsidRPr="003A52B9">
        <w:rPr>
          <w:iCs/>
          <w:highlight w:val="yellow"/>
          <w:lang w:eastAsia="de-DE"/>
        </w:rPr>
        <w:t>minimis</w:t>
      </w:r>
      <w:proofErr w:type="spellEnd"/>
      <w:r w:rsidRPr="003A52B9">
        <w:rPr>
          <w:iCs/>
          <w:highlight w:val="yellow"/>
          <w:lang w:eastAsia="de-DE"/>
        </w:rPr>
        <w:t xml:space="preserve">. Vyjde-li při zaznamenávání údajů do centrálního registru najevo, že je limit příjemce pro poskytnutí podpory de </w:t>
      </w:r>
      <w:proofErr w:type="spellStart"/>
      <w:r w:rsidRPr="003A52B9">
        <w:rPr>
          <w:iCs/>
          <w:highlight w:val="yellow"/>
          <w:lang w:eastAsia="de-DE"/>
        </w:rPr>
        <w:t>minimis</w:t>
      </w:r>
      <w:proofErr w:type="spellEnd"/>
      <w:r w:rsidRPr="003A52B9">
        <w:rPr>
          <w:iCs/>
          <w:highlight w:val="yellow"/>
          <w:lang w:eastAsia="de-DE"/>
        </w:rPr>
        <w:t xml:space="preserve"> vyčerpán, příjemci zaniká nárok na poskytnutí dotace a tato smlouva se od počátku ruší.</w:t>
      </w:r>
    </w:p>
    <w:p w:rsidR="003A52B9" w:rsidRPr="003A52B9" w:rsidRDefault="003A52B9" w:rsidP="003A52B9">
      <w:pPr>
        <w:pStyle w:val="Odstavecseseznamem"/>
        <w:numPr>
          <w:ilvl w:val="0"/>
          <w:numId w:val="15"/>
        </w:numPr>
        <w:spacing w:before="120" w:line="276" w:lineRule="auto"/>
        <w:ind w:left="284" w:hanging="284"/>
        <w:jc w:val="both"/>
        <w:rPr>
          <w:highlight w:val="yellow"/>
        </w:rPr>
      </w:pPr>
      <w:r w:rsidRPr="003A52B9">
        <w:rPr>
          <w:iCs/>
          <w:highlight w:val="yellow"/>
          <w:lang w:eastAsia="de-DE"/>
        </w:rPr>
        <w:t xml:space="preserve">Příjemce prohlašuje, že mu nejsou známy překážky, které by bránily poskytnutí podpory de </w:t>
      </w:r>
      <w:proofErr w:type="spellStart"/>
      <w:r w:rsidRPr="003A52B9">
        <w:rPr>
          <w:iCs/>
          <w:highlight w:val="yellow"/>
          <w:lang w:eastAsia="de-DE"/>
        </w:rPr>
        <w:t>minimis</w:t>
      </w:r>
      <w:proofErr w:type="spellEnd"/>
      <w:r w:rsidRPr="003A52B9">
        <w:rPr>
          <w:iCs/>
          <w:highlight w:val="yellow"/>
          <w:lang w:eastAsia="de-DE"/>
        </w:rPr>
        <w:t xml:space="preserve"> dle výše uvedeného nařízení Evropské komise. Pokud se později ukáže toto prohlášení jako nepravdivé, příjemci zaniká nárok na dotaci a tato smlouva se od počátku ruší.</w:t>
      </w:r>
    </w:p>
    <w:p w:rsidR="003A52B9" w:rsidRPr="003A52B9" w:rsidRDefault="003A52B9" w:rsidP="003A52B9">
      <w:pPr>
        <w:pStyle w:val="Odstavecseseznamem"/>
        <w:numPr>
          <w:ilvl w:val="0"/>
          <w:numId w:val="15"/>
        </w:numPr>
        <w:spacing w:before="120" w:line="276" w:lineRule="auto"/>
        <w:ind w:left="284" w:hanging="284"/>
        <w:jc w:val="both"/>
        <w:rPr>
          <w:highlight w:val="yellow"/>
        </w:rPr>
      </w:pPr>
      <w:r w:rsidRPr="003A52B9">
        <w:rPr>
          <w:iCs/>
          <w:highlight w:val="yellow"/>
        </w:rPr>
        <w:lastRenderedPageBreak/>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3A52B9">
        <w:rPr>
          <w:iCs/>
          <w:highlight w:val="yellow"/>
        </w:rPr>
        <w:t>minimis</w:t>
      </w:r>
      <w:proofErr w:type="spellEnd"/>
      <w:r w:rsidRPr="003A52B9">
        <w:rPr>
          <w:iCs/>
          <w:highlight w:val="yellow"/>
        </w:rPr>
        <w:t xml:space="preserve"> poskytnutou dle této smlouvy rozdělit v Centrálním registru podpor malého rozsahu.</w:t>
      </w:r>
    </w:p>
    <w:p w:rsidR="004523BC" w:rsidRDefault="004523BC" w:rsidP="003A52B9">
      <w:pPr>
        <w:pStyle w:val="Odstavecseseznamem"/>
        <w:numPr>
          <w:ilvl w:val="0"/>
          <w:numId w:val="15"/>
        </w:numPr>
        <w:spacing w:before="120" w:line="276" w:lineRule="auto"/>
        <w:ind w:left="284" w:hanging="284"/>
        <w:jc w:val="both"/>
      </w:pPr>
      <w:bookmarkStart w:id="0" w:name="_GoBack"/>
      <w:bookmarkEnd w:id="0"/>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C837ED" w:rsidRDefault="000618B6" w:rsidP="00E1206F">
      <w:pPr>
        <w:pStyle w:val="Odstavecseseznamem"/>
        <w:numPr>
          <w:ilvl w:val="0"/>
          <w:numId w:val="15"/>
        </w:numPr>
        <w:spacing w:before="120" w:line="276" w:lineRule="auto"/>
        <w:ind w:left="284" w:hanging="426"/>
        <w:jc w:val="both"/>
      </w:pPr>
      <w:r w:rsidRPr="00C837ED">
        <w:t>Příjemce prohlašuje, že</w:t>
      </w:r>
      <w:r w:rsidR="005B312F" w:rsidRPr="00C837ED">
        <w:t xml:space="preserve"> smlouva byla schválena příslušným orgánem obce</w:t>
      </w:r>
      <w:r w:rsidRPr="00C837ED">
        <w:t xml:space="preserve"> na základě zákona č. 128/2000 Sb., o obc</w:t>
      </w:r>
      <w:r w:rsidR="005B312F" w:rsidRPr="00C837ED">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w:t>
      </w:r>
      <w:r w:rsidR="00AB0AEA">
        <w:rPr>
          <w:bCs/>
        </w:rPr>
        <w:t>rozpočtu</w:t>
      </w:r>
      <w:r w:rsidR="00445BE3" w:rsidRPr="0046311F">
        <w:rPr>
          <w:bCs/>
        </w:rPr>
        <w:t xml:space="preserve">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w:t>
      </w:r>
      <w:r w:rsidR="00F36A15">
        <w:t> </w:t>
      </w:r>
      <w:r w:rsidR="006F461D">
        <w:t>Praze</w:t>
      </w:r>
      <w:r w:rsidR="004523BC">
        <w:t xml:space="preserve">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lastRenderedPageBreak/>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r w:rsidR="006F461D">
        <w:tab/>
      </w:r>
      <w:r w:rsidR="006F461D">
        <w:tab/>
      </w:r>
      <w:r w:rsidR="006F461D">
        <w:tab/>
        <w:t xml:space="preserve">     Pavel Dušánek</w:t>
      </w:r>
    </w:p>
    <w:p w:rsidR="00E02493" w:rsidRDefault="00E02493" w:rsidP="00AD6763">
      <w:pPr>
        <w:tabs>
          <w:tab w:val="left" w:pos="5580"/>
        </w:tabs>
        <w:ind w:left="5664" w:hanging="5664"/>
        <w:jc w:val="both"/>
      </w:pPr>
      <w:r>
        <w:t xml:space="preserve">        </w:t>
      </w:r>
      <w:r w:rsidRPr="00BF6B84">
        <w:t xml:space="preserve">řízení resortu dopravy, </w:t>
      </w:r>
      <w:r w:rsidR="00C837ED">
        <w:tab/>
      </w:r>
      <w:r w:rsidR="00C837ED">
        <w:tab/>
      </w:r>
      <w:r w:rsidR="00C837ED">
        <w:tab/>
      </w:r>
      <w:r w:rsidR="008875BF">
        <w:t xml:space="preserve">    </w:t>
      </w:r>
      <w:r w:rsidR="00C837ED">
        <w:t xml:space="preserve">        </w:t>
      </w:r>
      <w:r w:rsidR="006F461D">
        <w:t>jednatel</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w:t>
      </w:r>
      <w:r w:rsidR="00AE4496">
        <w:rPr>
          <w:b/>
          <w:bCs/>
          <w:sz w:val="28"/>
          <w:szCs w:val="28"/>
        </w:rPr>
        <w:t>rozpočtu</w:t>
      </w:r>
      <w:r>
        <w:rPr>
          <w:b/>
          <w:bCs/>
          <w:sz w:val="28"/>
          <w:szCs w:val="28"/>
        </w:rPr>
        <w:t xml:space="preserve">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w:t>
            </w:r>
            <w:proofErr w:type="gramStart"/>
            <w:r w:rsidRPr="00A968AC">
              <w:t>….Kč</w:t>
            </w:r>
            <w:proofErr w:type="gramEnd"/>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76" w:rsidRDefault="00951F76">
      <w:r>
        <w:separator/>
      </w:r>
    </w:p>
  </w:endnote>
  <w:endnote w:type="continuationSeparator" w:id="0">
    <w:p w:rsidR="00951F76" w:rsidRDefault="0095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3A52B9">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3A52B9">
              <w:rPr>
                <w:b/>
                <w:bCs/>
                <w:noProof/>
              </w:rPr>
              <w:t>14</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3A52B9">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3A52B9">
              <w:rPr>
                <w:b/>
                <w:bCs/>
                <w:noProof/>
              </w:rPr>
              <w:t>14</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76" w:rsidRDefault="00951F76">
      <w:r>
        <w:separator/>
      </w:r>
    </w:p>
  </w:footnote>
  <w:footnote w:type="continuationSeparator" w:id="0">
    <w:p w:rsidR="00951F76" w:rsidRDefault="00951F76">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D68" w:rsidRDefault="000D1D68">
    <w:pPr>
      <w:pStyle w:val="Zhlav"/>
    </w:pPr>
    <w:r>
      <w:tab/>
    </w:r>
    <w:r>
      <w:tab/>
      <w:t>P</w:t>
    </w:r>
    <w:r w:rsidR="00F914FF">
      <w:t>06</w:t>
    </w:r>
    <w:r>
      <w:t>_smlouva</w:t>
    </w:r>
  </w:p>
  <w:p w:rsidR="007715B1" w:rsidRDefault="007715B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A709B2"/>
    <w:multiLevelType w:val="hybridMultilevel"/>
    <w:tmpl w:val="F20664A2"/>
    <w:lvl w:ilvl="0" w:tplc="1F1AAC0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F36814"/>
    <w:multiLevelType w:val="hybridMultilevel"/>
    <w:tmpl w:val="5AFCCBC4"/>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C7559F0"/>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6"/>
  </w:num>
  <w:num w:numId="5">
    <w:abstractNumId w:val="6"/>
  </w:num>
  <w:num w:numId="6">
    <w:abstractNumId w:val="15"/>
  </w:num>
  <w:num w:numId="7">
    <w:abstractNumId w:val="13"/>
  </w:num>
  <w:num w:numId="8">
    <w:abstractNumId w:val="7"/>
  </w:num>
  <w:num w:numId="9">
    <w:abstractNumId w:val="20"/>
  </w:num>
  <w:num w:numId="10">
    <w:abstractNumId w:val="17"/>
  </w:num>
  <w:num w:numId="11">
    <w:abstractNumId w:val="3"/>
  </w:num>
  <w:num w:numId="12">
    <w:abstractNumId w:val="8"/>
  </w:num>
  <w:num w:numId="13">
    <w:abstractNumId w:val="21"/>
  </w:num>
  <w:num w:numId="14">
    <w:abstractNumId w:val="5"/>
  </w:num>
  <w:num w:numId="15">
    <w:abstractNumId w:val="2"/>
  </w:num>
  <w:num w:numId="16">
    <w:abstractNumId w:val="11"/>
  </w:num>
  <w:num w:numId="17">
    <w:abstractNumId w:val="1"/>
  </w:num>
  <w:num w:numId="18">
    <w:abstractNumId w:val="9"/>
  </w:num>
  <w:num w:numId="19">
    <w:abstractNumId w:val="19"/>
  </w:num>
  <w:num w:numId="20">
    <w:abstractNumId w:val="4"/>
  </w:num>
  <w:num w:numId="21">
    <w:abstractNumId w:val="0"/>
  </w:num>
  <w:num w:numId="22">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čová Lenka">
    <w15:presenceInfo w15:providerId="AD" w15:userId="S-1-5-21-1390067357-879983540-725345543-7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959"/>
    <w:rsid w:val="00010B4A"/>
    <w:rsid w:val="000149A3"/>
    <w:rsid w:val="00014D4D"/>
    <w:rsid w:val="00015953"/>
    <w:rsid w:val="0002033B"/>
    <w:rsid w:val="000239BE"/>
    <w:rsid w:val="00026B3A"/>
    <w:rsid w:val="00030CF6"/>
    <w:rsid w:val="0003175C"/>
    <w:rsid w:val="000325A0"/>
    <w:rsid w:val="00032990"/>
    <w:rsid w:val="00033897"/>
    <w:rsid w:val="00035CEC"/>
    <w:rsid w:val="00035DAD"/>
    <w:rsid w:val="00036B38"/>
    <w:rsid w:val="000419A3"/>
    <w:rsid w:val="0004229B"/>
    <w:rsid w:val="00042D5B"/>
    <w:rsid w:val="00043918"/>
    <w:rsid w:val="000446CA"/>
    <w:rsid w:val="00045141"/>
    <w:rsid w:val="00045C68"/>
    <w:rsid w:val="000519A1"/>
    <w:rsid w:val="00051D45"/>
    <w:rsid w:val="0005263B"/>
    <w:rsid w:val="000526F6"/>
    <w:rsid w:val="00053995"/>
    <w:rsid w:val="00054F7A"/>
    <w:rsid w:val="00055ABE"/>
    <w:rsid w:val="000608FA"/>
    <w:rsid w:val="000618B6"/>
    <w:rsid w:val="00061BFA"/>
    <w:rsid w:val="00061C7C"/>
    <w:rsid w:val="00066C78"/>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4934"/>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1D68"/>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E86"/>
    <w:rsid w:val="001763DF"/>
    <w:rsid w:val="00181E13"/>
    <w:rsid w:val="00183574"/>
    <w:rsid w:val="00183D52"/>
    <w:rsid w:val="0019080D"/>
    <w:rsid w:val="00190A16"/>
    <w:rsid w:val="00192F1C"/>
    <w:rsid w:val="001933FA"/>
    <w:rsid w:val="00193D05"/>
    <w:rsid w:val="00194169"/>
    <w:rsid w:val="00196876"/>
    <w:rsid w:val="001A016C"/>
    <w:rsid w:val="001A0C5F"/>
    <w:rsid w:val="001A5BE6"/>
    <w:rsid w:val="001A74B0"/>
    <w:rsid w:val="001B3AA5"/>
    <w:rsid w:val="001B3E95"/>
    <w:rsid w:val="001B5FF8"/>
    <w:rsid w:val="001B60D2"/>
    <w:rsid w:val="001C059D"/>
    <w:rsid w:val="001C12AE"/>
    <w:rsid w:val="001C2CA7"/>
    <w:rsid w:val="001C6B74"/>
    <w:rsid w:val="001D04CA"/>
    <w:rsid w:val="001D0BB6"/>
    <w:rsid w:val="001D0F52"/>
    <w:rsid w:val="001D30BA"/>
    <w:rsid w:val="001D3F76"/>
    <w:rsid w:val="001E106C"/>
    <w:rsid w:val="001E2061"/>
    <w:rsid w:val="001E2BA3"/>
    <w:rsid w:val="001E2E02"/>
    <w:rsid w:val="001E38E9"/>
    <w:rsid w:val="001F049C"/>
    <w:rsid w:val="001F0B60"/>
    <w:rsid w:val="001F1FA3"/>
    <w:rsid w:val="001F3633"/>
    <w:rsid w:val="001F388F"/>
    <w:rsid w:val="001F3C98"/>
    <w:rsid w:val="001F755C"/>
    <w:rsid w:val="002001C4"/>
    <w:rsid w:val="002008E2"/>
    <w:rsid w:val="00201799"/>
    <w:rsid w:val="00201908"/>
    <w:rsid w:val="00204711"/>
    <w:rsid w:val="002061CB"/>
    <w:rsid w:val="00206278"/>
    <w:rsid w:val="0021523C"/>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462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384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34F"/>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BCF"/>
    <w:rsid w:val="00394C6F"/>
    <w:rsid w:val="00395D44"/>
    <w:rsid w:val="003A03AD"/>
    <w:rsid w:val="003A4C7C"/>
    <w:rsid w:val="003A4D58"/>
    <w:rsid w:val="003A4DE5"/>
    <w:rsid w:val="003A52B9"/>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041"/>
    <w:rsid w:val="003C6A88"/>
    <w:rsid w:val="003D06A3"/>
    <w:rsid w:val="003D1597"/>
    <w:rsid w:val="003D2180"/>
    <w:rsid w:val="003E1F7D"/>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168F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6F79"/>
    <w:rsid w:val="0044779C"/>
    <w:rsid w:val="00451AB1"/>
    <w:rsid w:val="004523BC"/>
    <w:rsid w:val="00452C18"/>
    <w:rsid w:val="0046311F"/>
    <w:rsid w:val="004632FF"/>
    <w:rsid w:val="00464029"/>
    <w:rsid w:val="00471D2D"/>
    <w:rsid w:val="00472643"/>
    <w:rsid w:val="00473D05"/>
    <w:rsid w:val="00475B88"/>
    <w:rsid w:val="00476D81"/>
    <w:rsid w:val="00482852"/>
    <w:rsid w:val="004834EE"/>
    <w:rsid w:val="004862D8"/>
    <w:rsid w:val="00487DA4"/>
    <w:rsid w:val="00490F9A"/>
    <w:rsid w:val="00491AF4"/>
    <w:rsid w:val="004932F1"/>
    <w:rsid w:val="0049415A"/>
    <w:rsid w:val="004949BE"/>
    <w:rsid w:val="00496156"/>
    <w:rsid w:val="00496F19"/>
    <w:rsid w:val="004A0642"/>
    <w:rsid w:val="004A0995"/>
    <w:rsid w:val="004A5B35"/>
    <w:rsid w:val="004B08A1"/>
    <w:rsid w:val="004B0B71"/>
    <w:rsid w:val="004B120A"/>
    <w:rsid w:val="004B14C7"/>
    <w:rsid w:val="004B521C"/>
    <w:rsid w:val="004B5CD9"/>
    <w:rsid w:val="004B7337"/>
    <w:rsid w:val="004C01A5"/>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5226"/>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07BE"/>
    <w:rsid w:val="00611265"/>
    <w:rsid w:val="00611AAF"/>
    <w:rsid w:val="00612775"/>
    <w:rsid w:val="00612F04"/>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05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97E95"/>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E3F7F"/>
    <w:rsid w:val="006E4358"/>
    <w:rsid w:val="006F2AF7"/>
    <w:rsid w:val="006F36A4"/>
    <w:rsid w:val="006F3914"/>
    <w:rsid w:val="006F461D"/>
    <w:rsid w:val="006F6EAB"/>
    <w:rsid w:val="00702257"/>
    <w:rsid w:val="00702804"/>
    <w:rsid w:val="00712E40"/>
    <w:rsid w:val="00713881"/>
    <w:rsid w:val="00713D22"/>
    <w:rsid w:val="007179E0"/>
    <w:rsid w:val="007200AA"/>
    <w:rsid w:val="00722349"/>
    <w:rsid w:val="00722F89"/>
    <w:rsid w:val="00725C0E"/>
    <w:rsid w:val="00726589"/>
    <w:rsid w:val="00733948"/>
    <w:rsid w:val="00733CC0"/>
    <w:rsid w:val="00734025"/>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5B1"/>
    <w:rsid w:val="00771682"/>
    <w:rsid w:val="00771A57"/>
    <w:rsid w:val="00774547"/>
    <w:rsid w:val="00783017"/>
    <w:rsid w:val="0078775B"/>
    <w:rsid w:val="0079113F"/>
    <w:rsid w:val="007A09D4"/>
    <w:rsid w:val="007A1D29"/>
    <w:rsid w:val="007A21FB"/>
    <w:rsid w:val="007A2517"/>
    <w:rsid w:val="007A2E7E"/>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4862"/>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ACC"/>
    <w:rsid w:val="00875E24"/>
    <w:rsid w:val="00876256"/>
    <w:rsid w:val="00882252"/>
    <w:rsid w:val="0088309F"/>
    <w:rsid w:val="00884408"/>
    <w:rsid w:val="00886D9C"/>
    <w:rsid w:val="008875BF"/>
    <w:rsid w:val="00890492"/>
    <w:rsid w:val="00893666"/>
    <w:rsid w:val="00894B06"/>
    <w:rsid w:val="00895E8B"/>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5EEC"/>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51F76"/>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3B6A"/>
    <w:rsid w:val="00A14350"/>
    <w:rsid w:val="00A14368"/>
    <w:rsid w:val="00A14DA7"/>
    <w:rsid w:val="00A15242"/>
    <w:rsid w:val="00A1585B"/>
    <w:rsid w:val="00A17DCF"/>
    <w:rsid w:val="00A204A4"/>
    <w:rsid w:val="00A213DC"/>
    <w:rsid w:val="00A27298"/>
    <w:rsid w:val="00A27DC6"/>
    <w:rsid w:val="00A30C63"/>
    <w:rsid w:val="00A32F9D"/>
    <w:rsid w:val="00A33A49"/>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2770"/>
    <w:rsid w:val="00A84271"/>
    <w:rsid w:val="00A8632B"/>
    <w:rsid w:val="00A90B90"/>
    <w:rsid w:val="00A92D79"/>
    <w:rsid w:val="00A93CB9"/>
    <w:rsid w:val="00A93DD0"/>
    <w:rsid w:val="00A95BE4"/>
    <w:rsid w:val="00AA597B"/>
    <w:rsid w:val="00AA59DF"/>
    <w:rsid w:val="00AA5FB9"/>
    <w:rsid w:val="00AB0AEA"/>
    <w:rsid w:val="00AB199B"/>
    <w:rsid w:val="00AB28DC"/>
    <w:rsid w:val="00AB29DF"/>
    <w:rsid w:val="00AB74FE"/>
    <w:rsid w:val="00AC24A8"/>
    <w:rsid w:val="00AC4771"/>
    <w:rsid w:val="00AC63D6"/>
    <w:rsid w:val="00AC7157"/>
    <w:rsid w:val="00AC7768"/>
    <w:rsid w:val="00AD3555"/>
    <w:rsid w:val="00AD6763"/>
    <w:rsid w:val="00AD7BFB"/>
    <w:rsid w:val="00AE20F4"/>
    <w:rsid w:val="00AE22C4"/>
    <w:rsid w:val="00AE4496"/>
    <w:rsid w:val="00AF1B10"/>
    <w:rsid w:val="00AF29C1"/>
    <w:rsid w:val="00AF642E"/>
    <w:rsid w:val="00AF64A2"/>
    <w:rsid w:val="00AF799D"/>
    <w:rsid w:val="00B00455"/>
    <w:rsid w:val="00B0219B"/>
    <w:rsid w:val="00B0372E"/>
    <w:rsid w:val="00B03AAB"/>
    <w:rsid w:val="00B05A67"/>
    <w:rsid w:val="00B075D5"/>
    <w:rsid w:val="00B07B19"/>
    <w:rsid w:val="00B128C2"/>
    <w:rsid w:val="00B1376C"/>
    <w:rsid w:val="00B141AC"/>
    <w:rsid w:val="00B154EE"/>
    <w:rsid w:val="00B1560F"/>
    <w:rsid w:val="00B166A5"/>
    <w:rsid w:val="00B16C08"/>
    <w:rsid w:val="00B208B7"/>
    <w:rsid w:val="00B209DE"/>
    <w:rsid w:val="00B236E0"/>
    <w:rsid w:val="00B30EAC"/>
    <w:rsid w:val="00B342FF"/>
    <w:rsid w:val="00B35860"/>
    <w:rsid w:val="00B36AB8"/>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191"/>
    <w:rsid w:val="00B83F8E"/>
    <w:rsid w:val="00B84501"/>
    <w:rsid w:val="00B84726"/>
    <w:rsid w:val="00B8585D"/>
    <w:rsid w:val="00B93497"/>
    <w:rsid w:val="00B94797"/>
    <w:rsid w:val="00B97D02"/>
    <w:rsid w:val="00B97F6A"/>
    <w:rsid w:val="00BA051B"/>
    <w:rsid w:val="00BA1D29"/>
    <w:rsid w:val="00BA242F"/>
    <w:rsid w:val="00BA314B"/>
    <w:rsid w:val="00BA3C0A"/>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1BE6"/>
    <w:rsid w:val="00C7335D"/>
    <w:rsid w:val="00C73F88"/>
    <w:rsid w:val="00C74BEB"/>
    <w:rsid w:val="00C7517A"/>
    <w:rsid w:val="00C753DE"/>
    <w:rsid w:val="00C759AC"/>
    <w:rsid w:val="00C75FB4"/>
    <w:rsid w:val="00C80344"/>
    <w:rsid w:val="00C837ED"/>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CF7BEE"/>
    <w:rsid w:val="00D0162F"/>
    <w:rsid w:val="00D035FD"/>
    <w:rsid w:val="00D06AB5"/>
    <w:rsid w:val="00D10322"/>
    <w:rsid w:val="00D1240A"/>
    <w:rsid w:val="00D12702"/>
    <w:rsid w:val="00D12EB4"/>
    <w:rsid w:val="00D13200"/>
    <w:rsid w:val="00D13274"/>
    <w:rsid w:val="00D21B32"/>
    <w:rsid w:val="00D2313E"/>
    <w:rsid w:val="00D2371C"/>
    <w:rsid w:val="00D303EE"/>
    <w:rsid w:val="00D3159B"/>
    <w:rsid w:val="00D318BD"/>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77D16"/>
    <w:rsid w:val="00D81FEB"/>
    <w:rsid w:val="00D8285C"/>
    <w:rsid w:val="00D82FBC"/>
    <w:rsid w:val="00D877F0"/>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55FC"/>
    <w:rsid w:val="00E56AC3"/>
    <w:rsid w:val="00E5778A"/>
    <w:rsid w:val="00E65B05"/>
    <w:rsid w:val="00E669BB"/>
    <w:rsid w:val="00E66E94"/>
    <w:rsid w:val="00E707E9"/>
    <w:rsid w:val="00E70C63"/>
    <w:rsid w:val="00E72587"/>
    <w:rsid w:val="00E75E98"/>
    <w:rsid w:val="00E775CC"/>
    <w:rsid w:val="00E83758"/>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68B"/>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36A15"/>
    <w:rsid w:val="00F40971"/>
    <w:rsid w:val="00F462CF"/>
    <w:rsid w:val="00F46E62"/>
    <w:rsid w:val="00F52285"/>
    <w:rsid w:val="00F532CA"/>
    <w:rsid w:val="00F55903"/>
    <w:rsid w:val="00F56C23"/>
    <w:rsid w:val="00F602E3"/>
    <w:rsid w:val="00F60414"/>
    <w:rsid w:val="00F61A1A"/>
    <w:rsid w:val="00F6305C"/>
    <w:rsid w:val="00F64B0B"/>
    <w:rsid w:val="00F72190"/>
    <w:rsid w:val="00F7501F"/>
    <w:rsid w:val="00F750E8"/>
    <w:rsid w:val="00F75843"/>
    <w:rsid w:val="00F80C15"/>
    <w:rsid w:val="00F80D73"/>
    <w:rsid w:val="00F817F7"/>
    <w:rsid w:val="00F8505F"/>
    <w:rsid w:val="00F858CA"/>
    <w:rsid w:val="00F8688C"/>
    <w:rsid w:val="00F9067C"/>
    <w:rsid w:val="00F914FF"/>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2A72"/>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45D35-49A7-4B20-985A-ABF1DA1C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14</Pages>
  <Words>3660</Words>
  <Characters>21400</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13</cp:revision>
  <cp:lastPrinted>2018-08-23T08:04:00Z</cp:lastPrinted>
  <dcterms:created xsi:type="dcterms:W3CDTF">2018-08-27T08:23:00Z</dcterms:created>
  <dcterms:modified xsi:type="dcterms:W3CDTF">2018-09-18T07:59:00Z</dcterms:modified>
</cp:coreProperties>
</file>